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7A7F" w14:textId="07B15614" w:rsidR="003C2BF8" w:rsidRPr="00DF4B34" w:rsidRDefault="003C2BF8" w:rsidP="00DF4B34">
      <w:pPr>
        <w:spacing w:line="360" w:lineRule="auto"/>
        <w:jc w:val="both"/>
        <w:rPr>
          <w:rFonts w:ascii="Arial" w:hAnsi="Arial" w:cs="Arial"/>
          <w:b/>
          <w:bCs/>
          <w:sz w:val="24"/>
          <w:szCs w:val="24"/>
          <w:u w:val="single"/>
        </w:rPr>
      </w:pPr>
      <w:r w:rsidRPr="005A5245">
        <w:rPr>
          <w:rFonts w:ascii="Arial" w:hAnsi="Arial" w:cs="Arial"/>
          <w:b/>
          <w:bCs/>
          <w:sz w:val="24"/>
          <w:szCs w:val="24"/>
          <w:u w:val="single"/>
        </w:rPr>
        <w:t>L</w:t>
      </w:r>
      <w:r w:rsidR="00944E00" w:rsidRPr="005A5245">
        <w:rPr>
          <w:rFonts w:ascii="Arial" w:hAnsi="Arial" w:cs="Arial"/>
          <w:b/>
          <w:bCs/>
          <w:sz w:val="24"/>
          <w:szCs w:val="24"/>
          <w:u w:val="single"/>
        </w:rPr>
        <w:t xml:space="preserve">ancashire Children's Services </w:t>
      </w:r>
      <w:r w:rsidRPr="005A5245">
        <w:rPr>
          <w:rFonts w:ascii="Arial" w:hAnsi="Arial" w:cs="Arial"/>
          <w:b/>
          <w:bCs/>
          <w:sz w:val="24"/>
          <w:szCs w:val="24"/>
          <w:u w:val="single"/>
        </w:rPr>
        <w:t xml:space="preserve">approach to allegations of sexual </w:t>
      </w:r>
      <w:r w:rsidRPr="00DF4B34">
        <w:rPr>
          <w:rFonts w:ascii="Arial" w:hAnsi="Arial" w:cs="Arial"/>
          <w:b/>
          <w:bCs/>
          <w:sz w:val="24"/>
          <w:szCs w:val="24"/>
          <w:u w:val="single"/>
        </w:rPr>
        <w:t>abuse</w:t>
      </w:r>
    </w:p>
    <w:p w14:paraId="6F893F52" w14:textId="24D8653C" w:rsidR="003C2BF8" w:rsidRPr="00DF4B34" w:rsidRDefault="003C2BF8" w:rsidP="00DF4B34">
      <w:pPr>
        <w:pStyle w:val="ListParagraph"/>
        <w:numPr>
          <w:ilvl w:val="0"/>
          <w:numId w:val="1"/>
        </w:numPr>
        <w:spacing w:line="360" w:lineRule="auto"/>
        <w:jc w:val="both"/>
        <w:rPr>
          <w:rFonts w:ascii="Arial" w:hAnsi="Arial" w:cs="Arial"/>
          <w:b/>
          <w:bCs/>
          <w:sz w:val="24"/>
          <w:szCs w:val="24"/>
          <w:u w:val="single"/>
        </w:rPr>
      </w:pPr>
      <w:r w:rsidRPr="00DF4B34">
        <w:rPr>
          <w:rFonts w:ascii="Arial" w:hAnsi="Arial" w:cs="Arial"/>
          <w:b/>
          <w:bCs/>
          <w:sz w:val="24"/>
          <w:szCs w:val="24"/>
          <w:u w:val="single"/>
        </w:rPr>
        <w:t>Purpose of the document</w:t>
      </w:r>
    </w:p>
    <w:p w14:paraId="1B66823F" w14:textId="77777777" w:rsidR="00022710" w:rsidRPr="00DF4B34" w:rsidRDefault="003C2BF8" w:rsidP="00DF4B34">
      <w:pPr>
        <w:spacing w:line="360" w:lineRule="auto"/>
        <w:jc w:val="both"/>
        <w:rPr>
          <w:rFonts w:ascii="Arial" w:hAnsi="Arial" w:cs="Arial"/>
          <w:sz w:val="24"/>
          <w:szCs w:val="24"/>
        </w:rPr>
      </w:pPr>
      <w:r w:rsidRPr="00DF4B34">
        <w:rPr>
          <w:rFonts w:ascii="Arial" w:hAnsi="Arial" w:cs="Arial"/>
          <w:sz w:val="24"/>
          <w:szCs w:val="24"/>
        </w:rPr>
        <w:t xml:space="preserve">The aim of this </w:t>
      </w:r>
      <w:r w:rsidR="001876B7" w:rsidRPr="00DF4B34">
        <w:rPr>
          <w:rFonts w:ascii="Arial" w:hAnsi="Arial" w:cs="Arial"/>
          <w:sz w:val="24"/>
          <w:szCs w:val="24"/>
        </w:rPr>
        <w:t>document</w:t>
      </w:r>
      <w:r w:rsidRPr="00DF4B34">
        <w:rPr>
          <w:rFonts w:ascii="Arial" w:hAnsi="Arial" w:cs="Arial"/>
          <w:sz w:val="24"/>
          <w:szCs w:val="24"/>
        </w:rPr>
        <w:t xml:space="preserve"> is to provide clear guidance </w:t>
      </w:r>
      <w:r w:rsidR="00754250" w:rsidRPr="00DF4B34">
        <w:rPr>
          <w:rFonts w:ascii="Arial" w:hAnsi="Arial" w:cs="Arial"/>
          <w:sz w:val="24"/>
          <w:szCs w:val="24"/>
        </w:rPr>
        <w:t xml:space="preserve">for social workers and managers </w:t>
      </w:r>
      <w:r w:rsidRPr="00DF4B34">
        <w:rPr>
          <w:rFonts w:ascii="Arial" w:hAnsi="Arial" w:cs="Arial"/>
          <w:sz w:val="24"/>
          <w:szCs w:val="24"/>
        </w:rPr>
        <w:t xml:space="preserve">as to </w:t>
      </w:r>
      <w:r w:rsidR="00A8308E" w:rsidRPr="00DF4B34">
        <w:rPr>
          <w:rFonts w:ascii="Arial" w:hAnsi="Arial" w:cs="Arial"/>
          <w:sz w:val="24"/>
          <w:szCs w:val="24"/>
        </w:rPr>
        <w:t>o</w:t>
      </w:r>
      <w:r w:rsidRPr="00DF4B34">
        <w:rPr>
          <w:rFonts w:ascii="Arial" w:hAnsi="Arial" w:cs="Arial"/>
          <w:sz w:val="24"/>
          <w:szCs w:val="24"/>
        </w:rPr>
        <w:t xml:space="preserve">ur approach to cases that feature sexual abuse </w:t>
      </w:r>
      <w:r w:rsidR="00A8308E" w:rsidRPr="00DF4B34">
        <w:rPr>
          <w:rFonts w:ascii="Arial" w:hAnsi="Arial" w:cs="Arial"/>
          <w:sz w:val="24"/>
          <w:szCs w:val="24"/>
        </w:rPr>
        <w:t xml:space="preserve">allegations relating to an adult who lives in the same home </w:t>
      </w:r>
      <w:r w:rsidR="004618B2" w:rsidRPr="00DF4B34">
        <w:rPr>
          <w:rFonts w:ascii="Arial" w:hAnsi="Arial" w:cs="Arial"/>
          <w:sz w:val="24"/>
          <w:szCs w:val="24"/>
        </w:rPr>
        <w:t>as or</w:t>
      </w:r>
      <w:r w:rsidR="00A8308E" w:rsidRPr="00DF4B34">
        <w:rPr>
          <w:rFonts w:ascii="Arial" w:hAnsi="Arial" w:cs="Arial"/>
          <w:sz w:val="24"/>
          <w:szCs w:val="24"/>
        </w:rPr>
        <w:t xml:space="preserve"> has close contact with a child. </w:t>
      </w:r>
      <w:r w:rsidR="00814C15" w:rsidRPr="00DF4B34">
        <w:rPr>
          <w:rFonts w:ascii="Arial" w:hAnsi="Arial" w:cs="Arial"/>
          <w:sz w:val="24"/>
          <w:szCs w:val="24"/>
        </w:rPr>
        <w:t xml:space="preserve">It is hoped that this will go some way to achieving greater consistency in our decision making. </w:t>
      </w:r>
      <w:r w:rsidR="00A8308E" w:rsidRPr="00DF4B34">
        <w:rPr>
          <w:rFonts w:ascii="Arial" w:hAnsi="Arial" w:cs="Arial"/>
          <w:sz w:val="24"/>
          <w:szCs w:val="24"/>
        </w:rPr>
        <w:t>This guidance focusses specifically, but not exclusively</w:t>
      </w:r>
      <w:r w:rsidR="004618B2" w:rsidRPr="00DF4B34">
        <w:rPr>
          <w:rFonts w:ascii="Arial" w:hAnsi="Arial" w:cs="Arial"/>
          <w:sz w:val="24"/>
          <w:szCs w:val="24"/>
        </w:rPr>
        <w:t>, o</w:t>
      </w:r>
      <w:r w:rsidR="00A8308E" w:rsidRPr="00DF4B34">
        <w:rPr>
          <w:rFonts w:ascii="Arial" w:hAnsi="Arial" w:cs="Arial"/>
          <w:sz w:val="24"/>
          <w:szCs w:val="24"/>
        </w:rPr>
        <w:t xml:space="preserve">n allegations that have </w:t>
      </w:r>
      <w:r w:rsidR="00A8308E" w:rsidRPr="00DF4B34">
        <w:rPr>
          <w:rFonts w:ascii="Arial" w:hAnsi="Arial" w:cs="Arial"/>
          <w:b/>
          <w:bCs/>
          <w:sz w:val="24"/>
          <w:szCs w:val="24"/>
          <w:u w:val="single"/>
        </w:rPr>
        <w:t>not</w:t>
      </w:r>
      <w:r w:rsidR="007628B6" w:rsidRPr="00DF4B34">
        <w:rPr>
          <w:rFonts w:ascii="Arial" w:hAnsi="Arial" w:cs="Arial"/>
          <w:sz w:val="24"/>
          <w:szCs w:val="24"/>
        </w:rPr>
        <w:t xml:space="preserve"> </w:t>
      </w:r>
      <w:r w:rsidR="00A8308E" w:rsidRPr="00DF4B34">
        <w:rPr>
          <w:rFonts w:ascii="Arial" w:hAnsi="Arial" w:cs="Arial"/>
          <w:sz w:val="24"/>
          <w:szCs w:val="24"/>
        </w:rPr>
        <w:t>resulted in a conviction</w:t>
      </w:r>
      <w:r w:rsidR="007628B6" w:rsidRPr="00DF4B34">
        <w:rPr>
          <w:rFonts w:ascii="Arial" w:hAnsi="Arial" w:cs="Arial"/>
          <w:sz w:val="24"/>
          <w:szCs w:val="24"/>
        </w:rPr>
        <w:t xml:space="preserve">, </w:t>
      </w:r>
      <w:r w:rsidR="00EF057F" w:rsidRPr="00DF4B34">
        <w:rPr>
          <w:rFonts w:ascii="Arial" w:hAnsi="Arial" w:cs="Arial"/>
          <w:sz w:val="24"/>
          <w:szCs w:val="24"/>
        </w:rPr>
        <w:t xml:space="preserve">or </w:t>
      </w:r>
      <w:r w:rsidR="007628B6" w:rsidRPr="00DF4B34">
        <w:rPr>
          <w:rFonts w:ascii="Arial" w:hAnsi="Arial" w:cs="Arial"/>
          <w:sz w:val="24"/>
          <w:szCs w:val="24"/>
        </w:rPr>
        <w:t>where a police investigation is ongoing</w:t>
      </w:r>
      <w:r w:rsidR="00AA0B50" w:rsidRPr="00DF4B34">
        <w:rPr>
          <w:rFonts w:ascii="Arial" w:hAnsi="Arial" w:cs="Arial"/>
          <w:sz w:val="24"/>
          <w:szCs w:val="24"/>
        </w:rPr>
        <w:t>, and scenarios where children still have contact with this alleged perpetrator</w:t>
      </w:r>
      <w:r w:rsidR="00A8308E" w:rsidRPr="00DF4B34">
        <w:rPr>
          <w:rFonts w:ascii="Arial" w:hAnsi="Arial" w:cs="Arial"/>
          <w:sz w:val="24"/>
          <w:szCs w:val="24"/>
        </w:rPr>
        <w:t>.</w:t>
      </w:r>
    </w:p>
    <w:p w14:paraId="37B7C4DB" w14:textId="77777777" w:rsidR="006701C6" w:rsidRPr="00DF4B34" w:rsidRDefault="006701C6" w:rsidP="00DF4B34">
      <w:pPr>
        <w:spacing w:line="360" w:lineRule="auto"/>
        <w:jc w:val="both"/>
        <w:rPr>
          <w:rFonts w:ascii="Arial" w:hAnsi="Arial" w:cs="Arial"/>
          <w:sz w:val="24"/>
          <w:szCs w:val="24"/>
        </w:rPr>
      </w:pPr>
    </w:p>
    <w:p w14:paraId="69E3F449" w14:textId="4A195FF2" w:rsidR="006701C6" w:rsidRPr="00DF4B34" w:rsidRDefault="006701C6" w:rsidP="00DF4B34">
      <w:pPr>
        <w:spacing w:line="360" w:lineRule="auto"/>
        <w:jc w:val="both"/>
        <w:rPr>
          <w:rFonts w:ascii="Arial" w:hAnsi="Arial" w:cs="Arial"/>
          <w:b/>
          <w:bCs/>
          <w:sz w:val="24"/>
          <w:szCs w:val="24"/>
        </w:rPr>
      </w:pPr>
      <w:r w:rsidRPr="00DF4B34">
        <w:rPr>
          <w:rFonts w:ascii="Arial" w:hAnsi="Arial" w:cs="Arial"/>
          <w:b/>
          <w:bCs/>
          <w:sz w:val="24"/>
          <w:szCs w:val="24"/>
        </w:rPr>
        <w:t xml:space="preserve">Image Category Levels </w:t>
      </w:r>
    </w:p>
    <w:p w14:paraId="364443A2" w14:textId="77777777" w:rsidR="006701C6" w:rsidRPr="00DF4B34" w:rsidRDefault="006701C6" w:rsidP="00DF4B34">
      <w:pPr>
        <w:spacing w:line="360" w:lineRule="auto"/>
        <w:jc w:val="both"/>
        <w:rPr>
          <w:rFonts w:ascii="Arial" w:hAnsi="Arial" w:cs="Arial"/>
          <w:sz w:val="24"/>
          <w:szCs w:val="24"/>
        </w:rPr>
      </w:pPr>
      <w:r w:rsidRPr="00DF4B34">
        <w:rPr>
          <w:rFonts w:ascii="Arial" w:hAnsi="Arial" w:cs="Arial"/>
          <w:b/>
          <w:bCs/>
          <w:sz w:val="24"/>
          <w:szCs w:val="24"/>
        </w:rPr>
        <w:t>Level 1</w:t>
      </w:r>
      <w:r w:rsidRPr="00DF4B34">
        <w:rPr>
          <w:rFonts w:ascii="Arial" w:hAnsi="Arial" w:cs="Arial"/>
          <w:sz w:val="24"/>
          <w:szCs w:val="24"/>
        </w:rPr>
        <w:t xml:space="preserve"> Images depicting erotic posing with no sexual activity</w:t>
      </w:r>
    </w:p>
    <w:p w14:paraId="758274DA" w14:textId="003F779F" w:rsidR="006701C6" w:rsidRPr="00DF4B34" w:rsidRDefault="006701C6" w:rsidP="00DF4B34">
      <w:pPr>
        <w:spacing w:line="360" w:lineRule="auto"/>
        <w:jc w:val="both"/>
        <w:rPr>
          <w:rFonts w:ascii="Arial" w:hAnsi="Arial" w:cs="Arial"/>
          <w:sz w:val="24"/>
          <w:szCs w:val="24"/>
        </w:rPr>
      </w:pPr>
      <w:r w:rsidRPr="00DF4B34">
        <w:rPr>
          <w:rFonts w:ascii="Arial" w:hAnsi="Arial" w:cs="Arial"/>
          <w:b/>
          <w:bCs/>
          <w:sz w:val="24"/>
          <w:szCs w:val="24"/>
        </w:rPr>
        <w:t>Level 2</w:t>
      </w:r>
      <w:r w:rsidRPr="00DF4B34">
        <w:rPr>
          <w:rFonts w:ascii="Arial" w:hAnsi="Arial" w:cs="Arial"/>
          <w:sz w:val="24"/>
          <w:szCs w:val="24"/>
        </w:rPr>
        <w:t xml:space="preserve"> Non-penetrative sexual activity between children or solo masturbation by a child</w:t>
      </w:r>
    </w:p>
    <w:p w14:paraId="61E9C501" w14:textId="1DDCB9FF" w:rsidR="006701C6" w:rsidRPr="00DF4B34" w:rsidRDefault="006701C6" w:rsidP="00DF4B34">
      <w:pPr>
        <w:spacing w:line="360" w:lineRule="auto"/>
        <w:jc w:val="both"/>
        <w:rPr>
          <w:rFonts w:ascii="Arial" w:hAnsi="Arial" w:cs="Arial"/>
          <w:sz w:val="24"/>
          <w:szCs w:val="24"/>
        </w:rPr>
      </w:pPr>
      <w:r w:rsidRPr="00DF4B34">
        <w:rPr>
          <w:rFonts w:ascii="Arial" w:hAnsi="Arial" w:cs="Arial"/>
          <w:b/>
          <w:bCs/>
          <w:sz w:val="24"/>
          <w:szCs w:val="24"/>
        </w:rPr>
        <w:t>Level 3</w:t>
      </w:r>
      <w:r w:rsidRPr="00DF4B34">
        <w:rPr>
          <w:rFonts w:ascii="Arial" w:hAnsi="Arial" w:cs="Arial"/>
          <w:sz w:val="24"/>
          <w:szCs w:val="24"/>
        </w:rPr>
        <w:t xml:space="preserve"> Non-penetrative sexual activity between adults and children</w:t>
      </w:r>
    </w:p>
    <w:p w14:paraId="53C3B045" w14:textId="37D83E0F" w:rsidR="006701C6" w:rsidRPr="00DF4B34" w:rsidRDefault="006701C6" w:rsidP="00DF4B34">
      <w:pPr>
        <w:spacing w:line="360" w:lineRule="auto"/>
        <w:jc w:val="both"/>
        <w:rPr>
          <w:rFonts w:ascii="Arial" w:hAnsi="Arial" w:cs="Arial"/>
          <w:sz w:val="24"/>
          <w:szCs w:val="24"/>
        </w:rPr>
      </w:pPr>
      <w:r w:rsidRPr="00DF4B34">
        <w:rPr>
          <w:rFonts w:ascii="Arial" w:hAnsi="Arial" w:cs="Arial"/>
          <w:b/>
          <w:bCs/>
          <w:sz w:val="24"/>
          <w:szCs w:val="24"/>
        </w:rPr>
        <w:t>Level 4</w:t>
      </w:r>
      <w:r w:rsidRPr="00DF4B34">
        <w:rPr>
          <w:rFonts w:ascii="Arial" w:hAnsi="Arial" w:cs="Arial"/>
          <w:sz w:val="24"/>
          <w:szCs w:val="24"/>
        </w:rPr>
        <w:t xml:space="preserve"> Penetrative sexual activity involving a child or children, or both children and adults</w:t>
      </w:r>
    </w:p>
    <w:p w14:paraId="0BC47828" w14:textId="7DD1A62E" w:rsidR="006701C6" w:rsidRPr="00DF4B34" w:rsidRDefault="006701C6" w:rsidP="00DF4B34">
      <w:pPr>
        <w:spacing w:line="360" w:lineRule="auto"/>
        <w:jc w:val="both"/>
        <w:rPr>
          <w:rFonts w:ascii="Arial" w:hAnsi="Arial" w:cs="Arial"/>
          <w:sz w:val="24"/>
          <w:szCs w:val="24"/>
        </w:rPr>
      </w:pPr>
      <w:r w:rsidRPr="00DF4B34">
        <w:rPr>
          <w:rFonts w:ascii="Arial" w:hAnsi="Arial" w:cs="Arial"/>
          <w:b/>
          <w:bCs/>
          <w:sz w:val="24"/>
          <w:szCs w:val="24"/>
        </w:rPr>
        <w:t>Level 5</w:t>
      </w:r>
      <w:r w:rsidRPr="00DF4B34">
        <w:rPr>
          <w:rFonts w:ascii="Arial" w:hAnsi="Arial" w:cs="Arial"/>
          <w:sz w:val="24"/>
          <w:szCs w:val="24"/>
        </w:rPr>
        <w:t xml:space="preserve"> Sadism or penetration of, or by an animal</w:t>
      </w:r>
    </w:p>
    <w:p w14:paraId="45F0BF45" w14:textId="71DEA0D4" w:rsidR="00874E92" w:rsidRPr="00DF4B34" w:rsidRDefault="00A8308E" w:rsidP="00DF4B34">
      <w:pPr>
        <w:spacing w:line="360" w:lineRule="auto"/>
        <w:jc w:val="both"/>
        <w:rPr>
          <w:rFonts w:ascii="Arial" w:hAnsi="Arial" w:cs="Arial"/>
          <w:shd w:val="clear" w:color="auto" w:fill="FFFFFF"/>
        </w:rPr>
      </w:pPr>
      <w:r w:rsidRPr="00DF4B34">
        <w:rPr>
          <w:rFonts w:ascii="Arial" w:hAnsi="Arial" w:cs="Arial"/>
          <w:sz w:val="24"/>
          <w:szCs w:val="24"/>
        </w:rPr>
        <w:t>For the purposes of this document sexual abuse include</w:t>
      </w:r>
      <w:r w:rsidR="004E74DA" w:rsidRPr="00DF4B34">
        <w:rPr>
          <w:rFonts w:ascii="Arial" w:hAnsi="Arial" w:cs="Arial"/>
          <w:sz w:val="24"/>
          <w:szCs w:val="24"/>
        </w:rPr>
        <w:t>s</w:t>
      </w:r>
      <w:r w:rsidRPr="00DF4B34">
        <w:rPr>
          <w:rFonts w:ascii="Arial" w:hAnsi="Arial" w:cs="Arial"/>
          <w:sz w:val="24"/>
          <w:szCs w:val="24"/>
        </w:rPr>
        <w:t xml:space="preserve"> the use/sharing of indecent </w:t>
      </w:r>
      <w:r w:rsidR="00C168F0" w:rsidRPr="00DF4B34">
        <w:rPr>
          <w:rFonts w:ascii="Arial" w:hAnsi="Arial" w:cs="Arial"/>
          <w:sz w:val="24"/>
          <w:szCs w:val="24"/>
        </w:rPr>
        <w:t xml:space="preserve">or prohibited </w:t>
      </w:r>
      <w:r w:rsidRPr="00DF4B34">
        <w:rPr>
          <w:rFonts w:ascii="Arial" w:hAnsi="Arial" w:cs="Arial"/>
          <w:sz w:val="24"/>
          <w:szCs w:val="24"/>
        </w:rPr>
        <w:t>images of children</w:t>
      </w:r>
      <w:r w:rsidR="00C168F0" w:rsidRPr="00DF4B34">
        <w:rPr>
          <w:rFonts w:ascii="Arial" w:hAnsi="Arial" w:cs="Arial"/>
          <w:sz w:val="24"/>
          <w:szCs w:val="24"/>
        </w:rPr>
        <w:t xml:space="preserve">. </w:t>
      </w:r>
      <w:r w:rsidR="00874E92" w:rsidRPr="00DF4B34">
        <w:rPr>
          <w:rFonts w:ascii="Arial" w:hAnsi="Arial" w:cs="Arial"/>
          <w:sz w:val="24"/>
          <w:szCs w:val="24"/>
          <w:shd w:val="clear" w:color="auto" w:fill="FFFFFF"/>
        </w:rPr>
        <w:t xml:space="preserve">In some cases, the allegations relate to the creation (for example uploading or sharing) or possession of indecent/prohibited images of children but do not involve children in the household having been exposed to the same. These cases, however, lead to </w:t>
      </w:r>
      <w:r w:rsidR="00A84E97" w:rsidRPr="00DF4B34">
        <w:rPr>
          <w:rFonts w:ascii="Arial" w:hAnsi="Arial" w:cs="Arial"/>
          <w:sz w:val="24"/>
          <w:szCs w:val="24"/>
          <w:shd w:val="clear" w:color="auto" w:fill="FFFFFF"/>
        </w:rPr>
        <w:t xml:space="preserve">professional </w:t>
      </w:r>
      <w:r w:rsidR="00874E92" w:rsidRPr="00DF4B34">
        <w:rPr>
          <w:rFonts w:ascii="Arial" w:hAnsi="Arial" w:cs="Arial"/>
          <w:sz w:val="24"/>
          <w:szCs w:val="24"/>
          <w:shd w:val="clear" w:color="auto" w:fill="FFFFFF"/>
        </w:rPr>
        <w:t xml:space="preserve">concern about the risk of accidental exposure to child </w:t>
      </w:r>
      <w:r w:rsidR="0068137A" w:rsidRPr="00DF4B34">
        <w:rPr>
          <w:rFonts w:ascii="Arial" w:hAnsi="Arial" w:cs="Arial"/>
          <w:sz w:val="24"/>
          <w:szCs w:val="24"/>
          <w:shd w:val="clear" w:color="auto" w:fill="FFFFFF"/>
        </w:rPr>
        <w:t>abuse images</w:t>
      </w:r>
      <w:r w:rsidR="00874E92" w:rsidRPr="00DF4B34">
        <w:rPr>
          <w:rFonts w:ascii="Arial" w:hAnsi="Arial" w:cs="Arial"/>
          <w:sz w:val="24"/>
          <w:szCs w:val="24"/>
          <w:shd w:val="clear" w:color="auto" w:fill="FFFFFF"/>
        </w:rPr>
        <w:t xml:space="preserve"> by the children and/or the adult having a sexual interest in children that could lead to actual abuse.</w:t>
      </w:r>
      <w:r w:rsidR="00874E92" w:rsidRPr="00DF4B34">
        <w:rPr>
          <w:rFonts w:ascii="Arial" w:hAnsi="Arial" w:cs="Arial"/>
          <w:shd w:val="clear" w:color="auto" w:fill="FFFFFF"/>
        </w:rPr>
        <w:t xml:space="preserve"> </w:t>
      </w:r>
    </w:p>
    <w:p w14:paraId="0D8FA952" w14:textId="14B89012" w:rsidR="00B66A7C" w:rsidRPr="00DF4B34" w:rsidRDefault="001B59D5" w:rsidP="00DF4B34">
      <w:pPr>
        <w:pStyle w:val="NormalWeb"/>
        <w:spacing w:before="0" w:beforeAutospacing="0" w:after="240" w:afterAutospacing="0" w:line="360" w:lineRule="auto"/>
        <w:jc w:val="both"/>
        <w:rPr>
          <w:rFonts w:ascii="Arial" w:hAnsi="Arial" w:cs="Arial"/>
          <w:spacing w:val="7"/>
        </w:rPr>
      </w:pPr>
      <w:r w:rsidRPr="00DF4B34">
        <w:rPr>
          <w:rFonts w:ascii="Arial" w:hAnsi="Arial" w:cs="Arial"/>
          <w:shd w:val="clear" w:color="auto" w:fill="FFFFFF"/>
        </w:rPr>
        <w:t>However,</w:t>
      </w:r>
      <w:r w:rsidR="00B66A7C" w:rsidRPr="00DF4B34">
        <w:rPr>
          <w:rFonts w:ascii="Arial" w:hAnsi="Arial" w:cs="Arial"/>
          <w:shd w:val="clear" w:color="auto" w:fill="FFFFFF"/>
        </w:rPr>
        <w:t xml:space="preserve"> this said, </w:t>
      </w:r>
      <w:proofErr w:type="gramStart"/>
      <w:r w:rsidR="00B66A7C" w:rsidRPr="00DF4B34">
        <w:rPr>
          <w:rFonts w:ascii="Arial" w:hAnsi="Arial" w:cs="Arial"/>
          <w:spacing w:val="7"/>
        </w:rPr>
        <w:t>There</w:t>
      </w:r>
      <w:proofErr w:type="gramEnd"/>
      <w:r w:rsidR="00B66A7C" w:rsidRPr="00DF4B34">
        <w:rPr>
          <w:rFonts w:ascii="Arial" w:hAnsi="Arial" w:cs="Arial"/>
          <w:spacing w:val="7"/>
        </w:rPr>
        <w:t xml:space="preserve"> is a general lack of research on sexual interest in children among the general adult population, with very few studies including female participants or exploring the use of child sexual abuse images. Specifically, there is little evidence around factors that distinguish men who act </w:t>
      </w:r>
      <w:r w:rsidR="00B66A7C" w:rsidRPr="00DF4B34">
        <w:rPr>
          <w:rFonts w:ascii="Arial" w:hAnsi="Arial" w:cs="Arial"/>
          <w:spacing w:val="7"/>
        </w:rPr>
        <w:lastRenderedPageBreak/>
        <w:t>upon their self- identified sexual interest children from those who do not. Research in the area communicates this inconsistency; being sexually interested in children does not necessarily lead to sexual abuse of children, but some do express their interests by committing child sexual abuse offences. </w:t>
      </w:r>
    </w:p>
    <w:p w14:paraId="5B5F6B41" w14:textId="61CE9D55" w:rsidR="00B66A7C" w:rsidRPr="00DF4B34" w:rsidRDefault="00B66A7C" w:rsidP="00DF4B34">
      <w:pPr>
        <w:spacing w:after="240" w:line="360" w:lineRule="auto"/>
        <w:jc w:val="both"/>
        <w:rPr>
          <w:rFonts w:ascii="Arial" w:eastAsia="Times New Roman" w:hAnsi="Arial" w:cs="Arial"/>
          <w:spacing w:val="7"/>
          <w:sz w:val="24"/>
          <w:szCs w:val="24"/>
          <w:lang w:eastAsia="en-GB"/>
        </w:rPr>
      </w:pPr>
      <w:r w:rsidRPr="00DF4B34">
        <w:rPr>
          <w:rFonts w:ascii="Arial" w:eastAsia="Times New Roman" w:hAnsi="Arial" w:cs="Arial"/>
          <w:spacing w:val="7"/>
          <w:sz w:val="24"/>
          <w:szCs w:val="24"/>
          <w:lang w:eastAsia="en-GB"/>
        </w:rPr>
        <w:t xml:space="preserve">Several studies point to the inconclusive nature of the evidence around whether </w:t>
      </w:r>
      <w:r w:rsidR="001B59D5" w:rsidRPr="00DF4B34">
        <w:rPr>
          <w:rFonts w:ascii="Arial" w:eastAsia="Times New Roman" w:hAnsi="Arial" w:cs="Arial"/>
          <w:spacing w:val="7"/>
          <w:sz w:val="24"/>
          <w:szCs w:val="24"/>
          <w:lang w:eastAsia="en-GB"/>
        </w:rPr>
        <w:t>paedophilic</w:t>
      </w:r>
      <w:r w:rsidRPr="00DF4B34">
        <w:rPr>
          <w:rFonts w:ascii="Arial" w:eastAsia="Times New Roman" w:hAnsi="Arial" w:cs="Arial"/>
          <w:spacing w:val="7"/>
          <w:sz w:val="24"/>
          <w:szCs w:val="24"/>
          <w:lang w:eastAsia="en-GB"/>
        </w:rPr>
        <w:t xml:space="preserve"> or </w:t>
      </w:r>
      <w:r w:rsidR="001B59D5" w:rsidRPr="00DF4B34">
        <w:rPr>
          <w:rFonts w:ascii="Arial" w:eastAsia="Times New Roman" w:hAnsi="Arial" w:cs="Arial"/>
          <w:spacing w:val="7"/>
          <w:sz w:val="24"/>
          <w:szCs w:val="24"/>
          <w:lang w:eastAsia="en-GB"/>
        </w:rPr>
        <w:t>hebephiliac</w:t>
      </w:r>
      <w:r w:rsidRPr="00DF4B34">
        <w:rPr>
          <w:rFonts w:ascii="Arial" w:eastAsia="Times New Roman" w:hAnsi="Arial" w:cs="Arial"/>
          <w:spacing w:val="7"/>
          <w:sz w:val="24"/>
          <w:szCs w:val="24"/>
          <w:lang w:eastAsia="en-GB"/>
        </w:rPr>
        <w:t xml:space="preserve"> interests escalate into contact offending. This is due to several reasons, including weakness of correlational studies that imply evidence of the possession of child sexual abuse images is connected to committing child sexual abuse offences. It must also be noted that child sexual abuse is not only committed by people who are </w:t>
      </w:r>
      <w:r w:rsidR="001B59D5" w:rsidRPr="00DF4B34">
        <w:rPr>
          <w:rFonts w:ascii="Arial" w:eastAsia="Times New Roman" w:hAnsi="Arial" w:cs="Arial"/>
          <w:spacing w:val="7"/>
          <w:sz w:val="24"/>
          <w:szCs w:val="24"/>
          <w:lang w:eastAsia="en-GB"/>
        </w:rPr>
        <w:t>paedophilic</w:t>
      </w:r>
      <w:r w:rsidRPr="00DF4B34">
        <w:rPr>
          <w:rFonts w:ascii="Arial" w:eastAsia="Times New Roman" w:hAnsi="Arial" w:cs="Arial"/>
          <w:spacing w:val="7"/>
          <w:sz w:val="24"/>
          <w:szCs w:val="24"/>
          <w:lang w:eastAsia="en-GB"/>
        </w:rPr>
        <w:t>. </w:t>
      </w:r>
    </w:p>
    <w:p w14:paraId="76A28CDA" w14:textId="7258ED6B" w:rsidR="00B66A7C" w:rsidRPr="00DF4B34" w:rsidRDefault="00B66A7C" w:rsidP="00DF4B34">
      <w:pPr>
        <w:spacing w:after="240" w:line="360" w:lineRule="auto"/>
        <w:jc w:val="both"/>
        <w:rPr>
          <w:rFonts w:ascii="Arial" w:eastAsia="Times New Roman" w:hAnsi="Arial" w:cs="Arial"/>
          <w:spacing w:val="7"/>
          <w:sz w:val="24"/>
          <w:szCs w:val="24"/>
          <w:vertAlign w:val="superscript"/>
          <w:lang w:eastAsia="en-GB"/>
        </w:rPr>
      </w:pPr>
      <w:r w:rsidRPr="00DF4B34">
        <w:rPr>
          <w:rFonts w:ascii="Arial" w:eastAsia="Times New Roman" w:hAnsi="Arial" w:cs="Arial"/>
          <w:spacing w:val="7"/>
          <w:sz w:val="24"/>
          <w:szCs w:val="24"/>
          <w:lang w:eastAsia="en-GB"/>
        </w:rPr>
        <w:t>A significant limitation of the research around the link between accessing child sexual abuse images and committing contact child sexual abuse offences is that studies tend to be based on populations of convicted offenders of one or both activities. This both limits the applicability of the research findings to people who have not been convicted, as characteristics may differ between undetected and detected offenders, and does not necessarily present an accurate picture, as conviction rates tend to underestimate the true offending rates</w:t>
      </w:r>
    </w:p>
    <w:p w14:paraId="595F8D00" w14:textId="6EB75D43" w:rsidR="006A5FE5" w:rsidRPr="00DF4B34" w:rsidRDefault="006A5FE5" w:rsidP="00DF4B34">
      <w:pPr>
        <w:pStyle w:val="NormalWeb"/>
        <w:spacing w:before="0" w:beforeAutospacing="0" w:after="240" w:afterAutospacing="0" w:line="360" w:lineRule="auto"/>
        <w:jc w:val="both"/>
        <w:rPr>
          <w:rFonts w:ascii="Arial" w:hAnsi="Arial" w:cs="Arial"/>
          <w:spacing w:val="7"/>
        </w:rPr>
      </w:pPr>
      <w:r w:rsidRPr="00DF4B34">
        <w:rPr>
          <w:rFonts w:ascii="Arial" w:hAnsi="Arial" w:cs="Arial"/>
          <w:spacing w:val="7"/>
        </w:rPr>
        <w:t xml:space="preserve">Some studies have identified different reasons for viewing child sexual abuse images, including the material serving as a blueprint for future sexual activities, or serving as a substitute for </w:t>
      </w:r>
      <w:r w:rsidR="001B59D5" w:rsidRPr="00DF4B34">
        <w:rPr>
          <w:rFonts w:ascii="Arial" w:hAnsi="Arial" w:cs="Arial"/>
          <w:spacing w:val="7"/>
        </w:rPr>
        <w:t>paedophilic</w:t>
      </w:r>
      <w:r w:rsidRPr="00DF4B34">
        <w:rPr>
          <w:rFonts w:ascii="Arial" w:hAnsi="Arial" w:cs="Arial"/>
          <w:spacing w:val="7"/>
        </w:rPr>
        <w:t xml:space="preserve"> behaviour. However, although there is evidence to suggest that child-attracted men in particular are liable to molest their own children, the extent to which people who access child sexual abuse images are sexually attracted to children (</w:t>
      </w:r>
      <w:proofErr w:type="gramStart"/>
      <w:r w:rsidRPr="00DF4B34">
        <w:rPr>
          <w:rFonts w:ascii="Arial" w:hAnsi="Arial" w:cs="Arial"/>
          <w:spacing w:val="7"/>
        </w:rPr>
        <w:t>i.e.</w:t>
      </w:r>
      <w:proofErr w:type="gramEnd"/>
      <w:r w:rsidRPr="00DF4B34">
        <w:rPr>
          <w:rFonts w:ascii="Arial" w:hAnsi="Arial" w:cs="Arial"/>
          <w:spacing w:val="7"/>
        </w:rPr>
        <w:t xml:space="preserve"> </w:t>
      </w:r>
      <w:r w:rsidR="001B59D5" w:rsidRPr="00DF4B34">
        <w:rPr>
          <w:rFonts w:ascii="Arial" w:hAnsi="Arial" w:cs="Arial"/>
          <w:spacing w:val="7"/>
        </w:rPr>
        <w:t>paedophiles</w:t>
      </w:r>
      <w:r w:rsidRPr="00DF4B34">
        <w:rPr>
          <w:rFonts w:ascii="Arial" w:hAnsi="Arial" w:cs="Arial"/>
          <w:spacing w:val="7"/>
        </w:rPr>
        <w:t>) is unclear. </w:t>
      </w:r>
    </w:p>
    <w:p w14:paraId="41B124BF" w14:textId="5F473B36" w:rsidR="006A5FE5" w:rsidRPr="00DF4B34" w:rsidRDefault="006A5FE5" w:rsidP="00DF4B34">
      <w:pPr>
        <w:pStyle w:val="NormalWeb"/>
        <w:spacing w:before="0" w:beforeAutospacing="0" w:after="240" w:afterAutospacing="0" w:line="360" w:lineRule="auto"/>
        <w:jc w:val="both"/>
        <w:rPr>
          <w:rFonts w:ascii="Arial" w:hAnsi="Arial" w:cs="Arial"/>
          <w:spacing w:val="7"/>
        </w:rPr>
      </w:pPr>
      <w:r w:rsidRPr="00DF4B34">
        <w:rPr>
          <w:rFonts w:ascii="Arial" w:hAnsi="Arial" w:cs="Arial"/>
          <w:spacing w:val="7"/>
        </w:rPr>
        <w:t xml:space="preserve">Great care must be taken to distinguish between those who access child sexual abuse images and never act upon such images by committing ‘hands-on’ offences, and those who can be termed ‘dual </w:t>
      </w:r>
      <w:proofErr w:type="gramStart"/>
      <w:r w:rsidRPr="00DF4B34">
        <w:rPr>
          <w:rFonts w:ascii="Arial" w:hAnsi="Arial" w:cs="Arial"/>
          <w:spacing w:val="7"/>
        </w:rPr>
        <w:t>offenders’</w:t>
      </w:r>
      <w:proofErr w:type="gramEnd"/>
      <w:r w:rsidRPr="00DF4B34">
        <w:rPr>
          <w:rFonts w:ascii="Arial" w:hAnsi="Arial" w:cs="Arial"/>
          <w:spacing w:val="7"/>
        </w:rPr>
        <w:t xml:space="preserve">. Lowenstein (2005) emphasises that it is important “not to believe that one can predict with any degree of certainty anything based on the downloading of images from the internet”. </w:t>
      </w:r>
    </w:p>
    <w:p w14:paraId="30869974" w14:textId="67112878" w:rsidR="008B3039" w:rsidRPr="00DF4B34" w:rsidRDefault="008B3039" w:rsidP="00DF4B34">
      <w:pPr>
        <w:pStyle w:val="NormalWeb"/>
        <w:spacing w:before="0" w:beforeAutospacing="0" w:after="240" w:afterAutospacing="0" w:line="360" w:lineRule="auto"/>
        <w:jc w:val="both"/>
        <w:rPr>
          <w:rFonts w:ascii="Arial" w:hAnsi="Arial" w:cs="Arial"/>
        </w:rPr>
      </w:pPr>
      <w:r w:rsidRPr="00DF4B34">
        <w:rPr>
          <w:rFonts w:ascii="Arial" w:hAnsi="Arial" w:cs="Arial"/>
        </w:rPr>
        <w:t>Whilst the motivation and risk of contact offending will inevitably vary for each offender, key themes emerge from</w:t>
      </w:r>
      <w:r w:rsidR="00A43BBD" w:rsidRPr="00DF4B34">
        <w:rPr>
          <w:rFonts w:ascii="Arial" w:hAnsi="Arial" w:cs="Arial"/>
        </w:rPr>
        <w:t xml:space="preserve"> some</w:t>
      </w:r>
      <w:r w:rsidRPr="00DF4B34">
        <w:rPr>
          <w:rFonts w:ascii="Arial" w:hAnsi="Arial" w:cs="Arial"/>
        </w:rPr>
        <w:t xml:space="preserve"> academic research: </w:t>
      </w:r>
    </w:p>
    <w:p w14:paraId="16C9DAEC" w14:textId="77777777" w:rsidR="008B3039" w:rsidRPr="00DF4B34" w:rsidRDefault="008B3039" w:rsidP="00DF4B34">
      <w:pPr>
        <w:pStyle w:val="NormalWeb"/>
        <w:spacing w:before="0" w:beforeAutospacing="0" w:after="240" w:afterAutospacing="0" w:line="360" w:lineRule="auto"/>
        <w:jc w:val="both"/>
        <w:rPr>
          <w:rFonts w:ascii="Arial" w:hAnsi="Arial" w:cs="Arial"/>
        </w:rPr>
      </w:pPr>
      <w:r w:rsidRPr="00DF4B34">
        <w:rPr>
          <w:rFonts w:ascii="Arial" w:hAnsi="Arial" w:cs="Arial"/>
        </w:rPr>
        <w:lastRenderedPageBreak/>
        <w:t xml:space="preserve"> There is a clear correlation between IIOC offending and contact sexual offending against children although causation cannot be established. </w:t>
      </w:r>
    </w:p>
    <w:p w14:paraId="66806DF0" w14:textId="77777777" w:rsidR="008B3039" w:rsidRPr="00DF4B34" w:rsidRDefault="008B3039" w:rsidP="00DF4B34">
      <w:pPr>
        <w:pStyle w:val="NormalWeb"/>
        <w:spacing w:before="0" w:beforeAutospacing="0" w:after="240" w:afterAutospacing="0" w:line="360" w:lineRule="auto"/>
        <w:jc w:val="both"/>
        <w:rPr>
          <w:rFonts w:ascii="Arial" w:hAnsi="Arial" w:cs="Arial"/>
        </w:rPr>
      </w:pPr>
      <w:r w:rsidRPr="00DF4B34">
        <w:rPr>
          <w:rFonts w:ascii="Arial" w:hAnsi="Arial" w:cs="Arial"/>
        </w:rPr>
        <w:t xml:space="preserve"> Anyone who possesses IIOC poses a risk of committing contact sexual offences against children. </w:t>
      </w:r>
    </w:p>
    <w:p w14:paraId="4279F2FD" w14:textId="48924654" w:rsidR="00A84E97" w:rsidRPr="00DF4B34" w:rsidRDefault="008B3039" w:rsidP="00DF4B34">
      <w:pPr>
        <w:pStyle w:val="NormalWeb"/>
        <w:spacing w:before="0" w:beforeAutospacing="0" w:after="240" w:afterAutospacing="0" w:line="360" w:lineRule="auto"/>
        <w:jc w:val="both"/>
        <w:rPr>
          <w:rFonts w:ascii="Arial" w:hAnsi="Arial" w:cs="Arial"/>
        </w:rPr>
      </w:pPr>
      <w:r w:rsidRPr="00DF4B34">
        <w:rPr>
          <w:rFonts w:ascii="Arial" w:hAnsi="Arial" w:cs="Arial"/>
        </w:rPr>
        <w:t>The risk each offender poses needs to be assessed on an individual basis using appropriate risk assessment models backed by professional judgement</w:t>
      </w:r>
      <w:r w:rsidR="00061770" w:rsidRPr="00DF4B34">
        <w:rPr>
          <w:rFonts w:ascii="Arial" w:hAnsi="Arial" w:cs="Arial"/>
        </w:rPr>
        <w:t>.</w:t>
      </w:r>
    </w:p>
    <w:p w14:paraId="0E40C6C9" w14:textId="57C1766D" w:rsidR="002C0CB9" w:rsidRPr="00DF4B34" w:rsidRDefault="00061770" w:rsidP="00DF4B34">
      <w:pPr>
        <w:pStyle w:val="NormalWeb"/>
        <w:spacing w:before="0" w:beforeAutospacing="0" w:after="240" w:afterAutospacing="0" w:line="360" w:lineRule="auto"/>
        <w:jc w:val="both"/>
        <w:rPr>
          <w:rFonts w:ascii="Arial" w:hAnsi="Arial" w:cs="Arial"/>
          <w:spacing w:val="7"/>
        </w:rPr>
      </w:pPr>
      <w:r w:rsidRPr="00DF4B34">
        <w:rPr>
          <w:rFonts w:ascii="Arial" w:hAnsi="Arial" w:cs="Arial"/>
        </w:rPr>
        <w:t xml:space="preserve">The link between viewing IIOC and contact offending, identified but not yet quantified by research, highlights the need to consider each possession offender as a potential contact offender to some extent. Individual offenders may view images as part of a continuum of offending culminating in a contact offence, as a diversion from contact offending or </w:t>
      </w:r>
      <w:proofErr w:type="gramStart"/>
      <w:r w:rsidRPr="00DF4B34">
        <w:rPr>
          <w:rFonts w:ascii="Arial" w:hAnsi="Arial" w:cs="Arial"/>
        </w:rPr>
        <w:t>as a result of</w:t>
      </w:r>
      <w:proofErr w:type="gramEnd"/>
      <w:r w:rsidRPr="00DF4B34">
        <w:rPr>
          <w:rFonts w:ascii="Arial" w:hAnsi="Arial" w:cs="Arial"/>
        </w:rPr>
        <w:t xml:space="preserve"> experiencing a sexual interest in children. There is a need, therefore, to consider in every case what other offending may accompany the possession offending and where that offending may lead</w:t>
      </w:r>
      <w:r w:rsidR="005F5D91" w:rsidRPr="00DF4B34">
        <w:rPr>
          <w:rFonts w:ascii="Arial" w:hAnsi="Arial" w:cs="Arial"/>
        </w:rPr>
        <w:t>.</w:t>
      </w:r>
    </w:p>
    <w:p w14:paraId="1AADDC83" w14:textId="3FE68AFD" w:rsidR="009E016A" w:rsidRPr="00DF4B34" w:rsidRDefault="00C168F0" w:rsidP="00DF4B34">
      <w:pPr>
        <w:spacing w:line="360" w:lineRule="auto"/>
        <w:jc w:val="both"/>
        <w:rPr>
          <w:rFonts w:ascii="Arial" w:hAnsi="Arial" w:cs="Arial"/>
          <w:sz w:val="24"/>
          <w:szCs w:val="24"/>
        </w:rPr>
      </w:pPr>
      <w:r w:rsidRPr="00DF4B34">
        <w:rPr>
          <w:rFonts w:ascii="Arial" w:hAnsi="Arial" w:cs="Arial"/>
          <w:b/>
          <w:bCs/>
          <w:sz w:val="24"/>
          <w:szCs w:val="24"/>
        </w:rPr>
        <w:t>Sexual abuse is</w:t>
      </w:r>
      <w:r w:rsidR="004E74DA" w:rsidRPr="00DF4B34">
        <w:rPr>
          <w:rFonts w:ascii="Arial" w:hAnsi="Arial" w:cs="Arial"/>
          <w:b/>
          <w:bCs/>
          <w:sz w:val="24"/>
          <w:szCs w:val="24"/>
        </w:rPr>
        <w:t xml:space="preserve"> outlined in Working Together to Safeguard </w:t>
      </w:r>
      <w:r w:rsidR="00704ABC" w:rsidRPr="00DF4B34">
        <w:rPr>
          <w:rFonts w:ascii="Arial" w:hAnsi="Arial" w:cs="Arial"/>
          <w:b/>
          <w:bCs/>
          <w:sz w:val="24"/>
          <w:szCs w:val="24"/>
        </w:rPr>
        <w:t>Children</w:t>
      </w:r>
      <w:r w:rsidR="004E74DA" w:rsidRPr="00DF4B34">
        <w:rPr>
          <w:rFonts w:ascii="Arial" w:hAnsi="Arial" w:cs="Arial"/>
          <w:b/>
          <w:bCs/>
          <w:sz w:val="24"/>
          <w:szCs w:val="24"/>
        </w:rPr>
        <w:t xml:space="preserve"> 2018</w:t>
      </w:r>
      <w:r w:rsidR="00704ABC" w:rsidRPr="00DF4B34">
        <w:rPr>
          <w:rFonts w:ascii="Arial" w:hAnsi="Arial" w:cs="Arial"/>
          <w:sz w:val="24"/>
          <w:szCs w:val="24"/>
        </w:rPr>
        <w:t>:</w:t>
      </w:r>
    </w:p>
    <w:p w14:paraId="5EABE8AA" w14:textId="5C535595" w:rsidR="004D06C3" w:rsidRPr="00DF4B34" w:rsidRDefault="004E22F9" w:rsidP="00DF4B34">
      <w:pPr>
        <w:spacing w:line="360" w:lineRule="auto"/>
        <w:jc w:val="both"/>
        <w:rPr>
          <w:rFonts w:ascii="Arial" w:hAnsi="Arial" w:cs="Arial"/>
          <w:i/>
          <w:iCs/>
          <w:shd w:val="clear" w:color="auto" w:fill="FFFFFF"/>
        </w:rPr>
      </w:pPr>
      <w:r w:rsidRPr="00DF4B34">
        <w:rPr>
          <w:rFonts w:ascii="Arial" w:hAnsi="Arial" w:cs="Arial"/>
          <w:i/>
          <w:iCs/>
        </w:rPr>
        <w:t>Sexual abuse i</w:t>
      </w:r>
      <w:r w:rsidR="00C8525B" w:rsidRPr="00DF4B34">
        <w:rPr>
          <w:rFonts w:ascii="Arial" w:hAnsi="Arial" w:cs="Arial"/>
          <w:i/>
          <w:iCs/>
          <w:shd w:val="clear" w:color="auto" w:fill="FFFFFF"/>
        </w:rPr>
        <w:t xml:space="preserve">nvolves forcing or enticing a child or young person to take part in sexual activities, not necessarily involving a high level of violence, </w:t>
      </w:r>
      <w:proofErr w:type="gramStart"/>
      <w:r w:rsidR="00C8525B" w:rsidRPr="00DF4B34">
        <w:rPr>
          <w:rFonts w:ascii="Arial" w:hAnsi="Arial" w:cs="Arial"/>
          <w:i/>
          <w:iCs/>
          <w:shd w:val="clear" w:color="auto" w:fill="FFFFFF"/>
        </w:rPr>
        <w:t>whether or not</w:t>
      </w:r>
      <w:proofErr w:type="gramEnd"/>
      <w:r w:rsidR="00C8525B" w:rsidRPr="00DF4B34">
        <w:rPr>
          <w:rFonts w:ascii="Arial" w:hAnsi="Arial" w:cs="Arial"/>
          <w:i/>
          <w:iCs/>
          <w:shd w:val="clear" w:color="auto" w:fill="FFFFFF"/>
        </w:rPr>
        <w:t xml:space="preserve"> the child is aware of what is happening. The activities may involve physical contact, including assault by penetration (for example, rape or oral sex) or non-penetrative acts such as masturbation, kissing, </w:t>
      </w:r>
      <w:proofErr w:type="gramStart"/>
      <w:r w:rsidR="00C8525B" w:rsidRPr="00DF4B34">
        <w:rPr>
          <w:rFonts w:ascii="Arial" w:hAnsi="Arial" w:cs="Arial"/>
          <w:i/>
          <w:iCs/>
          <w:shd w:val="clear" w:color="auto" w:fill="FFFFFF"/>
        </w:rPr>
        <w:t>rubbing</w:t>
      </w:r>
      <w:proofErr w:type="gramEnd"/>
      <w:r w:rsidR="00C8525B" w:rsidRPr="00DF4B34">
        <w:rPr>
          <w:rFonts w:ascii="Arial" w:hAnsi="Arial" w:cs="Arial"/>
          <w:i/>
          <w:iCs/>
          <w:shd w:val="clear" w:color="auto" w:fill="FFFFFF"/>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0F8E2049" w14:textId="77777777" w:rsidR="004D06C3" w:rsidRPr="00DF4B34" w:rsidRDefault="004D06C3" w:rsidP="00DF4B34">
      <w:pPr>
        <w:spacing w:line="360" w:lineRule="auto"/>
        <w:jc w:val="both"/>
        <w:rPr>
          <w:rFonts w:ascii="Arial" w:hAnsi="Arial" w:cs="Arial"/>
          <w:i/>
          <w:iCs/>
        </w:rPr>
      </w:pPr>
    </w:p>
    <w:p w14:paraId="6B61B3E6" w14:textId="3087D065" w:rsidR="00E850B1" w:rsidRPr="00DF4B34" w:rsidRDefault="0042249C" w:rsidP="00DF4B34">
      <w:pPr>
        <w:spacing w:line="360" w:lineRule="auto"/>
        <w:jc w:val="both"/>
        <w:rPr>
          <w:rFonts w:ascii="Arial" w:hAnsi="Arial" w:cs="Arial"/>
          <w:sz w:val="24"/>
          <w:szCs w:val="24"/>
        </w:rPr>
      </w:pPr>
      <w:r w:rsidRPr="00DF4B34">
        <w:rPr>
          <w:rFonts w:ascii="Arial" w:hAnsi="Arial" w:cs="Arial"/>
          <w:sz w:val="24"/>
          <w:szCs w:val="24"/>
        </w:rPr>
        <w:t xml:space="preserve">It is </w:t>
      </w:r>
      <w:r w:rsidR="001B0B7A" w:rsidRPr="00DF4B34">
        <w:rPr>
          <w:rFonts w:ascii="Arial" w:hAnsi="Arial" w:cs="Arial"/>
          <w:sz w:val="24"/>
          <w:szCs w:val="24"/>
        </w:rPr>
        <w:t>recognised</w:t>
      </w:r>
      <w:r w:rsidRPr="00DF4B34">
        <w:rPr>
          <w:rFonts w:ascii="Arial" w:hAnsi="Arial" w:cs="Arial"/>
          <w:sz w:val="24"/>
          <w:szCs w:val="24"/>
        </w:rPr>
        <w:t xml:space="preserve"> that assessing risk and </w:t>
      </w:r>
      <w:r w:rsidR="005B4779" w:rsidRPr="00DF4B34">
        <w:rPr>
          <w:rFonts w:ascii="Arial" w:hAnsi="Arial" w:cs="Arial"/>
          <w:sz w:val="24"/>
          <w:szCs w:val="24"/>
        </w:rPr>
        <w:t>formulating</w:t>
      </w:r>
      <w:r w:rsidR="005C2375" w:rsidRPr="00DF4B34">
        <w:rPr>
          <w:rFonts w:ascii="Arial" w:hAnsi="Arial" w:cs="Arial"/>
          <w:sz w:val="24"/>
          <w:szCs w:val="24"/>
        </w:rPr>
        <w:t xml:space="preserve"> plans </w:t>
      </w:r>
      <w:r w:rsidR="00BE212F" w:rsidRPr="00DF4B34">
        <w:rPr>
          <w:rFonts w:ascii="Arial" w:hAnsi="Arial" w:cs="Arial"/>
          <w:sz w:val="24"/>
          <w:szCs w:val="24"/>
        </w:rPr>
        <w:t>to ensure</w:t>
      </w:r>
      <w:r w:rsidR="005C2375" w:rsidRPr="00DF4B34">
        <w:rPr>
          <w:rFonts w:ascii="Arial" w:hAnsi="Arial" w:cs="Arial"/>
          <w:sz w:val="24"/>
          <w:szCs w:val="24"/>
        </w:rPr>
        <w:t xml:space="preserve"> the </w:t>
      </w:r>
      <w:r w:rsidR="005B4779" w:rsidRPr="00DF4B34">
        <w:rPr>
          <w:rFonts w:ascii="Arial" w:hAnsi="Arial" w:cs="Arial"/>
          <w:sz w:val="24"/>
          <w:szCs w:val="24"/>
        </w:rPr>
        <w:t>child</w:t>
      </w:r>
      <w:r w:rsidR="005C2375" w:rsidRPr="00DF4B34">
        <w:rPr>
          <w:rFonts w:ascii="Arial" w:hAnsi="Arial" w:cs="Arial"/>
          <w:sz w:val="24"/>
          <w:szCs w:val="24"/>
        </w:rPr>
        <w:t xml:space="preserve"> is safeguarded is complex </w:t>
      </w:r>
      <w:r w:rsidR="00BE212F" w:rsidRPr="00DF4B34">
        <w:rPr>
          <w:rFonts w:ascii="Arial" w:hAnsi="Arial" w:cs="Arial"/>
          <w:sz w:val="24"/>
          <w:szCs w:val="24"/>
        </w:rPr>
        <w:t>in such cases</w:t>
      </w:r>
      <w:r w:rsidR="00E850B1" w:rsidRPr="00DF4B34">
        <w:rPr>
          <w:rFonts w:ascii="Arial" w:hAnsi="Arial" w:cs="Arial"/>
          <w:sz w:val="24"/>
          <w:szCs w:val="24"/>
        </w:rPr>
        <w:t xml:space="preserve"> for several reasons, including:</w:t>
      </w:r>
    </w:p>
    <w:p w14:paraId="5A74BE43" w14:textId="606FAFF3" w:rsidR="00D23475" w:rsidRPr="00DF4B34" w:rsidRDefault="00C66A3A" w:rsidP="00DF4B34">
      <w:pPr>
        <w:pStyle w:val="ListParagraph"/>
        <w:numPr>
          <w:ilvl w:val="0"/>
          <w:numId w:val="4"/>
        </w:numPr>
        <w:spacing w:line="360" w:lineRule="auto"/>
        <w:jc w:val="both"/>
        <w:rPr>
          <w:rFonts w:ascii="Arial" w:hAnsi="Arial" w:cs="Arial"/>
          <w:sz w:val="24"/>
          <w:szCs w:val="24"/>
        </w:rPr>
      </w:pPr>
      <w:r w:rsidRPr="00DF4B34">
        <w:rPr>
          <w:rFonts w:ascii="Arial" w:hAnsi="Arial" w:cs="Arial"/>
          <w:sz w:val="24"/>
          <w:szCs w:val="24"/>
        </w:rPr>
        <w:t xml:space="preserve">The allegations may be </w:t>
      </w:r>
      <w:r w:rsidR="005B4779" w:rsidRPr="00DF4B34">
        <w:rPr>
          <w:rFonts w:ascii="Arial" w:hAnsi="Arial" w:cs="Arial"/>
          <w:sz w:val="24"/>
          <w:szCs w:val="24"/>
        </w:rPr>
        <w:t>unproven,</w:t>
      </w:r>
      <w:r w:rsidRPr="00DF4B34">
        <w:rPr>
          <w:rFonts w:ascii="Arial" w:hAnsi="Arial" w:cs="Arial"/>
          <w:sz w:val="24"/>
          <w:szCs w:val="24"/>
        </w:rPr>
        <w:t xml:space="preserve"> </w:t>
      </w:r>
      <w:r w:rsidR="00927A4E" w:rsidRPr="00DF4B34">
        <w:rPr>
          <w:rFonts w:ascii="Arial" w:hAnsi="Arial" w:cs="Arial"/>
          <w:sz w:val="24"/>
          <w:szCs w:val="24"/>
        </w:rPr>
        <w:t>a</w:t>
      </w:r>
      <w:r w:rsidRPr="00DF4B34">
        <w:rPr>
          <w:rFonts w:ascii="Arial" w:hAnsi="Arial" w:cs="Arial"/>
          <w:sz w:val="24"/>
          <w:szCs w:val="24"/>
        </w:rPr>
        <w:t>llowing the alleged</w:t>
      </w:r>
      <w:r w:rsidR="00B22689" w:rsidRPr="00DF4B34">
        <w:rPr>
          <w:rFonts w:ascii="Arial" w:hAnsi="Arial" w:cs="Arial"/>
          <w:sz w:val="24"/>
          <w:szCs w:val="24"/>
        </w:rPr>
        <w:t xml:space="preserve"> </w:t>
      </w:r>
      <w:r w:rsidR="002F0754" w:rsidRPr="00DF4B34">
        <w:rPr>
          <w:rFonts w:ascii="Arial" w:hAnsi="Arial" w:cs="Arial"/>
          <w:sz w:val="24"/>
          <w:szCs w:val="24"/>
        </w:rPr>
        <w:t>perpetrator</w:t>
      </w:r>
      <w:r w:rsidRPr="00DF4B34">
        <w:rPr>
          <w:rFonts w:ascii="Arial" w:hAnsi="Arial" w:cs="Arial"/>
          <w:sz w:val="24"/>
          <w:szCs w:val="24"/>
        </w:rPr>
        <w:t xml:space="preserve"> to deny them and suggest there is no risk to the child</w:t>
      </w:r>
      <w:r w:rsidR="009035F2" w:rsidRPr="00DF4B34">
        <w:rPr>
          <w:rFonts w:ascii="Arial" w:hAnsi="Arial" w:cs="Arial"/>
          <w:sz w:val="24"/>
          <w:szCs w:val="24"/>
        </w:rPr>
        <w:t>.</w:t>
      </w:r>
    </w:p>
    <w:p w14:paraId="75311F74" w14:textId="1ADCE105" w:rsidR="004D55E6" w:rsidRPr="00DF4B34" w:rsidRDefault="00D23475" w:rsidP="00DF4B34">
      <w:pPr>
        <w:pStyle w:val="ListParagraph"/>
        <w:numPr>
          <w:ilvl w:val="0"/>
          <w:numId w:val="4"/>
        </w:numPr>
        <w:spacing w:line="360" w:lineRule="auto"/>
        <w:jc w:val="both"/>
        <w:rPr>
          <w:rFonts w:ascii="Arial" w:hAnsi="Arial" w:cs="Arial"/>
          <w:sz w:val="24"/>
          <w:szCs w:val="24"/>
        </w:rPr>
      </w:pPr>
      <w:r w:rsidRPr="00DF4B34">
        <w:rPr>
          <w:rFonts w:ascii="Arial" w:hAnsi="Arial" w:cs="Arial"/>
          <w:sz w:val="24"/>
          <w:szCs w:val="24"/>
        </w:rPr>
        <w:t xml:space="preserve">We </w:t>
      </w:r>
      <w:r w:rsidR="0007119D" w:rsidRPr="00DF4B34">
        <w:rPr>
          <w:rFonts w:ascii="Arial" w:hAnsi="Arial" w:cs="Arial"/>
          <w:sz w:val="24"/>
          <w:szCs w:val="24"/>
        </w:rPr>
        <w:t xml:space="preserve">cannot force an alleged perpetrator to leave the family home. Where there is an agreement to do so, this is often open-ended and </w:t>
      </w:r>
      <w:r w:rsidR="002056D5" w:rsidRPr="00DF4B34">
        <w:rPr>
          <w:rFonts w:ascii="Arial" w:hAnsi="Arial" w:cs="Arial"/>
          <w:sz w:val="24"/>
          <w:szCs w:val="24"/>
        </w:rPr>
        <w:t xml:space="preserve">without </w:t>
      </w:r>
      <w:r w:rsidR="002056D5" w:rsidRPr="00DF4B34">
        <w:rPr>
          <w:rFonts w:ascii="Arial" w:hAnsi="Arial" w:cs="Arial"/>
          <w:sz w:val="24"/>
          <w:szCs w:val="24"/>
        </w:rPr>
        <w:lastRenderedPageBreak/>
        <w:t>timescales</w:t>
      </w:r>
      <w:r w:rsidR="008A30F7" w:rsidRPr="00DF4B34">
        <w:rPr>
          <w:rFonts w:ascii="Arial" w:hAnsi="Arial" w:cs="Arial"/>
          <w:sz w:val="24"/>
          <w:szCs w:val="24"/>
        </w:rPr>
        <w:t xml:space="preserve">. </w:t>
      </w:r>
      <w:r w:rsidR="009B4124" w:rsidRPr="00DF4B34">
        <w:rPr>
          <w:rFonts w:ascii="Arial" w:hAnsi="Arial" w:cs="Arial"/>
          <w:sz w:val="24"/>
          <w:szCs w:val="24"/>
        </w:rPr>
        <w:t xml:space="preserve">Such arrangements can also result in </w:t>
      </w:r>
      <w:r w:rsidR="004D55E6" w:rsidRPr="00DF4B34">
        <w:rPr>
          <w:rFonts w:ascii="Arial" w:hAnsi="Arial" w:cs="Arial"/>
          <w:sz w:val="24"/>
          <w:szCs w:val="24"/>
        </w:rPr>
        <w:t xml:space="preserve">judicial criticism or parental complaints </w:t>
      </w:r>
      <w:r w:rsidR="00816036" w:rsidRPr="00DF4B34">
        <w:rPr>
          <w:rFonts w:ascii="Arial" w:hAnsi="Arial" w:cs="Arial"/>
          <w:sz w:val="24"/>
          <w:szCs w:val="24"/>
        </w:rPr>
        <w:t xml:space="preserve">further down the line whereby it is suggested we have </w:t>
      </w:r>
      <w:r w:rsidR="00927A4E" w:rsidRPr="00DF4B34">
        <w:rPr>
          <w:rFonts w:ascii="Arial" w:hAnsi="Arial" w:cs="Arial"/>
          <w:sz w:val="24"/>
          <w:szCs w:val="24"/>
        </w:rPr>
        <w:t>acted in</w:t>
      </w:r>
      <w:r w:rsidR="00816036" w:rsidRPr="00DF4B34">
        <w:rPr>
          <w:rFonts w:ascii="Arial" w:hAnsi="Arial" w:cs="Arial"/>
          <w:sz w:val="24"/>
          <w:szCs w:val="24"/>
        </w:rPr>
        <w:t xml:space="preserve"> </w:t>
      </w:r>
      <w:r w:rsidR="005B4779" w:rsidRPr="00DF4B34">
        <w:rPr>
          <w:rFonts w:ascii="Arial" w:hAnsi="Arial" w:cs="Arial"/>
          <w:sz w:val="24"/>
          <w:szCs w:val="24"/>
        </w:rPr>
        <w:t>breach</w:t>
      </w:r>
      <w:r w:rsidR="00816036" w:rsidRPr="00DF4B34">
        <w:rPr>
          <w:rFonts w:ascii="Arial" w:hAnsi="Arial" w:cs="Arial"/>
          <w:sz w:val="24"/>
          <w:szCs w:val="24"/>
        </w:rPr>
        <w:t xml:space="preserve"> of either the adult or child's right to a family life. </w:t>
      </w:r>
    </w:p>
    <w:p w14:paraId="62DE5CC9" w14:textId="7693FB90" w:rsidR="00D4522F" w:rsidRPr="00DF4B34" w:rsidRDefault="00625376" w:rsidP="00DF4B34">
      <w:pPr>
        <w:pStyle w:val="ListParagraph"/>
        <w:numPr>
          <w:ilvl w:val="0"/>
          <w:numId w:val="4"/>
        </w:numPr>
        <w:spacing w:line="360" w:lineRule="auto"/>
        <w:jc w:val="both"/>
        <w:rPr>
          <w:rFonts w:ascii="Arial" w:hAnsi="Arial" w:cs="Arial"/>
          <w:sz w:val="24"/>
          <w:szCs w:val="24"/>
        </w:rPr>
      </w:pPr>
      <w:r w:rsidRPr="00DF4B34">
        <w:rPr>
          <w:rFonts w:ascii="Arial" w:hAnsi="Arial" w:cs="Arial"/>
          <w:sz w:val="24"/>
          <w:szCs w:val="24"/>
        </w:rPr>
        <w:t xml:space="preserve">Leaving these arrangements </w:t>
      </w:r>
      <w:r w:rsidR="00D4522F" w:rsidRPr="00DF4B34">
        <w:rPr>
          <w:rFonts w:ascii="Arial" w:hAnsi="Arial" w:cs="Arial"/>
          <w:sz w:val="24"/>
          <w:szCs w:val="24"/>
        </w:rPr>
        <w:t xml:space="preserve">open ended outside of </w:t>
      </w:r>
      <w:r w:rsidR="002F0754" w:rsidRPr="00DF4B34">
        <w:rPr>
          <w:rFonts w:ascii="Arial" w:hAnsi="Arial" w:cs="Arial"/>
          <w:sz w:val="24"/>
          <w:szCs w:val="24"/>
        </w:rPr>
        <w:t>proceedings</w:t>
      </w:r>
      <w:r w:rsidR="00D4522F" w:rsidRPr="00DF4B34">
        <w:rPr>
          <w:rFonts w:ascii="Arial" w:hAnsi="Arial" w:cs="Arial"/>
          <w:sz w:val="24"/>
          <w:szCs w:val="24"/>
        </w:rPr>
        <w:t xml:space="preserve"> can </w:t>
      </w:r>
      <w:r w:rsidR="00927A4E" w:rsidRPr="00DF4B34">
        <w:rPr>
          <w:rFonts w:ascii="Arial" w:hAnsi="Arial" w:cs="Arial"/>
          <w:sz w:val="24"/>
          <w:szCs w:val="24"/>
        </w:rPr>
        <w:t>contribute</w:t>
      </w:r>
      <w:r w:rsidR="005878B3" w:rsidRPr="00DF4B34">
        <w:rPr>
          <w:rFonts w:ascii="Arial" w:hAnsi="Arial" w:cs="Arial"/>
          <w:sz w:val="24"/>
          <w:szCs w:val="24"/>
        </w:rPr>
        <w:t xml:space="preserve"> to feelings of frustration or stress </w:t>
      </w:r>
      <w:r w:rsidR="00927A4E" w:rsidRPr="00DF4B34">
        <w:rPr>
          <w:rFonts w:ascii="Arial" w:hAnsi="Arial" w:cs="Arial"/>
          <w:sz w:val="24"/>
          <w:szCs w:val="24"/>
        </w:rPr>
        <w:t>for</w:t>
      </w:r>
      <w:r w:rsidR="005878B3" w:rsidRPr="00DF4B34">
        <w:rPr>
          <w:rFonts w:ascii="Arial" w:hAnsi="Arial" w:cs="Arial"/>
          <w:sz w:val="24"/>
          <w:szCs w:val="24"/>
        </w:rPr>
        <w:t xml:space="preserve"> the family, </w:t>
      </w:r>
      <w:r w:rsidR="0004614A" w:rsidRPr="00DF4B34">
        <w:rPr>
          <w:rFonts w:ascii="Arial" w:hAnsi="Arial" w:cs="Arial"/>
          <w:sz w:val="24"/>
          <w:szCs w:val="24"/>
        </w:rPr>
        <w:t xml:space="preserve">often leading to disengagement or </w:t>
      </w:r>
      <w:r w:rsidR="00501696" w:rsidRPr="00DF4B34">
        <w:rPr>
          <w:rFonts w:ascii="Arial" w:hAnsi="Arial" w:cs="Arial"/>
          <w:sz w:val="24"/>
          <w:szCs w:val="24"/>
        </w:rPr>
        <w:t>breaching of any agreement in place with the social worker.</w:t>
      </w:r>
      <w:r w:rsidR="006D3191" w:rsidRPr="00DF4B34">
        <w:rPr>
          <w:rFonts w:ascii="Arial" w:hAnsi="Arial" w:cs="Arial"/>
          <w:sz w:val="24"/>
          <w:szCs w:val="24"/>
        </w:rPr>
        <w:t xml:space="preserve"> It can also be a </w:t>
      </w:r>
      <w:r w:rsidR="00490EFB" w:rsidRPr="00DF4B34">
        <w:rPr>
          <w:rFonts w:ascii="Arial" w:hAnsi="Arial" w:cs="Arial"/>
          <w:sz w:val="24"/>
          <w:szCs w:val="24"/>
        </w:rPr>
        <w:t>stressful</w:t>
      </w:r>
      <w:r w:rsidR="006D3191" w:rsidRPr="00DF4B34">
        <w:rPr>
          <w:rFonts w:ascii="Arial" w:hAnsi="Arial" w:cs="Arial"/>
          <w:sz w:val="24"/>
          <w:szCs w:val="24"/>
        </w:rPr>
        <w:t xml:space="preserve"> experience for the social worker, who is having to </w:t>
      </w:r>
      <w:r w:rsidR="00490EFB" w:rsidRPr="00DF4B34">
        <w:rPr>
          <w:rFonts w:ascii="Arial" w:hAnsi="Arial" w:cs="Arial"/>
          <w:sz w:val="24"/>
          <w:szCs w:val="24"/>
        </w:rPr>
        <w:t>defend</w:t>
      </w:r>
      <w:r w:rsidR="006D3191" w:rsidRPr="00DF4B34">
        <w:rPr>
          <w:rFonts w:ascii="Arial" w:hAnsi="Arial" w:cs="Arial"/>
          <w:sz w:val="24"/>
          <w:szCs w:val="24"/>
        </w:rPr>
        <w:t xml:space="preserve"> the decision making in the </w:t>
      </w:r>
      <w:r w:rsidR="00490EFB" w:rsidRPr="00DF4B34">
        <w:rPr>
          <w:rFonts w:ascii="Arial" w:hAnsi="Arial" w:cs="Arial"/>
          <w:sz w:val="24"/>
          <w:szCs w:val="24"/>
        </w:rPr>
        <w:t>absence</w:t>
      </w:r>
      <w:r w:rsidR="006D3191" w:rsidRPr="00DF4B34">
        <w:rPr>
          <w:rFonts w:ascii="Arial" w:hAnsi="Arial" w:cs="Arial"/>
          <w:sz w:val="24"/>
          <w:szCs w:val="24"/>
        </w:rPr>
        <w:t xml:space="preserve"> of a</w:t>
      </w:r>
      <w:r w:rsidR="00D4522F" w:rsidRPr="00DF4B34">
        <w:rPr>
          <w:rFonts w:ascii="Arial" w:hAnsi="Arial" w:cs="Arial"/>
          <w:sz w:val="24"/>
          <w:szCs w:val="24"/>
        </w:rPr>
        <w:t xml:space="preserve"> factual basis on which to request the alleged perpetrator does not have contact with the child or stays out of the family home</w:t>
      </w:r>
    </w:p>
    <w:p w14:paraId="5D722023" w14:textId="2B42778C" w:rsidR="004D55E6" w:rsidRPr="00DF4B34" w:rsidRDefault="00A201B9" w:rsidP="00DF4B34">
      <w:pPr>
        <w:pStyle w:val="ListParagraph"/>
        <w:numPr>
          <w:ilvl w:val="0"/>
          <w:numId w:val="4"/>
        </w:numPr>
        <w:spacing w:line="360" w:lineRule="auto"/>
        <w:jc w:val="both"/>
        <w:rPr>
          <w:rFonts w:ascii="Arial" w:hAnsi="Arial" w:cs="Arial"/>
          <w:sz w:val="24"/>
          <w:szCs w:val="24"/>
        </w:rPr>
      </w:pPr>
      <w:r w:rsidRPr="00DF4B34">
        <w:rPr>
          <w:rFonts w:ascii="Arial" w:hAnsi="Arial" w:cs="Arial"/>
          <w:sz w:val="24"/>
          <w:szCs w:val="24"/>
        </w:rPr>
        <w:t>Obtaining</w:t>
      </w:r>
      <w:r w:rsidR="00AA48E2" w:rsidRPr="00DF4B34">
        <w:rPr>
          <w:rFonts w:ascii="Arial" w:hAnsi="Arial" w:cs="Arial"/>
          <w:sz w:val="24"/>
          <w:szCs w:val="24"/>
        </w:rPr>
        <w:t xml:space="preserve"> police disclosure outside of </w:t>
      </w:r>
      <w:r w:rsidRPr="00DF4B34">
        <w:rPr>
          <w:rFonts w:ascii="Arial" w:hAnsi="Arial" w:cs="Arial"/>
          <w:sz w:val="24"/>
          <w:szCs w:val="24"/>
        </w:rPr>
        <w:t>proceedings</w:t>
      </w:r>
      <w:r w:rsidR="00AA48E2" w:rsidRPr="00DF4B34">
        <w:rPr>
          <w:rFonts w:ascii="Arial" w:hAnsi="Arial" w:cs="Arial"/>
          <w:sz w:val="24"/>
          <w:szCs w:val="24"/>
        </w:rPr>
        <w:t xml:space="preserve"> can be </w:t>
      </w:r>
      <w:r w:rsidRPr="00DF4B34">
        <w:rPr>
          <w:rFonts w:ascii="Arial" w:hAnsi="Arial" w:cs="Arial"/>
          <w:sz w:val="24"/>
          <w:szCs w:val="24"/>
        </w:rPr>
        <w:t>difficult</w:t>
      </w:r>
      <w:r w:rsidR="00167209" w:rsidRPr="00DF4B34">
        <w:rPr>
          <w:rFonts w:ascii="Arial" w:hAnsi="Arial" w:cs="Arial"/>
          <w:sz w:val="24"/>
          <w:szCs w:val="24"/>
        </w:rPr>
        <w:t xml:space="preserve">. The absence of this information compromises the quality of any assessments </w:t>
      </w:r>
      <w:r w:rsidR="0009745D" w:rsidRPr="00DF4B34">
        <w:rPr>
          <w:rFonts w:ascii="Arial" w:hAnsi="Arial" w:cs="Arial"/>
          <w:sz w:val="24"/>
          <w:szCs w:val="24"/>
        </w:rPr>
        <w:t xml:space="preserve">undertaken. </w:t>
      </w:r>
    </w:p>
    <w:p w14:paraId="58B08496" w14:textId="43B29A19" w:rsidR="00704ABC" w:rsidRPr="00DF4B34" w:rsidRDefault="005571F1" w:rsidP="00DF4B34">
      <w:pPr>
        <w:pStyle w:val="ListParagraph"/>
        <w:numPr>
          <w:ilvl w:val="0"/>
          <w:numId w:val="4"/>
        </w:numPr>
        <w:spacing w:line="360" w:lineRule="auto"/>
        <w:jc w:val="both"/>
        <w:rPr>
          <w:rFonts w:ascii="Arial" w:hAnsi="Arial" w:cs="Arial"/>
          <w:sz w:val="24"/>
          <w:szCs w:val="24"/>
        </w:rPr>
      </w:pPr>
      <w:r w:rsidRPr="00DF4B34">
        <w:rPr>
          <w:rFonts w:ascii="Arial" w:hAnsi="Arial" w:cs="Arial"/>
          <w:sz w:val="24"/>
          <w:szCs w:val="24"/>
        </w:rPr>
        <w:t xml:space="preserve">Not all allegations result in a police </w:t>
      </w:r>
      <w:r w:rsidR="005B4779" w:rsidRPr="00DF4B34">
        <w:rPr>
          <w:rFonts w:ascii="Arial" w:hAnsi="Arial" w:cs="Arial"/>
          <w:sz w:val="24"/>
          <w:szCs w:val="24"/>
        </w:rPr>
        <w:t>investigation</w:t>
      </w:r>
      <w:r w:rsidRPr="00DF4B34">
        <w:rPr>
          <w:rFonts w:ascii="Arial" w:hAnsi="Arial" w:cs="Arial"/>
          <w:sz w:val="24"/>
          <w:szCs w:val="24"/>
        </w:rPr>
        <w:t xml:space="preserve">, and </w:t>
      </w:r>
      <w:r w:rsidR="006176F4" w:rsidRPr="00DF4B34">
        <w:rPr>
          <w:rFonts w:ascii="Arial" w:hAnsi="Arial" w:cs="Arial"/>
          <w:sz w:val="24"/>
          <w:szCs w:val="24"/>
        </w:rPr>
        <w:t xml:space="preserve">when they do, such </w:t>
      </w:r>
      <w:r w:rsidR="005B4779" w:rsidRPr="00DF4B34">
        <w:rPr>
          <w:rFonts w:ascii="Arial" w:hAnsi="Arial" w:cs="Arial"/>
          <w:sz w:val="24"/>
          <w:szCs w:val="24"/>
        </w:rPr>
        <w:t>investigations</w:t>
      </w:r>
      <w:r w:rsidR="006176F4" w:rsidRPr="00DF4B34">
        <w:rPr>
          <w:rFonts w:ascii="Arial" w:hAnsi="Arial" w:cs="Arial"/>
          <w:sz w:val="24"/>
          <w:szCs w:val="24"/>
        </w:rPr>
        <w:t xml:space="preserve"> are </w:t>
      </w:r>
      <w:r w:rsidR="005B4779" w:rsidRPr="00DF4B34">
        <w:rPr>
          <w:rFonts w:ascii="Arial" w:hAnsi="Arial" w:cs="Arial"/>
          <w:sz w:val="24"/>
          <w:szCs w:val="24"/>
        </w:rPr>
        <w:t>protracted</w:t>
      </w:r>
      <w:r w:rsidR="006176F4" w:rsidRPr="00DF4B34">
        <w:rPr>
          <w:rFonts w:ascii="Arial" w:hAnsi="Arial" w:cs="Arial"/>
          <w:sz w:val="24"/>
          <w:szCs w:val="24"/>
        </w:rPr>
        <w:t xml:space="preserve"> and </w:t>
      </w:r>
      <w:r w:rsidR="00465316" w:rsidRPr="00DF4B34">
        <w:rPr>
          <w:rFonts w:ascii="Arial" w:hAnsi="Arial" w:cs="Arial"/>
          <w:sz w:val="24"/>
          <w:szCs w:val="24"/>
        </w:rPr>
        <w:t>rarely in a timescale that</w:t>
      </w:r>
      <w:r w:rsidR="00490EFB" w:rsidRPr="00DF4B34">
        <w:rPr>
          <w:rFonts w:ascii="Arial" w:hAnsi="Arial" w:cs="Arial"/>
          <w:sz w:val="24"/>
          <w:szCs w:val="24"/>
        </w:rPr>
        <w:t xml:space="preserve"> is </w:t>
      </w:r>
      <w:r w:rsidR="00AD6731" w:rsidRPr="00DF4B34">
        <w:rPr>
          <w:rFonts w:ascii="Arial" w:hAnsi="Arial" w:cs="Arial"/>
          <w:sz w:val="24"/>
          <w:szCs w:val="24"/>
        </w:rPr>
        <w:t>conducive</w:t>
      </w:r>
      <w:r w:rsidR="00490EFB" w:rsidRPr="00DF4B34">
        <w:rPr>
          <w:rFonts w:ascii="Arial" w:hAnsi="Arial" w:cs="Arial"/>
          <w:sz w:val="24"/>
          <w:szCs w:val="24"/>
        </w:rPr>
        <w:t xml:space="preserve"> to </w:t>
      </w:r>
      <w:r w:rsidR="00AD6731" w:rsidRPr="00DF4B34">
        <w:rPr>
          <w:rFonts w:ascii="Arial" w:hAnsi="Arial" w:cs="Arial"/>
          <w:sz w:val="24"/>
          <w:szCs w:val="24"/>
        </w:rPr>
        <w:t xml:space="preserve">safeguarding </w:t>
      </w:r>
      <w:r w:rsidR="00465316" w:rsidRPr="00DF4B34">
        <w:rPr>
          <w:rFonts w:ascii="Arial" w:hAnsi="Arial" w:cs="Arial"/>
          <w:sz w:val="24"/>
          <w:szCs w:val="24"/>
        </w:rPr>
        <w:t>decision</w:t>
      </w:r>
      <w:r w:rsidR="00AD6731" w:rsidRPr="00DF4B34">
        <w:rPr>
          <w:rFonts w:ascii="Arial" w:hAnsi="Arial" w:cs="Arial"/>
          <w:sz w:val="24"/>
          <w:szCs w:val="24"/>
        </w:rPr>
        <w:t>s</w:t>
      </w:r>
      <w:r w:rsidR="00465316" w:rsidRPr="00DF4B34">
        <w:rPr>
          <w:rFonts w:ascii="Arial" w:hAnsi="Arial" w:cs="Arial"/>
          <w:sz w:val="24"/>
          <w:szCs w:val="24"/>
        </w:rPr>
        <w:t xml:space="preserve"> for the </w:t>
      </w:r>
      <w:r w:rsidR="00230399" w:rsidRPr="00DF4B34">
        <w:rPr>
          <w:rFonts w:ascii="Arial" w:hAnsi="Arial" w:cs="Arial"/>
          <w:sz w:val="24"/>
          <w:szCs w:val="24"/>
        </w:rPr>
        <w:t>child</w:t>
      </w:r>
      <w:r w:rsidR="00465316" w:rsidRPr="00DF4B34">
        <w:rPr>
          <w:rFonts w:ascii="Arial" w:hAnsi="Arial" w:cs="Arial"/>
          <w:sz w:val="24"/>
          <w:szCs w:val="24"/>
        </w:rPr>
        <w:t xml:space="preserve">. </w:t>
      </w:r>
      <w:r w:rsidR="007A3521" w:rsidRPr="00DF4B34">
        <w:rPr>
          <w:rFonts w:ascii="Arial" w:hAnsi="Arial" w:cs="Arial"/>
          <w:sz w:val="24"/>
          <w:szCs w:val="24"/>
        </w:rPr>
        <w:t xml:space="preserve">The potential delay in investigations that involve the forensic analysis of electronic equipment are referenced in Section 3.  </w:t>
      </w:r>
    </w:p>
    <w:p w14:paraId="1E012FD4" w14:textId="77777777" w:rsidR="008B29DE" w:rsidRPr="00DF4B34" w:rsidRDefault="008B29DE" w:rsidP="00DF4B34">
      <w:pPr>
        <w:pStyle w:val="ListParagraph"/>
        <w:spacing w:line="360" w:lineRule="auto"/>
        <w:ind w:left="1080"/>
        <w:jc w:val="both"/>
        <w:rPr>
          <w:rFonts w:ascii="Arial" w:hAnsi="Arial" w:cs="Arial"/>
          <w:sz w:val="24"/>
          <w:szCs w:val="24"/>
        </w:rPr>
      </w:pPr>
    </w:p>
    <w:p w14:paraId="7E73F84B" w14:textId="77777777" w:rsidR="00230399" w:rsidRPr="00DF4B34" w:rsidRDefault="00230399" w:rsidP="00DF4B34">
      <w:pPr>
        <w:pStyle w:val="ListParagraph"/>
        <w:spacing w:line="360" w:lineRule="auto"/>
        <w:ind w:left="1080"/>
        <w:jc w:val="both"/>
        <w:rPr>
          <w:rFonts w:ascii="Arial" w:hAnsi="Arial" w:cs="Arial"/>
          <w:sz w:val="24"/>
          <w:szCs w:val="24"/>
        </w:rPr>
      </w:pPr>
    </w:p>
    <w:p w14:paraId="222B3BEA" w14:textId="0259E54C" w:rsidR="00A8308E" w:rsidRPr="00DF4B34" w:rsidRDefault="00A8308E" w:rsidP="00DF4B34">
      <w:pPr>
        <w:pStyle w:val="ListParagraph"/>
        <w:numPr>
          <w:ilvl w:val="0"/>
          <w:numId w:val="1"/>
        </w:numPr>
        <w:spacing w:line="360" w:lineRule="auto"/>
        <w:jc w:val="both"/>
        <w:rPr>
          <w:rFonts w:ascii="Arial" w:hAnsi="Arial" w:cs="Arial"/>
          <w:b/>
          <w:bCs/>
          <w:sz w:val="24"/>
          <w:szCs w:val="24"/>
          <w:u w:val="single"/>
        </w:rPr>
      </w:pPr>
      <w:r w:rsidRPr="00DF4B34">
        <w:rPr>
          <w:rFonts w:ascii="Arial" w:hAnsi="Arial" w:cs="Arial"/>
          <w:b/>
          <w:bCs/>
          <w:sz w:val="24"/>
          <w:szCs w:val="24"/>
          <w:u w:val="single"/>
        </w:rPr>
        <w:t xml:space="preserve">Management of </w:t>
      </w:r>
      <w:r w:rsidR="006F22CE" w:rsidRPr="00DF4B34">
        <w:rPr>
          <w:rFonts w:ascii="Arial" w:hAnsi="Arial" w:cs="Arial"/>
          <w:b/>
          <w:bCs/>
          <w:sz w:val="24"/>
          <w:szCs w:val="24"/>
          <w:u w:val="single"/>
        </w:rPr>
        <w:t>immediate</w:t>
      </w:r>
      <w:r w:rsidRPr="00DF4B34">
        <w:rPr>
          <w:rFonts w:ascii="Arial" w:hAnsi="Arial" w:cs="Arial"/>
          <w:b/>
          <w:bCs/>
          <w:sz w:val="24"/>
          <w:szCs w:val="24"/>
          <w:u w:val="single"/>
        </w:rPr>
        <w:t xml:space="preserve"> risk</w:t>
      </w:r>
    </w:p>
    <w:p w14:paraId="609198A9" w14:textId="5F2BD964" w:rsidR="00945B81" w:rsidRPr="00DF4B34" w:rsidRDefault="005367EC" w:rsidP="00DF4B34">
      <w:pPr>
        <w:spacing w:line="360" w:lineRule="auto"/>
        <w:jc w:val="both"/>
        <w:rPr>
          <w:rFonts w:ascii="Arial" w:hAnsi="Arial" w:cs="Arial"/>
          <w:sz w:val="24"/>
          <w:szCs w:val="24"/>
        </w:rPr>
      </w:pPr>
      <w:r w:rsidRPr="00AE1DB7">
        <w:rPr>
          <w:rFonts w:ascii="Arial" w:hAnsi="Arial" w:cs="Arial"/>
          <w:sz w:val="24"/>
          <w:szCs w:val="24"/>
        </w:rPr>
        <w:t xml:space="preserve">Where the main carer has separated from the individual who has had allegations made against them, </w:t>
      </w:r>
      <w:r w:rsidR="00E537E4" w:rsidRPr="00AE1DB7">
        <w:rPr>
          <w:rFonts w:ascii="Arial" w:hAnsi="Arial" w:cs="Arial"/>
          <w:sz w:val="24"/>
          <w:szCs w:val="24"/>
        </w:rPr>
        <w:t xml:space="preserve">a Child and Family Assessment should be undertaken in the first instance to determine next steps. A Child Protection Plan or Legal advice </w:t>
      </w:r>
      <w:proofErr w:type="gramStart"/>
      <w:r w:rsidR="00E537E4" w:rsidRPr="00AE1DB7">
        <w:rPr>
          <w:rFonts w:ascii="Arial" w:hAnsi="Arial" w:cs="Arial"/>
          <w:sz w:val="24"/>
          <w:szCs w:val="24"/>
        </w:rPr>
        <w:t xml:space="preserve">may  </w:t>
      </w:r>
      <w:r w:rsidR="005958E0" w:rsidRPr="00AE1DB7">
        <w:rPr>
          <w:rFonts w:ascii="Arial" w:hAnsi="Arial" w:cs="Arial"/>
          <w:sz w:val="24"/>
          <w:szCs w:val="24"/>
        </w:rPr>
        <w:t>still</w:t>
      </w:r>
      <w:proofErr w:type="gramEnd"/>
      <w:r w:rsidR="005958E0" w:rsidRPr="00AE1DB7">
        <w:rPr>
          <w:rFonts w:ascii="Arial" w:hAnsi="Arial" w:cs="Arial"/>
          <w:sz w:val="24"/>
          <w:szCs w:val="24"/>
        </w:rPr>
        <w:t xml:space="preserve"> </w:t>
      </w:r>
      <w:r w:rsidR="008866C8" w:rsidRPr="00AE1DB7">
        <w:rPr>
          <w:rFonts w:ascii="Arial" w:hAnsi="Arial" w:cs="Arial"/>
          <w:sz w:val="24"/>
          <w:szCs w:val="24"/>
        </w:rPr>
        <w:t xml:space="preserve">be </w:t>
      </w:r>
      <w:r w:rsidR="00E537E4" w:rsidRPr="00AE1DB7">
        <w:rPr>
          <w:rFonts w:ascii="Arial" w:hAnsi="Arial" w:cs="Arial"/>
          <w:sz w:val="24"/>
          <w:szCs w:val="24"/>
        </w:rPr>
        <w:t>required</w:t>
      </w:r>
      <w:r w:rsidR="008866C8" w:rsidRPr="00AE1DB7">
        <w:rPr>
          <w:rFonts w:ascii="Arial" w:hAnsi="Arial" w:cs="Arial"/>
          <w:sz w:val="24"/>
          <w:szCs w:val="24"/>
        </w:rPr>
        <w:t xml:space="preserve"> to ensure that this separation is permanent, </w:t>
      </w:r>
      <w:r w:rsidR="008A2E9D" w:rsidRPr="00AE1DB7">
        <w:rPr>
          <w:rFonts w:ascii="Arial" w:hAnsi="Arial" w:cs="Arial"/>
          <w:sz w:val="24"/>
          <w:szCs w:val="24"/>
        </w:rPr>
        <w:t xml:space="preserve">that </w:t>
      </w:r>
      <w:r w:rsidR="008866C8" w:rsidRPr="00AE1DB7">
        <w:rPr>
          <w:rFonts w:ascii="Arial" w:hAnsi="Arial" w:cs="Arial"/>
          <w:sz w:val="24"/>
          <w:szCs w:val="24"/>
        </w:rPr>
        <w:t>the main carer is aware of the risks in the future</w:t>
      </w:r>
      <w:r w:rsidR="008A2E9D" w:rsidRPr="00AE1DB7">
        <w:rPr>
          <w:rFonts w:ascii="Arial" w:hAnsi="Arial" w:cs="Arial"/>
          <w:sz w:val="24"/>
          <w:szCs w:val="24"/>
        </w:rPr>
        <w:t xml:space="preserve">, and </w:t>
      </w:r>
      <w:r w:rsidR="000769DE" w:rsidRPr="00AE1DB7">
        <w:rPr>
          <w:rFonts w:ascii="Arial" w:hAnsi="Arial" w:cs="Arial"/>
          <w:sz w:val="24"/>
          <w:szCs w:val="24"/>
        </w:rPr>
        <w:t>able to prioritise the children's needs accordingly</w:t>
      </w:r>
      <w:r w:rsidR="00E537E4" w:rsidRPr="00AE1DB7">
        <w:rPr>
          <w:rFonts w:ascii="Arial" w:hAnsi="Arial" w:cs="Arial"/>
          <w:sz w:val="24"/>
          <w:szCs w:val="24"/>
        </w:rPr>
        <w:t>, however this will be informed by the Child and Family Assessment</w:t>
      </w:r>
      <w:r w:rsidR="008866C8" w:rsidRPr="00AE1DB7">
        <w:rPr>
          <w:rFonts w:ascii="Arial" w:hAnsi="Arial" w:cs="Arial"/>
          <w:sz w:val="24"/>
          <w:szCs w:val="24"/>
        </w:rPr>
        <w:t>.</w:t>
      </w:r>
      <w:r w:rsidR="008866C8" w:rsidRPr="00DF4B34">
        <w:rPr>
          <w:rFonts w:ascii="Arial" w:hAnsi="Arial" w:cs="Arial"/>
          <w:sz w:val="24"/>
          <w:szCs w:val="24"/>
        </w:rPr>
        <w:t xml:space="preserve"> </w:t>
      </w:r>
      <w:r w:rsidR="00EE03F8" w:rsidRPr="00DF4B34">
        <w:rPr>
          <w:rFonts w:ascii="Arial" w:hAnsi="Arial" w:cs="Arial"/>
          <w:sz w:val="24"/>
          <w:szCs w:val="24"/>
        </w:rPr>
        <w:t xml:space="preserve">Any assessments should consider if this separation occurred </w:t>
      </w:r>
      <w:r w:rsidR="006913CF" w:rsidRPr="00DF4B34">
        <w:rPr>
          <w:rFonts w:ascii="Arial" w:hAnsi="Arial" w:cs="Arial"/>
          <w:sz w:val="24"/>
          <w:szCs w:val="24"/>
        </w:rPr>
        <w:t>prior to us becoming involved or after providing guidance, their responses to the risks discussed and th</w:t>
      </w:r>
      <w:r w:rsidR="00D5191F" w:rsidRPr="00DF4B34">
        <w:rPr>
          <w:rFonts w:ascii="Arial" w:hAnsi="Arial" w:cs="Arial"/>
          <w:sz w:val="24"/>
          <w:szCs w:val="24"/>
        </w:rPr>
        <w:t>e individual's ability to protect</w:t>
      </w:r>
      <w:r w:rsidR="0090214F" w:rsidRPr="00DF4B34">
        <w:rPr>
          <w:rFonts w:ascii="Arial" w:hAnsi="Arial" w:cs="Arial"/>
          <w:sz w:val="24"/>
          <w:szCs w:val="24"/>
        </w:rPr>
        <w:t xml:space="preserve">, whilst also being sensitive </w:t>
      </w:r>
      <w:r w:rsidR="002318E3" w:rsidRPr="00DF4B34">
        <w:rPr>
          <w:rFonts w:ascii="Arial" w:hAnsi="Arial" w:cs="Arial"/>
          <w:sz w:val="24"/>
          <w:szCs w:val="24"/>
        </w:rPr>
        <w:t xml:space="preserve">to </w:t>
      </w:r>
      <w:r w:rsidR="0090214F" w:rsidRPr="00DF4B34">
        <w:rPr>
          <w:rFonts w:ascii="Arial" w:hAnsi="Arial" w:cs="Arial"/>
          <w:sz w:val="24"/>
          <w:szCs w:val="24"/>
        </w:rPr>
        <w:t>the fact that</w:t>
      </w:r>
      <w:r w:rsidR="00F82001" w:rsidRPr="00DF4B34">
        <w:rPr>
          <w:rFonts w:ascii="Arial" w:hAnsi="Arial" w:cs="Arial"/>
          <w:sz w:val="24"/>
          <w:szCs w:val="24"/>
        </w:rPr>
        <w:t xml:space="preserve"> this may be new information</w:t>
      </w:r>
      <w:r w:rsidR="00E67E87" w:rsidRPr="00DF4B34">
        <w:rPr>
          <w:rFonts w:ascii="Arial" w:hAnsi="Arial" w:cs="Arial"/>
          <w:sz w:val="24"/>
          <w:szCs w:val="24"/>
        </w:rPr>
        <w:t xml:space="preserve"> and their immediate response may evolve over </w:t>
      </w:r>
      <w:r w:rsidR="00F82001" w:rsidRPr="00DF4B34">
        <w:rPr>
          <w:rFonts w:ascii="Arial" w:hAnsi="Arial" w:cs="Arial"/>
          <w:sz w:val="24"/>
          <w:szCs w:val="24"/>
        </w:rPr>
        <w:t xml:space="preserve">even a short period of </w:t>
      </w:r>
      <w:r w:rsidR="00E67E87" w:rsidRPr="00DF4B34">
        <w:rPr>
          <w:rFonts w:ascii="Arial" w:hAnsi="Arial" w:cs="Arial"/>
          <w:sz w:val="24"/>
          <w:szCs w:val="24"/>
        </w:rPr>
        <w:t>time</w:t>
      </w:r>
      <w:r w:rsidR="00D5191F" w:rsidRPr="00DF4B34">
        <w:rPr>
          <w:rFonts w:ascii="Arial" w:hAnsi="Arial" w:cs="Arial"/>
          <w:sz w:val="24"/>
          <w:szCs w:val="24"/>
        </w:rPr>
        <w:t xml:space="preserve">. </w:t>
      </w:r>
      <w:r w:rsidR="00812BEA" w:rsidRPr="00DF4B34">
        <w:rPr>
          <w:rFonts w:ascii="Arial" w:hAnsi="Arial" w:cs="Arial"/>
          <w:sz w:val="24"/>
          <w:szCs w:val="24"/>
        </w:rPr>
        <w:t xml:space="preserve">Contact with </w:t>
      </w:r>
      <w:r w:rsidR="00491E5C" w:rsidRPr="00DF4B34">
        <w:rPr>
          <w:rFonts w:ascii="Arial" w:hAnsi="Arial" w:cs="Arial"/>
          <w:sz w:val="24"/>
          <w:szCs w:val="24"/>
        </w:rPr>
        <w:t xml:space="preserve">the </w:t>
      </w:r>
      <w:r w:rsidR="00812BEA" w:rsidRPr="00DF4B34">
        <w:rPr>
          <w:rFonts w:ascii="Arial" w:hAnsi="Arial" w:cs="Arial"/>
          <w:sz w:val="24"/>
          <w:szCs w:val="24"/>
        </w:rPr>
        <w:t>alleged offend</w:t>
      </w:r>
      <w:r w:rsidR="005F7620" w:rsidRPr="00DF4B34">
        <w:rPr>
          <w:rFonts w:ascii="Arial" w:hAnsi="Arial" w:cs="Arial"/>
          <w:sz w:val="24"/>
          <w:szCs w:val="24"/>
        </w:rPr>
        <w:t xml:space="preserve">er may need to be resolved </w:t>
      </w:r>
      <w:r w:rsidR="00553E06" w:rsidRPr="00DF4B34">
        <w:rPr>
          <w:rFonts w:ascii="Arial" w:hAnsi="Arial" w:cs="Arial"/>
          <w:sz w:val="24"/>
          <w:szCs w:val="24"/>
        </w:rPr>
        <w:t xml:space="preserve">by an application for a Child Arrangements </w:t>
      </w:r>
      <w:r w:rsidR="00553E06" w:rsidRPr="00DF4B34">
        <w:rPr>
          <w:rFonts w:ascii="Arial" w:hAnsi="Arial" w:cs="Arial"/>
          <w:sz w:val="24"/>
          <w:szCs w:val="24"/>
        </w:rPr>
        <w:lastRenderedPageBreak/>
        <w:t xml:space="preserve">Order </w:t>
      </w:r>
      <w:r w:rsidR="005F7620" w:rsidRPr="00DF4B34">
        <w:rPr>
          <w:rFonts w:ascii="Arial" w:hAnsi="Arial" w:cs="Arial"/>
          <w:sz w:val="24"/>
          <w:szCs w:val="24"/>
        </w:rPr>
        <w:t xml:space="preserve">if </w:t>
      </w:r>
      <w:r w:rsidR="00491E5C" w:rsidRPr="00DF4B34">
        <w:rPr>
          <w:rFonts w:ascii="Arial" w:hAnsi="Arial" w:cs="Arial"/>
          <w:sz w:val="24"/>
          <w:szCs w:val="24"/>
        </w:rPr>
        <w:t xml:space="preserve">it </w:t>
      </w:r>
      <w:r w:rsidR="00553E06" w:rsidRPr="00DF4B34">
        <w:rPr>
          <w:rFonts w:ascii="Arial" w:hAnsi="Arial" w:cs="Arial"/>
          <w:sz w:val="24"/>
          <w:szCs w:val="24"/>
        </w:rPr>
        <w:t xml:space="preserve">cannot be agreed. In that instance we may be directed by the court to prepare a section 7 report. </w:t>
      </w:r>
    </w:p>
    <w:p w14:paraId="15032A4B" w14:textId="64B0DE79" w:rsidR="00054BC9" w:rsidRPr="00DF4B34" w:rsidRDefault="00491E5C" w:rsidP="00DF4B34">
      <w:pPr>
        <w:spacing w:line="360" w:lineRule="auto"/>
        <w:jc w:val="both"/>
        <w:rPr>
          <w:rFonts w:ascii="Arial" w:hAnsi="Arial" w:cs="Arial"/>
          <w:sz w:val="24"/>
          <w:szCs w:val="24"/>
        </w:rPr>
      </w:pPr>
      <w:r w:rsidRPr="00DF4B34">
        <w:rPr>
          <w:rFonts w:ascii="Arial" w:hAnsi="Arial" w:cs="Arial"/>
          <w:sz w:val="24"/>
          <w:szCs w:val="24"/>
        </w:rPr>
        <w:t>Where parents</w:t>
      </w:r>
      <w:r w:rsidR="00E54506" w:rsidRPr="00DF4B34">
        <w:rPr>
          <w:rFonts w:ascii="Arial" w:hAnsi="Arial" w:cs="Arial"/>
          <w:sz w:val="24"/>
          <w:szCs w:val="24"/>
        </w:rPr>
        <w:t xml:space="preserve"> or the alleged perpetrator </w:t>
      </w:r>
      <w:r w:rsidR="00F14722" w:rsidRPr="00DF4B34">
        <w:rPr>
          <w:rFonts w:ascii="Arial" w:hAnsi="Arial" w:cs="Arial"/>
          <w:sz w:val="24"/>
          <w:szCs w:val="24"/>
        </w:rPr>
        <w:t xml:space="preserve">wish to continue their </w:t>
      </w:r>
      <w:r w:rsidR="00A24A2C" w:rsidRPr="00DF4B34">
        <w:rPr>
          <w:rFonts w:ascii="Arial" w:hAnsi="Arial" w:cs="Arial"/>
          <w:sz w:val="24"/>
          <w:szCs w:val="24"/>
        </w:rPr>
        <w:t>relationship,</w:t>
      </w:r>
      <w:r w:rsidR="00F14722" w:rsidRPr="00DF4B34">
        <w:rPr>
          <w:rFonts w:ascii="Arial" w:hAnsi="Arial" w:cs="Arial"/>
          <w:sz w:val="24"/>
          <w:szCs w:val="24"/>
        </w:rPr>
        <w:t xml:space="preserve"> or for the ind</w:t>
      </w:r>
      <w:r w:rsidR="00A24A2C" w:rsidRPr="00DF4B34">
        <w:rPr>
          <w:rFonts w:ascii="Arial" w:hAnsi="Arial" w:cs="Arial"/>
          <w:sz w:val="24"/>
          <w:szCs w:val="24"/>
        </w:rPr>
        <w:t>ividua</w:t>
      </w:r>
      <w:r w:rsidR="00F51FF8" w:rsidRPr="00DF4B34">
        <w:rPr>
          <w:rFonts w:ascii="Arial" w:hAnsi="Arial" w:cs="Arial"/>
          <w:sz w:val="24"/>
          <w:szCs w:val="24"/>
        </w:rPr>
        <w:t>l</w:t>
      </w:r>
      <w:r w:rsidR="00F14722" w:rsidRPr="00DF4B34">
        <w:rPr>
          <w:rFonts w:ascii="Arial" w:hAnsi="Arial" w:cs="Arial"/>
          <w:sz w:val="24"/>
          <w:szCs w:val="24"/>
        </w:rPr>
        <w:t xml:space="preserve"> to have contact</w:t>
      </w:r>
      <w:r w:rsidR="00193615" w:rsidRPr="00DF4B34">
        <w:rPr>
          <w:rFonts w:ascii="Arial" w:hAnsi="Arial" w:cs="Arial"/>
          <w:sz w:val="24"/>
          <w:szCs w:val="24"/>
        </w:rPr>
        <w:t xml:space="preserve"> </w:t>
      </w:r>
      <w:r w:rsidR="00F14722" w:rsidRPr="00DF4B34">
        <w:rPr>
          <w:rFonts w:ascii="Arial" w:hAnsi="Arial" w:cs="Arial"/>
          <w:sz w:val="24"/>
          <w:szCs w:val="24"/>
        </w:rPr>
        <w:t xml:space="preserve">with the children, </w:t>
      </w:r>
      <w:r w:rsidR="00D46D46" w:rsidRPr="00DF4B34">
        <w:rPr>
          <w:rFonts w:ascii="Arial" w:hAnsi="Arial" w:cs="Arial"/>
          <w:sz w:val="24"/>
          <w:szCs w:val="24"/>
        </w:rPr>
        <w:t xml:space="preserve">safety planning needs to be considered </w:t>
      </w:r>
      <w:r w:rsidR="00A24A2C" w:rsidRPr="00DF4B34">
        <w:rPr>
          <w:rFonts w:ascii="Arial" w:hAnsi="Arial" w:cs="Arial"/>
          <w:sz w:val="24"/>
          <w:szCs w:val="24"/>
        </w:rPr>
        <w:t>and clearly outlined within our usual safeguarding processes (strategy discussion and S47’s)</w:t>
      </w:r>
      <w:r w:rsidR="00735F0B" w:rsidRPr="00DF4B34">
        <w:rPr>
          <w:rFonts w:ascii="Arial" w:hAnsi="Arial" w:cs="Arial"/>
          <w:sz w:val="24"/>
          <w:szCs w:val="24"/>
        </w:rPr>
        <w:t xml:space="preserve">. Strategy </w:t>
      </w:r>
      <w:r w:rsidR="000D07CA" w:rsidRPr="00DF4B34">
        <w:rPr>
          <w:rFonts w:ascii="Arial" w:hAnsi="Arial" w:cs="Arial"/>
          <w:sz w:val="24"/>
          <w:szCs w:val="24"/>
        </w:rPr>
        <w:t xml:space="preserve">discussion notes </w:t>
      </w:r>
      <w:r w:rsidR="00735F0B" w:rsidRPr="00DF4B34">
        <w:rPr>
          <w:rFonts w:ascii="Arial" w:hAnsi="Arial" w:cs="Arial"/>
          <w:sz w:val="24"/>
          <w:szCs w:val="24"/>
        </w:rPr>
        <w:t>should include the interim safety plan</w:t>
      </w:r>
      <w:r w:rsidR="000D07CA" w:rsidRPr="00DF4B34">
        <w:rPr>
          <w:rFonts w:ascii="Arial" w:hAnsi="Arial" w:cs="Arial"/>
          <w:sz w:val="24"/>
          <w:szCs w:val="24"/>
        </w:rPr>
        <w:t xml:space="preserve">, and any </w:t>
      </w:r>
      <w:r w:rsidR="001657E6" w:rsidRPr="00DF4B34">
        <w:rPr>
          <w:rFonts w:ascii="Arial" w:hAnsi="Arial" w:cs="Arial"/>
          <w:sz w:val="24"/>
          <w:szCs w:val="24"/>
        </w:rPr>
        <w:t xml:space="preserve">written </w:t>
      </w:r>
      <w:r w:rsidR="00E14F97" w:rsidRPr="00DF4B34">
        <w:rPr>
          <w:rFonts w:ascii="Arial" w:hAnsi="Arial" w:cs="Arial"/>
          <w:sz w:val="24"/>
          <w:szCs w:val="24"/>
        </w:rPr>
        <w:t xml:space="preserve">agreements </w:t>
      </w:r>
      <w:proofErr w:type="gramStart"/>
      <w:r w:rsidR="00E14F97" w:rsidRPr="00DF4B34">
        <w:rPr>
          <w:rFonts w:ascii="Arial" w:hAnsi="Arial" w:cs="Arial"/>
          <w:sz w:val="24"/>
          <w:szCs w:val="24"/>
        </w:rPr>
        <w:t>as a result of</w:t>
      </w:r>
      <w:proofErr w:type="gramEnd"/>
      <w:r w:rsidR="00E14F97" w:rsidRPr="00DF4B34">
        <w:rPr>
          <w:rFonts w:ascii="Arial" w:hAnsi="Arial" w:cs="Arial"/>
          <w:sz w:val="24"/>
          <w:szCs w:val="24"/>
        </w:rPr>
        <w:t xml:space="preserve"> a S47 inves</w:t>
      </w:r>
      <w:r w:rsidR="00FA7F95" w:rsidRPr="00DF4B34">
        <w:rPr>
          <w:rFonts w:ascii="Arial" w:hAnsi="Arial" w:cs="Arial"/>
          <w:sz w:val="24"/>
          <w:szCs w:val="24"/>
        </w:rPr>
        <w:t>ti</w:t>
      </w:r>
      <w:r w:rsidR="00E14F97" w:rsidRPr="00DF4B34">
        <w:rPr>
          <w:rFonts w:ascii="Arial" w:hAnsi="Arial" w:cs="Arial"/>
          <w:sz w:val="24"/>
          <w:szCs w:val="24"/>
        </w:rPr>
        <w:t>gation should be completed in Forms on LCS</w:t>
      </w:r>
      <w:r w:rsidR="00264344" w:rsidRPr="00DF4B34">
        <w:rPr>
          <w:rFonts w:ascii="Arial" w:hAnsi="Arial" w:cs="Arial"/>
          <w:sz w:val="24"/>
          <w:szCs w:val="24"/>
        </w:rPr>
        <w:t xml:space="preserve">. </w:t>
      </w:r>
      <w:r w:rsidR="00054BC9" w:rsidRPr="00DF4B34">
        <w:rPr>
          <w:rFonts w:ascii="Arial" w:hAnsi="Arial" w:cs="Arial"/>
          <w:sz w:val="24"/>
          <w:szCs w:val="24"/>
        </w:rPr>
        <w:t xml:space="preserve">Written agreements may be used to confirm any </w:t>
      </w:r>
      <w:r w:rsidR="00054BC9" w:rsidRPr="00DF4B34">
        <w:rPr>
          <w:rFonts w:ascii="Arial" w:hAnsi="Arial" w:cs="Arial"/>
          <w:i/>
          <w:iCs/>
          <w:sz w:val="24"/>
          <w:szCs w:val="24"/>
        </w:rPr>
        <w:t>temporary</w:t>
      </w:r>
      <w:r w:rsidR="00054BC9" w:rsidRPr="00DF4B34">
        <w:rPr>
          <w:rFonts w:ascii="Arial" w:hAnsi="Arial" w:cs="Arial"/>
          <w:sz w:val="24"/>
          <w:szCs w:val="24"/>
        </w:rPr>
        <w:t xml:space="preserve"> family time or living </w:t>
      </w:r>
      <w:proofErr w:type="gramStart"/>
      <w:r w:rsidR="00054BC9" w:rsidRPr="00DF4B34">
        <w:rPr>
          <w:rFonts w:ascii="Arial" w:hAnsi="Arial" w:cs="Arial"/>
          <w:sz w:val="24"/>
          <w:szCs w:val="24"/>
        </w:rPr>
        <w:t>arrangements</w:t>
      </w:r>
      <w:r w:rsidR="008041F4" w:rsidRPr="00DF4B34">
        <w:rPr>
          <w:rFonts w:ascii="Arial" w:hAnsi="Arial" w:cs="Arial"/>
          <w:sz w:val="24"/>
          <w:szCs w:val="24"/>
        </w:rPr>
        <w:t>, and</w:t>
      </w:r>
      <w:proofErr w:type="gramEnd"/>
      <w:r w:rsidR="008041F4" w:rsidRPr="00DF4B34">
        <w:rPr>
          <w:rFonts w:ascii="Arial" w:hAnsi="Arial" w:cs="Arial"/>
          <w:sz w:val="24"/>
          <w:szCs w:val="24"/>
        </w:rPr>
        <w:t xml:space="preserve"> should be incorp</w:t>
      </w:r>
      <w:r w:rsidR="008908DF" w:rsidRPr="00DF4B34">
        <w:rPr>
          <w:rFonts w:ascii="Arial" w:hAnsi="Arial" w:cs="Arial"/>
          <w:sz w:val="24"/>
          <w:szCs w:val="24"/>
        </w:rPr>
        <w:t>or</w:t>
      </w:r>
      <w:r w:rsidR="008041F4" w:rsidRPr="00DF4B34">
        <w:rPr>
          <w:rFonts w:ascii="Arial" w:hAnsi="Arial" w:cs="Arial"/>
          <w:sz w:val="24"/>
          <w:szCs w:val="24"/>
        </w:rPr>
        <w:t xml:space="preserve">ated as soon as possible </w:t>
      </w:r>
      <w:r w:rsidR="00C42AA7" w:rsidRPr="00DF4B34">
        <w:rPr>
          <w:rFonts w:ascii="Arial" w:hAnsi="Arial" w:cs="Arial"/>
          <w:sz w:val="24"/>
          <w:szCs w:val="24"/>
        </w:rPr>
        <w:t>into</w:t>
      </w:r>
      <w:r w:rsidR="008041F4" w:rsidRPr="00DF4B34">
        <w:rPr>
          <w:rFonts w:ascii="Arial" w:hAnsi="Arial" w:cs="Arial"/>
          <w:sz w:val="24"/>
          <w:szCs w:val="24"/>
        </w:rPr>
        <w:t xml:space="preserve"> any </w:t>
      </w:r>
      <w:r w:rsidR="008908DF" w:rsidRPr="00DF4B34">
        <w:rPr>
          <w:rFonts w:ascii="Arial" w:hAnsi="Arial" w:cs="Arial"/>
          <w:sz w:val="24"/>
          <w:szCs w:val="24"/>
        </w:rPr>
        <w:t>structured</w:t>
      </w:r>
      <w:r w:rsidR="008041F4" w:rsidRPr="00DF4B34">
        <w:rPr>
          <w:rFonts w:ascii="Arial" w:hAnsi="Arial" w:cs="Arial"/>
          <w:sz w:val="24"/>
          <w:szCs w:val="24"/>
        </w:rPr>
        <w:t xml:space="preserve"> plan</w:t>
      </w:r>
      <w:r w:rsidR="008908DF" w:rsidRPr="00DF4B34">
        <w:rPr>
          <w:rFonts w:ascii="Arial" w:hAnsi="Arial" w:cs="Arial"/>
          <w:sz w:val="24"/>
          <w:szCs w:val="24"/>
        </w:rPr>
        <w:t>s</w:t>
      </w:r>
      <w:r w:rsidR="00054BC9" w:rsidRPr="00DF4B34">
        <w:rPr>
          <w:rFonts w:ascii="Arial" w:hAnsi="Arial" w:cs="Arial"/>
          <w:sz w:val="24"/>
          <w:szCs w:val="24"/>
        </w:rPr>
        <w:t xml:space="preserve">. </w:t>
      </w:r>
    </w:p>
    <w:p w14:paraId="35A122AA" w14:textId="073A6495" w:rsidR="018F9CF4" w:rsidRPr="00DF4B34" w:rsidRDefault="00000000" w:rsidP="00DF4B34">
      <w:pPr>
        <w:spacing w:line="360" w:lineRule="auto"/>
        <w:jc w:val="both"/>
        <w:rPr>
          <w:rFonts w:ascii="Arial" w:hAnsi="Arial" w:cs="Arial"/>
          <w:sz w:val="24"/>
          <w:szCs w:val="24"/>
        </w:rPr>
      </w:pPr>
      <w:hyperlink r:id="rId10">
        <w:r w:rsidR="018F9CF4" w:rsidRPr="00DF4B34">
          <w:rPr>
            <w:rStyle w:val="Hyperlink"/>
            <w:rFonts w:ascii="Arial" w:hAnsi="Arial" w:cs="Arial"/>
            <w:color w:val="auto"/>
            <w:sz w:val="24"/>
            <w:szCs w:val="24"/>
          </w:rPr>
          <w:t>https://www.proceduresonline.com/lancashirecsc/p_written_agreements.html</w:t>
        </w:r>
      </w:hyperlink>
    </w:p>
    <w:p w14:paraId="52984B00" w14:textId="443FE6C2" w:rsidR="00F66025" w:rsidRPr="000B6D51" w:rsidRDefault="00E537E4" w:rsidP="00DF4B34">
      <w:pPr>
        <w:spacing w:line="360" w:lineRule="auto"/>
        <w:jc w:val="both"/>
        <w:rPr>
          <w:rFonts w:ascii="Arial" w:hAnsi="Arial" w:cs="Arial"/>
          <w:sz w:val="24"/>
          <w:szCs w:val="24"/>
        </w:rPr>
      </w:pPr>
      <w:r w:rsidRPr="00AE1DB7">
        <w:rPr>
          <w:rStyle w:val="cf01"/>
          <w:rFonts w:ascii="Arial" w:hAnsi="Arial" w:cs="Arial"/>
          <w:sz w:val="24"/>
          <w:szCs w:val="24"/>
        </w:rPr>
        <w:t xml:space="preserve">Safety planning should include a contingency to any bail conditions, as bail conditions are often short term, and lifted without notice and therefore should not be relied on as the only </w:t>
      </w:r>
      <w:r w:rsidR="000B6D51" w:rsidRPr="00AE1DB7">
        <w:rPr>
          <w:rStyle w:val="cf01"/>
          <w:rFonts w:ascii="Arial" w:hAnsi="Arial" w:cs="Arial"/>
          <w:sz w:val="24"/>
          <w:szCs w:val="24"/>
        </w:rPr>
        <w:t>safeguarding measure</w:t>
      </w:r>
      <w:r w:rsidRPr="00AE1DB7">
        <w:rPr>
          <w:rStyle w:val="cf01"/>
          <w:rFonts w:ascii="Arial" w:hAnsi="Arial" w:cs="Arial"/>
          <w:sz w:val="24"/>
          <w:szCs w:val="24"/>
        </w:rPr>
        <w:t xml:space="preserve">. It is important to ensure that parents are aware throughout the assessment that any lifting of bail conditions does not necessary </w:t>
      </w:r>
      <w:r w:rsidR="000B6D51" w:rsidRPr="00AE1DB7">
        <w:rPr>
          <w:rStyle w:val="cf01"/>
          <w:rFonts w:ascii="Arial" w:hAnsi="Arial" w:cs="Arial"/>
          <w:sz w:val="24"/>
          <w:szCs w:val="24"/>
        </w:rPr>
        <w:t>end safeguarding arrangements in place.</w:t>
      </w:r>
      <w:r w:rsidR="000B6D51" w:rsidRPr="000B6D51">
        <w:rPr>
          <w:rStyle w:val="cf01"/>
          <w:rFonts w:ascii="Arial" w:hAnsi="Arial" w:cs="Arial"/>
          <w:sz w:val="24"/>
          <w:szCs w:val="24"/>
        </w:rPr>
        <w:t xml:space="preserve"> </w:t>
      </w:r>
    </w:p>
    <w:p w14:paraId="0A72789A" w14:textId="4C525977" w:rsidR="00812BEA" w:rsidRPr="00DF4B34" w:rsidRDefault="00E0184E" w:rsidP="00DF4B34">
      <w:pPr>
        <w:spacing w:line="360" w:lineRule="auto"/>
        <w:jc w:val="both"/>
        <w:rPr>
          <w:rFonts w:ascii="Arial" w:hAnsi="Arial" w:cs="Arial"/>
          <w:sz w:val="24"/>
          <w:szCs w:val="24"/>
        </w:rPr>
      </w:pPr>
      <w:r w:rsidRPr="00DF4B34">
        <w:rPr>
          <w:rFonts w:ascii="Arial" w:hAnsi="Arial" w:cs="Arial"/>
          <w:sz w:val="24"/>
          <w:szCs w:val="24"/>
        </w:rPr>
        <w:t xml:space="preserve">It is important that all historical information is gathered as quickly and </w:t>
      </w:r>
      <w:r w:rsidR="00A4474B" w:rsidRPr="00DF4B34">
        <w:rPr>
          <w:rFonts w:ascii="Arial" w:hAnsi="Arial" w:cs="Arial"/>
          <w:sz w:val="24"/>
          <w:szCs w:val="24"/>
        </w:rPr>
        <w:t>efficiently</w:t>
      </w:r>
      <w:r w:rsidRPr="00DF4B34">
        <w:rPr>
          <w:rFonts w:ascii="Arial" w:hAnsi="Arial" w:cs="Arial"/>
          <w:sz w:val="24"/>
          <w:szCs w:val="24"/>
        </w:rPr>
        <w:t xml:space="preserve"> as possible</w:t>
      </w:r>
      <w:r w:rsidR="00A056FF" w:rsidRPr="00DF4B34">
        <w:rPr>
          <w:rFonts w:ascii="Arial" w:hAnsi="Arial" w:cs="Arial"/>
          <w:sz w:val="24"/>
          <w:szCs w:val="24"/>
        </w:rPr>
        <w:t xml:space="preserve">, including that from other authorities and agencies where applicable. </w:t>
      </w:r>
      <w:r w:rsidR="006F456D" w:rsidRPr="00DF4B34">
        <w:rPr>
          <w:rFonts w:ascii="Arial" w:hAnsi="Arial" w:cs="Arial"/>
          <w:sz w:val="24"/>
          <w:szCs w:val="24"/>
        </w:rPr>
        <w:t xml:space="preserve">The decision making within such cases is often complex, and the ability to fully understand </w:t>
      </w:r>
      <w:r w:rsidR="006E6563" w:rsidRPr="00DF4B34">
        <w:rPr>
          <w:rFonts w:ascii="Arial" w:hAnsi="Arial" w:cs="Arial"/>
          <w:sz w:val="24"/>
          <w:szCs w:val="24"/>
        </w:rPr>
        <w:t>the actions tak</w:t>
      </w:r>
      <w:r w:rsidR="0044732B" w:rsidRPr="00DF4B34">
        <w:rPr>
          <w:rFonts w:ascii="Arial" w:hAnsi="Arial" w:cs="Arial"/>
          <w:sz w:val="24"/>
          <w:szCs w:val="24"/>
        </w:rPr>
        <w:t>en</w:t>
      </w:r>
      <w:r w:rsidR="006E6563" w:rsidRPr="00DF4B34">
        <w:rPr>
          <w:rFonts w:ascii="Arial" w:hAnsi="Arial" w:cs="Arial"/>
          <w:sz w:val="24"/>
          <w:szCs w:val="24"/>
        </w:rPr>
        <w:t xml:space="preserve"> previously is further </w:t>
      </w:r>
      <w:r w:rsidR="00A4474B" w:rsidRPr="00DF4B34">
        <w:rPr>
          <w:rFonts w:ascii="Arial" w:hAnsi="Arial" w:cs="Arial"/>
          <w:sz w:val="24"/>
          <w:szCs w:val="24"/>
        </w:rPr>
        <w:t>impaired</w:t>
      </w:r>
      <w:r w:rsidR="006E6563" w:rsidRPr="00DF4B34">
        <w:rPr>
          <w:rFonts w:ascii="Arial" w:hAnsi="Arial" w:cs="Arial"/>
          <w:sz w:val="24"/>
          <w:szCs w:val="24"/>
        </w:rPr>
        <w:t xml:space="preserve"> by the amount of time pas</w:t>
      </w:r>
      <w:r w:rsidR="00C42AA7" w:rsidRPr="00DF4B34">
        <w:rPr>
          <w:rFonts w:ascii="Arial" w:hAnsi="Arial" w:cs="Arial"/>
          <w:sz w:val="24"/>
          <w:szCs w:val="24"/>
        </w:rPr>
        <w:t>sed</w:t>
      </w:r>
      <w:r w:rsidR="006E6563" w:rsidRPr="00DF4B34">
        <w:rPr>
          <w:rFonts w:ascii="Arial" w:hAnsi="Arial" w:cs="Arial"/>
          <w:sz w:val="24"/>
          <w:szCs w:val="24"/>
        </w:rPr>
        <w:t>. Workers should consider</w:t>
      </w:r>
      <w:r w:rsidR="00D120A8" w:rsidRPr="00DF4B34">
        <w:rPr>
          <w:rFonts w:ascii="Arial" w:hAnsi="Arial" w:cs="Arial"/>
          <w:sz w:val="24"/>
          <w:szCs w:val="24"/>
        </w:rPr>
        <w:t xml:space="preserve"> </w:t>
      </w:r>
      <w:r w:rsidR="00D66E12" w:rsidRPr="00DF4B34">
        <w:rPr>
          <w:rFonts w:ascii="Arial" w:hAnsi="Arial" w:cs="Arial"/>
          <w:sz w:val="24"/>
          <w:szCs w:val="24"/>
        </w:rPr>
        <w:t xml:space="preserve">where </w:t>
      </w:r>
      <w:r w:rsidR="00A4474B" w:rsidRPr="00DF4B34">
        <w:rPr>
          <w:rFonts w:ascii="Arial" w:hAnsi="Arial" w:cs="Arial"/>
          <w:sz w:val="24"/>
          <w:szCs w:val="24"/>
        </w:rPr>
        <w:t>relevant</w:t>
      </w:r>
      <w:r w:rsidR="00D66E12" w:rsidRPr="00DF4B34">
        <w:rPr>
          <w:rFonts w:ascii="Arial" w:hAnsi="Arial" w:cs="Arial"/>
          <w:sz w:val="24"/>
          <w:szCs w:val="24"/>
        </w:rPr>
        <w:t xml:space="preserve"> </w:t>
      </w:r>
      <w:r w:rsidR="00A4474B" w:rsidRPr="00DF4B34">
        <w:rPr>
          <w:rFonts w:ascii="Arial" w:hAnsi="Arial" w:cs="Arial"/>
          <w:sz w:val="24"/>
          <w:szCs w:val="24"/>
        </w:rPr>
        <w:t>previous</w:t>
      </w:r>
      <w:r w:rsidRPr="00DF4B34">
        <w:rPr>
          <w:rFonts w:ascii="Arial" w:hAnsi="Arial" w:cs="Arial"/>
          <w:sz w:val="24"/>
          <w:szCs w:val="24"/>
        </w:rPr>
        <w:t xml:space="preserve"> CS</w:t>
      </w:r>
      <w:r w:rsidR="00D66E12" w:rsidRPr="00DF4B34">
        <w:rPr>
          <w:rFonts w:ascii="Arial" w:hAnsi="Arial" w:cs="Arial"/>
          <w:sz w:val="24"/>
          <w:szCs w:val="24"/>
        </w:rPr>
        <w:t>C</w:t>
      </w:r>
      <w:r w:rsidRPr="00DF4B34">
        <w:rPr>
          <w:rFonts w:ascii="Arial" w:hAnsi="Arial" w:cs="Arial"/>
          <w:sz w:val="24"/>
          <w:szCs w:val="24"/>
        </w:rPr>
        <w:t xml:space="preserve"> </w:t>
      </w:r>
      <w:r w:rsidR="00A4474B" w:rsidRPr="00DF4B34">
        <w:rPr>
          <w:rFonts w:ascii="Arial" w:hAnsi="Arial" w:cs="Arial"/>
          <w:sz w:val="24"/>
          <w:szCs w:val="24"/>
        </w:rPr>
        <w:t>assessments</w:t>
      </w:r>
      <w:r w:rsidRPr="00DF4B34">
        <w:rPr>
          <w:rFonts w:ascii="Arial" w:hAnsi="Arial" w:cs="Arial"/>
          <w:sz w:val="24"/>
          <w:szCs w:val="24"/>
        </w:rPr>
        <w:t xml:space="preserve"> </w:t>
      </w:r>
      <w:r w:rsidR="00087EB6" w:rsidRPr="00DF4B34">
        <w:rPr>
          <w:rFonts w:ascii="Arial" w:hAnsi="Arial" w:cs="Arial"/>
          <w:sz w:val="24"/>
          <w:szCs w:val="24"/>
        </w:rPr>
        <w:t>from within Lancashire and outside of area</w:t>
      </w:r>
      <w:r w:rsidR="00D120A8" w:rsidRPr="00DF4B34">
        <w:rPr>
          <w:rFonts w:ascii="Arial" w:hAnsi="Arial" w:cs="Arial"/>
          <w:sz w:val="24"/>
          <w:szCs w:val="24"/>
        </w:rPr>
        <w:t xml:space="preserve">, </w:t>
      </w:r>
      <w:r w:rsidRPr="00DF4B34">
        <w:rPr>
          <w:rFonts w:ascii="Arial" w:hAnsi="Arial" w:cs="Arial"/>
          <w:sz w:val="24"/>
          <w:szCs w:val="24"/>
        </w:rPr>
        <w:t>ISSIS records</w:t>
      </w:r>
      <w:r w:rsidR="00D120A8" w:rsidRPr="00DF4B34">
        <w:rPr>
          <w:rFonts w:ascii="Arial" w:hAnsi="Arial" w:cs="Arial"/>
          <w:sz w:val="24"/>
          <w:szCs w:val="24"/>
        </w:rPr>
        <w:t>, police information,</w:t>
      </w:r>
      <w:r w:rsidR="00A4474B" w:rsidRPr="00DF4B34">
        <w:rPr>
          <w:rFonts w:ascii="Arial" w:hAnsi="Arial" w:cs="Arial"/>
          <w:sz w:val="24"/>
          <w:szCs w:val="24"/>
        </w:rPr>
        <w:t xml:space="preserve"> </w:t>
      </w:r>
      <w:r w:rsidR="00EE13A3" w:rsidRPr="00DF4B34">
        <w:rPr>
          <w:rFonts w:ascii="Arial" w:hAnsi="Arial" w:cs="Arial"/>
          <w:sz w:val="24"/>
          <w:szCs w:val="24"/>
        </w:rPr>
        <w:t xml:space="preserve">probation reports, </w:t>
      </w:r>
      <w:r w:rsidR="00CF72FB" w:rsidRPr="00DF4B34">
        <w:rPr>
          <w:rFonts w:ascii="Arial" w:hAnsi="Arial" w:cs="Arial"/>
          <w:sz w:val="24"/>
          <w:szCs w:val="24"/>
        </w:rPr>
        <w:t>'</w:t>
      </w:r>
      <w:r w:rsidR="00EE13A3" w:rsidRPr="00DF4B34">
        <w:rPr>
          <w:rFonts w:ascii="Arial" w:hAnsi="Arial" w:cs="Arial"/>
          <w:sz w:val="24"/>
          <w:szCs w:val="24"/>
        </w:rPr>
        <w:t>risk assessments</w:t>
      </w:r>
      <w:r w:rsidR="00CF72FB" w:rsidRPr="00DF4B34">
        <w:rPr>
          <w:rFonts w:ascii="Arial" w:hAnsi="Arial" w:cs="Arial"/>
          <w:sz w:val="24"/>
          <w:szCs w:val="24"/>
        </w:rPr>
        <w:t>',</w:t>
      </w:r>
      <w:r w:rsidR="00EE13A3" w:rsidRPr="00DF4B34">
        <w:rPr>
          <w:rFonts w:ascii="Arial" w:hAnsi="Arial" w:cs="Arial"/>
          <w:sz w:val="24"/>
          <w:szCs w:val="24"/>
        </w:rPr>
        <w:t xml:space="preserve"> </w:t>
      </w:r>
      <w:r w:rsidR="00A4474B" w:rsidRPr="00DF4B34">
        <w:rPr>
          <w:rFonts w:ascii="Arial" w:hAnsi="Arial" w:cs="Arial"/>
          <w:sz w:val="24"/>
          <w:szCs w:val="24"/>
        </w:rPr>
        <w:t>and</w:t>
      </w:r>
      <w:r w:rsidR="00D120A8" w:rsidRPr="00DF4B34">
        <w:rPr>
          <w:rFonts w:ascii="Arial" w:hAnsi="Arial" w:cs="Arial"/>
          <w:sz w:val="24"/>
          <w:szCs w:val="24"/>
        </w:rPr>
        <w:t xml:space="preserve"> court documents</w:t>
      </w:r>
      <w:r w:rsidR="00D66E12" w:rsidRPr="00DF4B34">
        <w:rPr>
          <w:rFonts w:ascii="Arial" w:hAnsi="Arial" w:cs="Arial"/>
          <w:sz w:val="24"/>
          <w:szCs w:val="24"/>
        </w:rPr>
        <w:t xml:space="preserve">. It is often useful to be </w:t>
      </w:r>
      <w:r w:rsidR="00A4474B" w:rsidRPr="00DF4B34">
        <w:rPr>
          <w:rFonts w:ascii="Arial" w:hAnsi="Arial" w:cs="Arial"/>
          <w:sz w:val="24"/>
          <w:szCs w:val="24"/>
        </w:rPr>
        <w:t>explicit</w:t>
      </w:r>
      <w:r w:rsidR="00D66E12" w:rsidRPr="00DF4B34">
        <w:rPr>
          <w:rFonts w:ascii="Arial" w:hAnsi="Arial" w:cs="Arial"/>
          <w:sz w:val="24"/>
          <w:szCs w:val="24"/>
        </w:rPr>
        <w:t xml:space="preserve"> within case discussions and care planning when such information was received, and where information is known to </w:t>
      </w:r>
      <w:r w:rsidR="001A3E95" w:rsidRPr="00DF4B34">
        <w:rPr>
          <w:rFonts w:ascii="Arial" w:hAnsi="Arial" w:cs="Arial"/>
          <w:sz w:val="24"/>
          <w:szCs w:val="24"/>
        </w:rPr>
        <w:t>exist</w:t>
      </w:r>
      <w:r w:rsidR="00D66E12" w:rsidRPr="00DF4B34">
        <w:rPr>
          <w:rFonts w:ascii="Arial" w:hAnsi="Arial" w:cs="Arial"/>
          <w:sz w:val="24"/>
          <w:szCs w:val="24"/>
        </w:rPr>
        <w:t xml:space="preserve"> but not yet accessible, </w:t>
      </w:r>
      <w:r w:rsidR="001A3E95" w:rsidRPr="00DF4B34">
        <w:rPr>
          <w:rFonts w:ascii="Arial" w:hAnsi="Arial" w:cs="Arial"/>
          <w:sz w:val="24"/>
          <w:szCs w:val="24"/>
        </w:rPr>
        <w:t xml:space="preserve">the explanation and plan around this. This </w:t>
      </w:r>
      <w:r w:rsidR="00D07AD6" w:rsidRPr="00DF4B34">
        <w:rPr>
          <w:rFonts w:ascii="Arial" w:hAnsi="Arial" w:cs="Arial"/>
          <w:sz w:val="24"/>
          <w:szCs w:val="24"/>
        </w:rPr>
        <w:t xml:space="preserve">can help when there are changes in care plans or decision making, as well as </w:t>
      </w:r>
      <w:r w:rsidR="00CB572E" w:rsidRPr="00DF4B34">
        <w:rPr>
          <w:rFonts w:ascii="Arial" w:hAnsi="Arial" w:cs="Arial"/>
          <w:sz w:val="24"/>
          <w:szCs w:val="24"/>
        </w:rPr>
        <w:t>identifying</w:t>
      </w:r>
      <w:r w:rsidR="00B862E4" w:rsidRPr="00DF4B34">
        <w:rPr>
          <w:rFonts w:ascii="Arial" w:hAnsi="Arial" w:cs="Arial"/>
          <w:sz w:val="24"/>
          <w:szCs w:val="24"/>
        </w:rPr>
        <w:t xml:space="preserve"> gaps in our understanding</w:t>
      </w:r>
      <w:r w:rsidR="00CB572E" w:rsidRPr="00DF4B34">
        <w:rPr>
          <w:rFonts w:ascii="Arial" w:hAnsi="Arial" w:cs="Arial"/>
          <w:sz w:val="24"/>
          <w:szCs w:val="24"/>
        </w:rPr>
        <w:t xml:space="preserve">. </w:t>
      </w:r>
      <w:r w:rsidR="00A1278C" w:rsidRPr="00DF4B34">
        <w:rPr>
          <w:rFonts w:ascii="Arial" w:hAnsi="Arial" w:cs="Arial"/>
          <w:sz w:val="24"/>
          <w:szCs w:val="24"/>
        </w:rPr>
        <w:t xml:space="preserve"> </w:t>
      </w:r>
    </w:p>
    <w:p w14:paraId="4C236E52" w14:textId="35660BB8" w:rsidR="00E71B94" w:rsidRPr="00DF4B34" w:rsidRDefault="00E71B94" w:rsidP="00DF4B34">
      <w:pPr>
        <w:spacing w:line="360" w:lineRule="auto"/>
        <w:jc w:val="both"/>
        <w:rPr>
          <w:rFonts w:ascii="Arial" w:hAnsi="Arial" w:cs="Arial"/>
          <w:sz w:val="24"/>
          <w:szCs w:val="24"/>
        </w:rPr>
      </w:pPr>
      <w:r w:rsidRPr="00DF4B34">
        <w:rPr>
          <w:rFonts w:ascii="Arial" w:hAnsi="Arial" w:cs="Arial"/>
          <w:sz w:val="24"/>
          <w:szCs w:val="24"/>
        </w:rPr>
        <w:t xml:space="preserve">The use of historical risk assessments is explored in more detail below. </w:t>
      </w:r>
    </w:p>
    <w:p w14:paraId="3A8E742D" w14:textId="3153DAA0" w:rsidR="008D60FF" w:rsidRPr="00DF4B34" w:rsidRDefault="00342132" w:rsidP="00DF4B34">
      <w:pPr>
        <w:spacing w:line="360" w:lineRule="auto"/>
        <w:jc w:val="both"/>
        <w:rPr>
          <w:rFonts w:ascii="Arial" w:hAnsi="Arial" w:cs="Arial"/>
          <w:i/>
          <w:iCs/>
          <w:sz w:val="24"/>
          <w:szCs w:val="24"/>
        </w:rPr>
      </w:pPr>
      <w:r w:rsidRPr="00DF4B34">
        <w:rPr>
          <w:rFonts w:ascii="Arial" w:hAnsi="Arial" w:cs="Arial"/>
          <w:sz w:val="24"/>
          <w:szCs w:val="24"/>
        </w:rPr>
        <w:t>Child</w:t>
      </w:r>
      <w:r w:rsidR="00C27839" w:rsidRPr="00DF4B34">
        <w:rPr>
          <w:rFonts w:ascii="Arial" w:hAnsi="Arial" w:cs="Arial"/>
          <w:sz w:val="24"/>
          <w:szCs w:val="24"/>
        </w:rPr>
        <w:t xml:space="preserve"> sexual abuse: </w:t>
      </w:r>
      <w:r w:rsidRPr="00DF4B34">
        <w:rPr>
          <w:rFonts w:ascii="Arial" w:hAnsi="Arial" w:cs="Arial"/>
          <w:sz w:val="24"/>
          <w:szCs w:val="24"/>
        </w:rPr>
        <w:t>learning</w:t>
      </w:r>
      <w:r w:rsidR="00C27839" w:rsidRPr="00DF4B34">
        <w:rPr>
          <w:rFonts w:ascii="Arial" w:hAnsi="Arial" w:cs="Arial"/>
          <w:sz w:val="24"/>
          <w:szCs w:val="24"/>
        </w:rPr>
        <w:t xml:space="preserve"> from case reviews (NSPCC, 2020)</w:t>
      </w:r>
      <w:r w:rsidRPr="00DF4B34">
        <w:rPr>
          <w:rFonts w:ascii="Arial" w:hAnsi="Arial" w:cs="Arial"/>
          <w:sz w:val="24"/>
          <w:szCs w:val="24"/>
        </w:rPr>
        <w:t xml:space="preserve"> </w:t>
      </w:r>
      <w:r w:rsidR="004831AF" w:rsidRPr="00DF4B34">
        <w:rPr>
          <w:rFonts w:ascii="Arial" w:hAnsi="Arial" w:cs="Arial"/>
          <w:sz w:val="24"/>
          <w:szCs w:val="24"/>
        </w:rPr>
        <w:t xml:space="preserve">warns against </w:t>
      </w:r>
      <w:r w:rsidR="00FD4936" w:rsidRPr="00DF4B34">
        <w:rPr>
          <w:rFonts w:ascii="Arial" w:hAnsi="Arial" w:cs="Arial"/>
          <w:sz w:val="24"/>
          <w:szCs w:val="24"/>
        </w:rPr>
        <w:t>pr</w:t>
      </w:r>
      <w:r w:rsidR="00E22E0C" w:rsidRPr="00DF4B34">
        <w:rPr>
          <w:rFonts w:ascii="Arial" w:hAnsi="Arial" w:cs="Arial"/>
          <w:sz w:val="24"/>
          <w:szCs w:val="24"/>
        </w:rPr>
        <w:t>actitioners</w:t>
      </w:r>
      <w:r w:rsidR="00FD4936" w:rsidRPr="00DF4B34">
        <w:rPr>
          <w:rFonts w:ascii="Arial" w:hAnsi="Arial" w:cs="Arial"/>
          <w:sz w:val="24"/>
          <w:szCs w:val="24"/>
        </w:rPr>
        <w:t xml:space="preserve"> interpreting </w:t>
      </w:r>
      <w:r w:rsidR="00FD4936" w:rsidRPr="00DF4B34">
        <w:rPr>
          <w:rFonts w:ascii="Arial" w:hAnsi="Arial" w:cs="Arial"/>
          <w:i/>
          <w:iCs/>
          <w:sz w:val="24"/>
          <w:szCs w:val="24"/>
        </w:rPr>
        <w:t xml:space="preserve">'a lack of </w:t>
      </w:r>
      <w:r w:rsidR="00E22E0C" w:rsidRPr="00DF4B34">
        <w:rPr>
          <w:rFonts w:ascii="Arial" w:hAnsi="Arial" w:cs="Arial"/>
          <w:i/>
          <w:iCs/>
          <w:sz w:val="24"/>
          <w:szCs w:val="24"/>
        </w:rPr>
        <w:t>disclosure</w:t>
      </w:r>
      <w:r w:rsidR="00FD4936" w:rsidRPr="00DF4B34">
        <w:rPr>
          <w:rFonts w:ascii="Arial" w:hAnsi="Arial" w:cs="Arial"/>
          <w:i/>
          <w:iCs/>
          <w:sz w:val="24"/>
          <w:szCs w:val="24"/>
        </w:rPr>
        <w:t xml:space="preserve"> </w:t>
      </w:r>
      <w:r w:rsidR="00E22E0C" w:rsidRPr="00DF4B34">
        <w:rPr>
          <w:rFonts w:ascii="Arial" w:hAnsi="Arial" w:cs="Arial"/>
          <w:i/>
          <w:iCs/>
          <w:sz w:val="24"/>
          <w:szCs w:val="24"/>
        </w:rPr>
        <w:t>from a child to mean that abuse has not occurred.</w:t>
      </w:r>
      <w:r w:rsidR="00E22E0C" w:rsidRPr="00DF4B34">
        <w:rPr>
          <w:rFonts w:ascii="Arial" w:hAnsi="Arial" w:cs="Arial"/>
          <w:sz w:val="24"/>
          <w:szCs w:val="24"/>
        </w:rPr>
        <w:t xml:space="preserve">' This is particularly relevant in families whereby the alleged perpetrator </w:t>
      </w:r>
      <w:r w:rsidR="00E22E0C" w:rsidRPr="00DF4B34">
        <w:rPr>
          <w:rFonts w:ascii="Arial" w:hAnsi="Arial" w:cs="Arial"/>
          <w:sz w:val="24"/>
          <w:szCs w:val="24"/>
        </w:rPr>
        <w:lastRenderedPageBreak/>
        <w:t xml:space="preserve">appears to have </w:t>
      </w:r>
      <w:r w:rsidR="00A93913" w:rsidRPr="00DF4B34">
        <w:rPr>
          <w:rFonts w:ascii="Arial" w:hAnsi="Arial" w:cs="Arial"/>
          <w:sz w:val="24"/>
          <w:szCs w:val="24"/>
        </w:rPr>
        <w:t>b</w:t>
      </w:r>
      <w:r w:rsidR="00E22E0C" w:rsidRPr="00DF4B34">
        <w:rPr>
          <w:rFonts w:ascii="Arial" w:hAnsi="Arial" w:cs="Arial"/>
          <w:sz w:val="24"/>
          <w:szCs w:val="24"/>
        </w:rPr>
        <w:t xml:space="preserve">een meeting the needs of their own children </w:t>
      </w:r>
      <w:r w:rsidR="003A43E2" w:rsidRPr="00DF4B34">
        <w:rPr>
          <w:rFonts w:ascii="Arial" w:hAnsi="Arial" w:cs="Arial"/>
          <w:sz w:val="24"/>
          <w:szCs w:val="24"/>
        </w:rPr>
        <w:t xml:space="preserve">to a good enough standard, and the allegations </w:t>
      </w:r>
      <w:r w:rsidR="00A93913" w:rsidRPr="00DF4B34">
        <w:rPr>
          <w:rFonts w:ascii="Arial" w:hAnsi="Arial" w:cs="Arial"/>
          <w:sz w:val="24"/>
          <w:szCs w:val="24"/>
        </w:rPr>
        <w:t>have been</w:t>
      </w:r>
      <w:r w:rsidR="003A43E2" w:rsidRPr="00DF4B34">
        <w:rPr>
          <w:rFonts w:ascii="Arial" w:hAnsi="Arial" w:cs="Arial"/>
          <w:sz w:val="24"/>
          <w:szCs w:val="24"/>
        </w:rPr>
        <w:t xml:space="preserve"> made by an </w:t>
      </w:r>
      <w:r w:rsidR="00A93913" w:rsidRPr="00DF4B34">
        <w:rPr>
          <w:rFonts w:ascii="Arial" w:hAnsi="Arial" w:cs="Arial"/>
          <w:sz w:val="24"/>
          <w:szCs w:val="24"/>
        </w:rPr>
        <w:t>individual</w:t>
      </w:r>
      <w:r w:rsidR="003A43E2" w:rsidRPr="00DF4B34">
        <w:rPr>
          <w:rFonts w:ascii="Arial" w:hAnsi="Arial" w:cs="Arial"/>
          <w:sz w:val="24"/>
          <w:szCs w:val="24"/>
        </w:rPr>
        <w:t xml:space="preserve"> outside of the home. </w:t>
      </w:r>
      <w:r w:rsidR="002B200F" w:rsidRPr="00DF4B34">
        <w:rPr>
          <w:rFonts w:ascii="Arial" w:hAnsi="Arial" w:cs="Arial"/>
          <w:sz w:val="24"/>
          <w:szCs w:val="24"/>
        </w:rPr>
        <w:t xml:space="preserve">The document </w:t>
      </w:r>
      <w:r w:rsidR="00AA7A12" w:rsidRPr="00DF4B34">
        <w:rPr>
          <w:rFonts w:ascii="Arial" w:hAnsi="Arial" w:cs="Arial"/>
          <w:sz w:val="24"/>
          <w:szCs w:val="24"/>
        </w:rPr>
        <w:t xml:space="preserve">also </w:t>
      </w:r>
      <w:r w:rsidR="002B200F" w:rsidRPr="00DF4B34">
        <w:rPr>
          <w:rFonts w:ascii="Arial" w:hAnsi="Arial" w:cs="Arial"/>
          <w:sz w:val="24"/>
          <w:szCs w:val="24"/>
        </w:rPr>
        <w:t xml:space="preserve">suggests that </w:t>
      </w:r>
      <w:r w:rsidR="008D60FF" w:rsidRPr="00DF4B34">
        <w:rPr>
          <w:rFonts w:ascii="Arial" w:hAnsi="Arial" w:cs="Arial"/>
          <w:i/>
          <w:iCs/>
          <w:sz w:val="24"/>
          <w:szCs w:val="24"/>
        </w:rPr>
        <w:t>'safeguarding measures should not automatically be removed solely because disclosures are not corroborated by parents, carers or medical examiners.'</w:t>
      </w:r>
    </w:p>
    <w:p w14:paraId="07A7593E" w14:textId="49EA0F75" w:rsidR="00484202" w:rsidRPr="00DF4B34" w:rsidRDefault="00484202" w:rsidP="00DF4B34">
      <w:pPr>
        <w:spacing w:line="360" w:lineRule="auto"/>
        <w:jc w:val="both"/>
        <w:rPr>
          <w:rFonts w:ascii="Arial" w:hAnsi="Arial" w:cs="Arial"/>
          <w:sz w:val="24"/>
          <w:szCs w:val="24"/>
        </w:rPr>
      </w:pPr>
      <w:r w:rsidRPr="00AE1DB7">
        <w:rPr>
          <w:rFonts w:ascii="Arial" w:hAnsi="Arial" w:cs="Arial"/>
          <w:sz w:val="24"/>
          <w:szCs w:val="24"/>
        </w:rPr>
        <w:t xml:space="preserve">Where the allegations </w:t>
      </w:r>
      <w:r w:rsidR="000B6D51" w:rsidRPr="00AE1DB7">
        <w:rPr>
          <w:rFonts w:ascii="Arial" w:hAnsi="Arial" w:cs="Arial"/>
          <w:sz w:val="24"/>
          <w:szCs w:val="24"/>
        </w:rPr>
        <w:t xml:space="preserve">are against </w:t>
      </w:r>
      <w:r w:rsidRPr="00AE1DB7">
        <w:rPr>
          <w:rFonts w:ascii="Arial" w:hAnsi="Arial" w:cs="Arial"/>
          <w:sz w:val="24"/>
          <w:szCs w:val="24"/>
        </w:rPr>
        <w:t xml:space="preserve">another child within the home or perhaps a relative </w:t>
      </w:r>
      <w:r w:rsidR="000B6D51" w:rsidRPr="00AE1DB7">
        <w:rPr>
          <w:rFonts w:ascii="Arial" w:hAnsi="Arial" w:cs="Arial"/>
          <w:sz w:val="24"/>
          <w:szCs w:val="24"/>
        </w:rPr>
        <w:t xml:space="preserve">child </w:t>
      </w:r>
      <w:r w:rsidRPr="00AE1DB7">
        <w:rPr>
          <w:rFonts w:ascii="Arial" w:hAnsi="Arial" w:cs="Arial"/>
          <w:sz w:val="24"/>
          <w:szCs w:val="24"/>
        </w:rPr>
        <w:t>who has regular contact</w:t>
      </w:r>
      <w:r w:rsidR="000B6D51" w:rsidRPr="00AE1DB7">
        <w:rPr>
          <w:rFonts w:ascii="Arial" w:hAnsi="Arial" w:cs="Arial"/>
          <w:sz w:val="24"/>
          <w:szCs w:val="24"/>
        </w:rPr>
        <w:t xml:space="preserve"> with other children</w:t>
      </w:r>
      <w:r w:rsidRPr="00AE1DB7">
        <w:rPr>
          <w:rFonts w:ascii="Arial" w:hAnsi="Arial" w:cs="Arial"/>
          <w:sz w:val="24"/>
          <w:szCs w:val="24"/>
        </w:rPr>
        <w:t>, consideration should be given to holding Multi-agency Risk Management Meetings (MARM).</w:t>
      </w:r>
      <w:r w:rsidRPr="00DF4B34">
        <w:rPr>
          <w:rFonts w:ascii="Arial" w:hAnsi="Arial" w:cs="Arial"/>
          <w:sz w:val="24"/>
          <w:szCs w:val="24"/>
        </w:rPr>
        <w:t xml:space="preserve"> The MARM process should be undertaken whe</w:t>
      </w:r>
      <w:r w:rsidR="5F6407E8" w:rsidRPr="00DF4B34">
        <w:rPr>
          <w:rFonts w:ascii="Arial" w:hAnsi="Arial" w:cs="Arial"/>
          <w:sz w:val="24"/>
          <w:szCs w:val="24"/>
        </w:rPr>
        <w:t>rever</w:t>
      </w:r>
      <w:r w:rsidR="4F482584" w:rsidRPr="00DF4B34">
        <w:rPr>
          <w:rFonts w:ascii="Arial" w:hAnsi="Arial" w:cs="Arial"/>
          <w:sz w:val="24"/>
          <w:szCs w:val="24"/>
        </w:rPr>
        <w:t xml:space="preserve"> a child has </w:t>
      </w:r>
      <w:r w:rsidR="6024DAE4" w:rsidRPr="00DF4B34">
        <w:rPr>
          <w:rFonts w:ascii="Arial" w:hAnsi="Arial" w:cs="Arial"/>
          <w:sz w:val="24"/>
          <w:szCs w:val="24"/>
        </w:rPr>
        <w:t>committed</w:t>
      </w:r>
      <w:r w:rsidR="4F482584" w:rsidRPr="00DF4B34">
        <w:rPr>
          <w:rFonts w:ascii="Arial" w:hAnsi="Arial" w:cs="Arial"/>
          <w:sz w:val="24"/>
          <w:szCs w:val="24"/>
        </w:rPr>
        <w:t xml:space="preserve"> a serious offence of a violent or sexual nature. This process can often result in greater participation by the police. Consideration should be made to inviting parents to these meetings, and it may be that by incorporating them into the CIN meeting process, this is possible. </w:t>
      </w:r>
    </w:p>
    <w:p w14:paraId="1D891D06" w14:textId="02E815AF" w:rsidR="00484202" w:rsidRPr="00DF4B34" w:rsidRDefault="00484202" w:rsidP="00DF4B34">
      <w:pPr>
        <w:spacing w:line="360" w:lineRule="auto"/>
        <w:jc w:val="both"/>
        <w:rPr>
          <w:rFonts w:ascii="Arial" w:hAnsi="Arial" w:cs="Arial"/>
          <w:sz w:val="24"/>
          <w:szCs w:val="24"/>
        </w:rPr>
      </w:pPr>
      <w:r w:rsidRPr="00DF4B34">
        <w:rPr>
          <w:rFonts w:ascii="Arial" w:hAnsi="Arial" w:cs="Arial"/>
          <w:sz w:val="24"/>
          <w:szCs w:val="24"/>
        </w:rPr>
        <w:t>The involvement of all agencies in the decision making and safety planning within cases that feature allegations of sexual abuse is essential. Plans should be created collaboratively with families, as well as our partner agencies, and the contingency response should the safety plan be breached made clear.</w:t>
      </w:r>
      <w:r w:rsidR="000E1611" w:rsidRPr="00DF4B34">
        <w:rPr>
          <w:rFonts w:ascii="Arial" w:hAnsi="Arial" w:cs="Arial"/>
          <w:sz w:val="24"/>
          <w:szCs w:val="24"/>
        </w:rPr>
        <w:t xml:space="preserve"> </w:t>
      </w:r>
      <w:r w:rsidR="004200A4" w:rsidRPr="00DF4B34">
        <w:rPr>
          <w:rFonts w:ascii="Arial" w:hAnsi="Arial" w:cs="Arial"/>
          <w:sz w:val="24"/>
          <w:szCs w:val="24"/>
        </w:rPr>
        <w:t>Consideration</w:t>
      </w:r>
      <w:r w:rsidR="000E1611" w:rsidRPr="00DF4B34">
        <w:rPr>
          <w:rFonts w:ascii="Arial" w:hAnsi="Arial" w:cs="Arial"/>
          <w:sz w:val="24"/>
          <w:szCs w:val="24"/>
        </w:rPr>
        <w:t xml:space="preserve"> should be given to the therapeutic needs of the child, and </w:t>
      </w:r>
      <w:r w:rsidR="004200A4" w:rsidRPr="00DF4B34">
        <w:rPr>
          <w:rFonts w:ascii="Arial" w:hAnsi="Arial" w:cs="Arial"/>
          <w:sz w:val="24"/>
          <w:szCs w:val="24"/>
        </w:rPr>
        <w:t xml:space="preserve">what support services may be available to them. </w:t>
      </w:r>
      <w:r w:rsidR="00EC0B0E" w:rsidRPr="00DF4B34">
        <w:rPr>
          <w:rFonts w:ascii="Arial" w:hAnsi="Arial" w:cs="Arial"/>
          <w:sz w:val="24"/>
          <w:szCs w:val="24"/>
        </w:rPr>
        <w:t xml:space="preserve"> Referral to the LADO should be considered</w:t>
      </w:r>
      <w:r w:rsidR="00577BC7" w:rsidRPr="00DF4B34">
        <w:rPr>
          <w:rFonts w:ascii="Arial" w:hAnsi="Arial" w:cs="Arial"/>
          <w:sz w:val="24"/>
          <w:szCs w:val="24"/>
        </w:rPr>
        <w:t xml:space="preserve"> where </w:t>
      </w:r>
      <w:r w:rsidR="00CD5D9D" w:rsidRPr="00DF4B34">
        <w:rPr>
          <w:rFonts w:ascii="Arial" w:hAnsi="Arial" w:cs="Arial"/>
          <w:sz w:val="24"/>
          <w:szCs w:val="24"/>
        </w:rPr>
        <w:t xml:space="preserve">the </w:t>
      </w:r>
      <w:r w:rsidR="00584C7C" w:rsidRPr="00DF4B34">
        <w:rPr>
          <w:rFonts w:ascii="Arial" w:hAnsi="Arial" w:cs="Arial"/>
          <w:sz w:val="24"/>
          <w:szCs w:val="24"/>
        </w:rPr>
        <w:t>induvial</w:t>
      </w:r>
      <w:r w:rsidR="00CD5D9D" w:rsidRPr="00DF4B34">
        <w:rPr>
          <w:rFonts w:ascii="Arial" w:hAnsi="Arial" w:cs="Arial"/>
          <w:sz w:val="24"/>
          <w:szCs w:val="24"/>
        </w:rPr>
        <w:t xml:space="preserve"> </w:t>
      </w:r>
      <w:r w:rsidR="00584C7C" w:rsidRPr="00DF4B34">
        <w:rPr>
          <w:rFonts w:ascii="Arial" w:hAnsi="Arial" w:cs="Arial"/>
          <w:sz w:val="24"/>
          <w:szCs w:val="24"/>
        </w:rPr>
        <w:t>has a role in working with children (including unpaid work)</w:t>
      </w:r>
      <w:r w:rsidR="00EC0B0E" w:rsidRPr="00DF4B34">
        <w:rPr>
          <w:rFonts w:ascii="Arial" w:hAnsi="Arial" w:cs="Arial"/>
          <w:sz w:val="24"/>
          <w:szCs w:val="24"/>
        </w:rPr>
        <w:t>.</w:t>
      </w:r>
      <w:r w:rsidRPr="00DF4B34">
        <w:rPr>
          <w:rFonts w:ascii="Arial" w:hAnsi="Arial" w:cs="Arial"/>
          <w:sz w:val="24"/>
          <w:szCs w:val="24"/>
        </w:rPr>
        <w:t xml:space="preserve"> </w:t>
      </w:r>
      <w:r w:rsidR="00B537BC" w:rsidRPr="00DF4B34">
        <w:rPr>
          <w:rFonts w:ascii="Arial" w:hAnsi="Arial" w:cs="Arial"/>
          <w:sz w:val="24"/>
          <w:szCs w:val="24"/>
        </w:rPr>
        <w:t xml:space="preserve">Professionals </w:t>
      </w:r>
      <w:r w:rsidR="004A689C" w:rsidRPr="00DF4B34">
        <w:rPr>
          <w:rFonts w:ascii="Arial" w:hAnsi="Arial" w:cs="Arial"/>
          <w:sz w:val="24"/>
          <w:szCs w:val="24"/>
        </w:rPr>
        <w:t xml:space="preserve">should be </w:t>
      </w:r>
      <w:r w:rsidR="008262F9" w:rsidRPr="00DF4B34">
        <w:rPr>
          <w:rFonts w:ascii="Arial" w:hAnsi="Arial" w:cs="Arial"/>
          <w:sz w:val="24"/>
          <w:szCs w:val="24"/>
        </w:rPr>
        <w:t>reminded</w:t>
      </w:r>
      <w:r w:rsidR="004A689C" w:rsidRPr="00DF4B34">
        <w:rPr>
          <w:rFonts w:ascii="Arial" w:hAnsi="Arial" w:cs="Arial"/>
          <w:sz w:val="24"/>
          <w:szCs w:val="24"/>
        </w:rPr>
        <w:t xml:space="preserve"> at the point of step down or closure that </w:t>
      </w:r>
      <w:r w:rsidR="00764D93" w:rsidRPr="00DF4B34">
        <w:rPr>
          <w:rFonts w:ascii="Arial" w:hAnsi="Arial" w:cs="Arial"/>
          <w:sz w:val="24"/>
          <w:szCs w:val="24"/>
        </w:rPr>
        <w:t xml:space="preserve">written agreements in </w:t>
      </w:r>
      <w:r w:rsidR="003136AC" w:rsidRPr="00DF4B34">
        <w:rPr>
          <w:rFonts w:ascii="Arial" w:hAnsi="Arial" w:cs="Arial"/>
          <w:sz w:val="24"/>
          <w:szCs w:val="24"/>
        </w:rPr>
        <w:t>isolation</w:t>
      </w:r>
      <w:r w:rsidR="00764D93" w:rsidRPr="00DF4B34">
        <w:rPr>
          <w:rFonts w:ascii="Arial" w:hAnsi="Arial" w:cs="Arial"/>
          <w:sz w:val="24"/>
          <w:szCs w:val="24"/>
        </w:rPr>
        <w:t xml:space="preserve"> don't safeguard children. The</w:t>
      </w:r>
      <w:r w:rsidR="003136AC" w:rsidRPr="00DF4B34">
        <w:rPr>
          <w:rFonts w:ascii="Arial" w:hAnsi="Arial" w:cs="Arial"/>
          <w:sz w:val="24"/>
          <w:szCs w:val="24"/>
        </w:rPr>
        <w:t xml:space="preserve">y would need to continue to monitor and </w:t>
      </w:r>
      <w:proofErr w:type="gramStart"/>
      <w:r w:rsidR="003136AC" w:rsidRPr="00DF4B34">
        <w:rPr>
          <w:rFonts w:ascii="Arial" w:hAnsi="Arial" w:cs="Arial"/>
          <w:sz w:val="24"/>
          <w:szCs w:val="24"/>
        </w:rPr>
        <w:t>refer back</w:t>
      </w:r>
      <w:proofErr w:type="gramEnd"/>
      <w:r w:rsidR="003136AC" w:rsidRPr="00DF4B34">
        <w:rPr>
          <w:rFonts w:ascii="Arial" w:hAnsi="Arial" w:cs="Arial"/>
          <w:sz w:val="24"/>
          <w:szCs w:val="24"/>
        </w:rPr>
        <w:t xml:space="preserve"> </w:t>
      </w:r>
      <w:r w:rsidR="00772997" w:rsidRPr="00DF4B34">
        <w:rPr>
          <w:rFonts w:ascii="Arial" w:hAnsi="Arial" w:cs="Arial"/>
          <w:sz w:val="24"/>
          <w:szCs w:val="24"/>
        </w:rPr>
        <w:t>into</w:t>
      </w:r>
      <w:r w:rsidR="003136AC" w:rsidRPr="00DF4B34">
        <w:rPr>
          <w:rFonts w:ascii="Arial" w:hAnsi="Arial" w:cs="Arial"/>
          <w:sz w:val="24"/>
          <w:szCs w:val="24"/>
        </w:rPr>
        <w:t xml:space="preserve"> CSC if new concerns arose.</w:t>
      </w:r>
      <w:r w:rsidR="31CA72C2" w:rsidRPr="00DF4B34">
        <w:rPr>
          <w:rFonts w:ascii="Arial" w:hAnsi="Arial" w:cs="Arial"/>
          <w:sz w:val="24"/>
          <w:szCs w:val="24"/>
        </w:rPr>
        <w:t xml:space="preserve"> Workers need to be specific in the handover process</w:t>
      </w:r>
      <w:r w:rsidR="0005606F" w:rsidRPr="00DF4B34">
        <w:rPr>
          <w:rFonts w:ascii="Arial" w:hAnsi="Arial" w:cs="Arial"/>
          <w:sz w:val="24"/>
          <w:szCs w:val="24"/>
        </w:rPr>
        <w:t xml:space="preserve"> (step-down or closure)</w:t>
      </w:r>
      <w:r w:rsidR="31CA72C2" w:rsidRPr="00DF4B34">
        <w:rPr>
          <w:rFonts w:ascii="Arial" w:hAnsi="Arial" w:cs="Arial"/>
          <w:sz w:val="24"/>
          <w:szCs w:val="24"/>
        </w:rPr>
        <w:t xml:space="preserve"> that time doesn’t necessarily </w:t>
      </w:r>
      <w:proofErr w:type="gramStart"/>
      <w:r w:rsidR="31CA72C2" w:rsidRPr="00DF4B34">
        <w:rPr>
          <w:rFonts w:ascii="Arial" w:hAnsi="Arial" w:cs="Arial"/>
          <w:sz w:val="24"/>
          <w:szCs w:val="24"/>
        </w:rPr>
        <w:t>decrease</w:t>
      </w:r>
      <w:proofErr w:type="gramEnd"/>
      <w:r w:rsidR="31CA72C2" w:rsidRPr="00DF4B34">
        <w:rPr>
          <w:rFonts w:ascii="Arial" w:hAnsi="Arial" w:cs="Arial"/>
          <w:sz w:val="24"/>
          <w:szCs w:val="24"/>
        </w:rPr>
        <w:t xml:space="preserve"> risk, and it's for those professionals to hold the information and refer back into CSC if needed, or to ensure that the relevant new professional or agency is aware of the information (for example</w:t>
      </w:r>
      <w:r w:rsidR="003E2B37" w:rsidRPr="00DF4B34">
        <w:rPr>
          <w:rFonts w:ascii="Arial" w:hAnsi="Arial" w:cs="Arial"/>
          <w:sz w:val="24"/>
          <w:szCs w:val="24"/>
        </w:rPr>
        <w:t>,</w:t>
      </w:r>
      <w:r w:rsidR="31CA72C2" w:rsidRPr="00DF4B34">
        <w:rPr>
          <w:rFonts w:ascii="Arial" w:hAnsi="Arial" w:cs="Arial"/>
          <w:sz w:val="24"/>
          <w:szCs w:val="24"/>
        </w:rPr>
        <w:t xml:space="preserve"> should a young person progress on to high school).  Social workers need to be explicit within their multi-agency meetings what concerns or behaviours would warrant such a re-referral</w:t>
      </w:r>
      <w:r w:rsidR="447A03CC" w:rsidRPr="00DF4B34">
        <w:rPr>
          <w:rFonts w:ascii="Arial" w:hAnsi="Arial" w:cs="Arial"/>
          <w:sz w:val="24"/>
          <w:szCs w:val="24"/>
        </w:rPr>
        <w:t xml:space="preserve">. </w:t>
      </w:r>
    </w:p>
    <w:p w14:paraId="6D1F6169" w14:textId="1983F2CA" w:rsidR="00484202" w:rsidRPr="00DF4B34" w:rsidRDefault="00484202" w:rsidP="00DF4B34">
      <w:pPr>
        <w:spacing w:line="360" w:lineRule="auto"/>
        <w:jc w:val="both"/>
        <w:rPr>
          <w:rFonts w:ascii="Arial" w:hAnsi="Arial" w:cs="Arial"/>
          <w:sz w:val="24"/>
          <w:szCs w:val="24"/>
        </w:rPr>
      </w:pPr>
      <w:r w:rsidRPr="00DF4B34">
        <w:rPr>
          <w:rFonts w:ascii="Arial" w:hAnsi="Arial" w:cs="Arial"/>
          <w:sz w:val="24"/>
          <w:szCs w:val="24"/>
        </w:rPr>
        <w:t xml:space="preserve">Social workers often struggle to balance their intuition or 'gut feelings' with the need to ensure practice is evidence-based. Professional intuitions and emotions should not be dismissed but used as a </w:t>
      </w:r>
      <w:r w:rsidR="004D06C3" w:rsidRPr="00DF4B34">
        <w:rPr>
          <w:rFonts w:ascii="Arial" w:hAnsi="Arial" w:cs="Arial"/>
          <w:sz w:val="24"/>
          <w:szCs w:val="24"/>
        </w:rPr>
        <w:t>hypothesis</w:t>
      </w:r>
      <w:r w:rsidRPr="00DF4B34">
        <w:rPr>
          <w:rFonts w:ascii="Arial" w:hAnsi="Arial" w:cs="Arial"/>
          <w:sz w:val="24"/>
          <w:szCs w:val="24"/>
        </w:rPr>
        <w:t xml:space="preserve"> to be tested or explored within our analyses. </w:t>
      </w:r>
      <w:proofErr w:type="gramStart"/>
      <w:r w:rsidRPr="00DF4B34">
        <w:rPr>
          <w:rFonts w:ascii="Arial" w:hAnsi="Arial" w:cs="Arial"/>
          <w:sz w:val="24"/>
          <w:szCs w:val="24"/>
        </w:rPr>
        <w:t>As long as</w:t>
      </w:r>
      <w:proofErr w:type="gramEnd"/>
      <w:r w:rsidRPr="00DF4B34">
        <w:rPr>
          <w:rFonts w:ascii="Arial" w:hAnsi="Arial" w:cs="Arial"/>
          <w:sz w:val="24"/>
          <w:szCs w:val="24"/>
        </w:rPr>
        <w:t xml:space="preserve"> these feelings are reflected upon and critiqued, bias can be avoided. </w:t>
      </w:r>
      <w:r w:rsidRPr="00DF4B34">
        <w:rPr>
          <w:rFonts w:ascii="Arial" w:hAnsi="Arial" w:cs="Arial"/>
          <w:sz w:val="24"/>
          <w:szCs w:val="24"/>
        </w:rPr>
        <w:lastRenderedPageBreak/>
        <w:t xml:space="preserve">Undertaking such reflection with other agencies can often add considerable value to our assessments. </w:t>
      </w:r>
    </w:p>
    <w:p w14:paraId="575C58DD" w14:textId="77777777" w:rsidR="00CF27EE" w:rsidRPr="00DF4B34" w:rsidRDefault="00CF27EE" w:rsidP="00DF4B34">
      <w:pPr>
        <w:spacing w:line="360" w:lineRule="auto"/>
        <w:jc w:val="both"/>
        <w:rPr>
          <w:rFonts w:ascii="Arial" w:hAnsi="Arial" w:cs="Arial"/>
          <w:i/>
          <w:iCs/>
          <w:sz w:val="24"/>
          <w:szCs w:val="24"/>
        </w:rPr>
      </w:pPr>
    </w:p>
    <w:p w14:paraId="26D62125" w14:textId="54CCA70A" w:rsidR="00E60655" w:rsidRPr="00DF4B34" w:rsidRDefault="007F6C63" w:rsidP="00DF4B34">
      <w:pPr>
        <w:pStyle w:val="ListParagraph"/>
        <w:numPr>
          <w:ilvl w:val="0"/>
          <w:numId w:val="1"/>
        </w:numPr>
        <w:spacing w:line="360" w:lineRule="auto"/>
        <w:jc w:val="both"/>
        <w:rPr>
          <w:rFonts w:ascii="Arial" w:hAnsi="Arial" w:cs="Arial"/>
          <w:b/>
          <w:bCs/>
          <w:sz w:val="24"/>
          <w:szCs w:val="24"/>
          <w:u w:val="single"/>
        </w:rPr>
      </w:pPr>
      <w:r w:rsidRPr="00DF4B34">
        <w:rPr>
          <w:rFonts w:ascii="Arial" w:hAnsi="Arial" w:cs="Arial"/>
          <w:b/>
          <w:bCs/>
          <w:sz w:val="24"/>
          <w:szCs w:val="24"/>
          <w:u w:val="single"/>
        </w:rPr>
        <w:t>Role of the police</w:t>
      </w:r>
    </w:p>
    <w:p w14:paraId="08B82E14" w14:textId="7540E86D" w:rsidR="00192AC2" w:rsidRPr="00DF4B34" w:rsidRDefault="00543654" w:rsidP="00DF4B34">
      <w:pPr>
        <w:spacing w:line="360" w:lineRule="auto"/>
        <w:jc w:val="both"/>
        <w:rPr>
          <w:rFonts w:ascii="Arial" w:eastAsia="Times New Roman" w:hAnsi="Arial" w:cs="Arial"/>
          <w:sz w:val="24"/>
          <w:szCs w:val="24"/>
          <w:lang w:eastAsia="en-GB"/>
        </w:rPr>
      </w:pPr>
      <w:r w:rsidRPr="00DF4B34">
        <w:rPr>
          <w:rFonts w:ascii="Arial" w:hAnsi="Arial" w:cs="Arial"/>
          <w:sz w:val="24"/>
          <w:szCs w:val="24"/>
        </w:rPr>
        <w:t>Where the</w:t>
      </w:r>
      <w:r w:rsidR="004E0201" w:rsidRPr="00DF4B34">
        <w:rPr>
          <w:rFonts w:ascii="Arial" w:hAnsi="Arial" w:cs="Arial"/>
          <w:sz w:val="24"/>
          <w:szCs w:val="24"/>
        </w:rPr>
        <w:t>re</w:t>
      </w:r>
      <w:r w:rsidRPr="00DF4B34">
        <w:rPr>
          <w:rFonts w:ascii="Arial" w:hAnsi="Arial" w:cs="Arial"/>
          <w:sz w:val="24"/>
          <w:szCs w:val="24"/>
        </w:rPr>
        <w:t xml:space="preserve"> is an on-going police </w:t>
      </w:r>
      <w:r w:rsidR="004E0201" w:rsidRPr="00DF4B34">
        <w:rPr>
          <w:rFonts w:ascii="Arial" w:hAnsi="Arial" w:cs="Arial"/>
          <w:sz w:val="24"/>
          <w:szCs w:val="24"/>
        </w:rPr>
        <w:t>investigation</w:t>
      </w:r>
      <w:r w:rsidR="00192AC2" w:rsidRPr="00DF4B34">
        <w:rPr>
          <w:rFonts w:ascii="Arial" w:hAnsi="Arial" w:cs="Arial"/>
          <w:sz w:val="24"/>
          <w:szCs w:val="24"/>
        </w:rPr>
        <w:t xml:space="preserve"> and </w:t>
      </w:r>
      <w:r w:rsidR="0001504F" w:rsidRPr="00DF4B34">
        <w:rPr>
          <w:rFonts w:ascii="Arial" w:eastAsia="Times New Roman" w:hAnsi="Arial" w:cs="Arial"/>
          <w:sz w:val="24"/>
          <w:szCs w:val="24"/>
          <w:shd w:val="clear" w:color="auto" w:fill="FFFFFF"/>
          <w:lang w:eastAsia="en-GB"/>
        </w:rPr>
        <w:t xml:space="preserve">there is </w:t>
      </w:r>
      <w:proofErr w:type="gramStart"/>
      <w:r w:rsidR="0001504F" w:rsidRPr="00DF4B34">
        <w:rPr>
          <w:rFonts w:ascii="Arial" w:eastAsia="Times New Roman" w:hAnsi="Arial" w:cs="Arial"/>
          <w:sz w:val="24"/>
          <w:szCs w:val="24"/>
          <w:shd w:val="clear" w:color="auto" w:fill="FFFFFF"/>
          <w:lang w:eastAsia="en-GB"/>
        </w:rPr>
        <w:t>as yet</w:t>
      </w:r>
      <w:proofErr w:type="gramEnd"/>
      <w:r w:rsidR="0001504F" w:rsidRPr="00DF4B34">
        <w:rPr>
          <w:rFonts w:ascii="Arial" w:eastAsia="Times New Roman" w:hAnsi="Arial" w:cs="Arial"/>
          <w:sz w:val="24"/>
          <w:szCs w:val="24"/>
          <w:shd w:val="clear" w:color="auto" w:fill="FFFFFF"/>
          <w:lang w:eastAsia="en-GB"/>
        </w:rPr>
        <w:t xml:space="preserve"> insufficient evidence to charge a suspect</w:t>
      </w:r>
      <w:r w:rsidR="006720E2" w:rsidRPr="00DF4B34">
        <w:rPr>
          <w:rFonts w:ascii="Arial" w:eastAsia="Times New Roman" w:hAnsi="Arial" w:cs="Arial"/>
          <w:sz w:val="24"/>
          <w:szCs w:val="24"/>
          <w:shd w:val="clear" w:color="auto" w:fill="FFFFFF"/>
          <w:lang w:eastAsia="en-GB"/>
        </w:rPr>
        <w:t xml:space="preserve">, he/she </w:t>
      </w:r>
      <w:r w:rsidR="0001504F" w:rsidRPr="00DF4B34">
        <w:rPr>
          <w:rFonts w:ascii="Arial" w:eastAsia="Times New Roman" w:hAnsi="Arial" w:cs="Arial"/>
          <w:sz w:val="24"/>
          <w:szCs w:val="24"/>
          <w:shd w:val="clear" w:color="auto" w:fill="FFFFFF"/>
          <w:lang w:eastAsia="en-GB"/>
        </w:rPr>
        <w:t>is released pending further investigation (ss. 37(2), 34(2) and 34(5) of the Police and Criminal Evidence Act 1984 (PACE)).</w:t>
      </w:r>
      <w:r w:rsidR="00192AC2" w:rsidRPr="00DF4B34">
        <w:rPr>
          <w:rFonts w:ascii="Arial" w:eastAsia="Times New Roman" w:hAnsi="Arial" w:cs="Arial"/>
          <w:sz w:val="24"/>
          <w:szCs w:val="24"/>
          <w:lang w:eastAsia="en-GB"/>
        </w:rPr>
        <w:t xml:space="preserve"> </w:t>
      </w:r>
      <w:r w:rsidR="00D1388E" w:rsidRPr="00DF4B34">
        <w:rPr>
          <w:rFonts w:ascii="Arial" w:eastAsia="Times New Roman" w:hAnsi="Arial" w:cs="Arial"/>
          <w:sz w:val="24"/>
          <w:szCs w:val="24"/>
          <w:lang w:eastAsia="en-GB"/>
        </w:rPr>
        <w:t xml:space="preserve"> Bail conditions are implemented where</w:t>
      </w:r>
      <w:r w:rsidR="00E66018" w:rsidRPr="00DF4B34">
        <w:rPr>
          <w:rFonts w:ascii="Arial" w:eastAsia="Times New Roman" w:hAnsi="Arial" w:cs="Arial"/>
          <w:sz w:val="24"/>
          <w:szCs w:val="24"/>
          <w:lang w:eastAsia="en-GB"/>
        </w:rPr>
        <w:t xml:space="preserve"> </w:t>
      </w:r>
      <w:r w:rsidR="00AA5738" w:rsidRPr="00DF4B34">
        <w:rPr>
          <w:rFonts w:ascii="Arial" w:eastAsia="Times New Roman" w:hAnsi="Arial" w:cs="Arial"/>
          <w:sz w:val="24"/>
          <w:szCs w:val="24"/>
          <w:lang w:eastAsia="en-GB"/>
        </w:rPr>
        <w:t>the recovery of further evidence is needed, a</w:t>
      </w:r>
      <w:r w:rsidR="00651639" w:rsidRPr="00DF4B34">
        <w:rPr>
          <w:rFonts w:ascii="Arial" w:eastAsia="Times New Roman" w:hAnsi="Arial" w:cs="Arial"/>
          <w:sz w:val="24"/>
          <w:szCs w:val="24"/>
          <w:lang w:eastAsia="en-GB"/>
        </w:rPr>
        <w:t xml:space="preserve">nd </w:t>
      </w:r>
      <w:r w:rsidR="0068662B" w:rsidRPr="00DF4B34">
        <w:rPr>
          <w:rFonts w:ascii="Arial" w:eastAsia="Times New Roman" w:hAnsi="Arial" w:cs="Arial"/>
          <w:sz w:val="24"/>
          <w:szCs w:val="24"/>
          <w:lang w:eastAsia="en-GB"/>
        </w:rPr>
        <w:t>whilst</w:t>
      </w:r>
      <w:r w:rsidR="00651639" w:rsidRPr="00DF4B34">
        <w:rPr>
          <w:rFonts w:ascii="Arial" w:eastAsia="Times New Roman" w:hAnsi="Arial" w:cs="Arial"/>
          <w:sz w:val="24"/>
          <w:szCs w:val="24"/>
          <w:lang w:eastAsia="en-GB"/>
        </w:rPr>
        <w:t xml:space="preserve"> </w:t>
      </w:r>
      <w:r w:rsidR="0068662B" w:rsidRPr="00DF4B34">
        <w:rPr>
          <w:rFonts w:ascii="Arial" w:eastAsia="Times New Roman" w:hAnsi="Arial" w:cs="Arial"/>
          <w:sz w:val="24"/>
          <w:szCs w:val="24"/>
          <w:lang w:eastAsia="en-GB"/>
        </w:rPr>
        <w:t>they</w:t>
      </w:r>
      <w:r w:rsidR="00651639" w:rsidRPr="00DF4B34">
        <w:rPr>
          <w:rFonts w:ascii="Arial" w:eastAsia="Times New Roman" w:hAnsi="Arial" w:cs="Arial"/>
          <w:sz w:val="24"/>
          <w:szCs w:val="24"/>
          <w:lang w:eastAsia="en-GB"/>
        </w:rPr>
        <w:t xml:space="preserve"> may assist with </w:t>
      </w:r>
      <w:r w:rsidR="00192AC2" w:rsidRPr="00DF4B34">
        <w:rPr>
          <w:rFonts w:ascii="Arial" w:eastAsia="Times New Roman" w:hAnsi="Arial" w:cs="Arial"/>
          <w:sz w:val="24"/>
          <w:szCs w:val="24"/>
          <w:lang w:eastAsia="en-GB"/>
        </w:rPr>
        <w:t>safeguarding</w:t>
      </w:r>
      <w:r w:rsidR="00651639" w:rsidRPr="00DF4B34">
        <w:rPr>
          <w:rFonts w:ascii="Arial" w:eastAsia="Times New Roman" w:hAnsi="Arial" w:cs="Arial"/>
          <w:sz w:val="24"/>
          <w:szCs w:val="24"/>
          <w:lang w:eastAsia="en-GB"/>
        </w:rPr>
        <w:t xml:space="preserve"> this is not their primary objective</w:t>
      </w:r>
      <w:r w:rsidR="00EC6612" w:rsidRPr="00DF4B34">
        <w:rPr>
          <w:rFonts w:ascii="Arial" w:eastAsia="Times New Roman" w:hAnsi="Arial" w:cs="Arial"/>
          <w:sz w:val="24"/>
          <w:szCs w:val="24"/>
          <w:lang w:eastAsia="en-GB"/>
        </w:rPr>
        <w:t>.</w:t>
      </w:r>
      <w:r w:rsidR="00651639" w:rsidRPr="00DF4B34">
        <w:rPr>
          <w:rFonts w:ascii="Arial" w:eastAsia="Times New Roman" w:hAnsi="Arial" w:cs="Arial"/>
          <w:sz w:val="24"/>
          <w:szCs w:val="24"/>
          <w:lang w:eastAsia="en-GB"/>
        </w:rPr>
        <w:t xml:space="preserve"> </w:t>
      </w:r>
    </w:p>
    <w:p w14:paraId="562189CB" w14:textId="65C22060" w:rsidR="00192CF2" w:rsidRPr="00DF4B34" w:rsidRDefault="00192CF2" w:rsidP="00DF4B34">
      <w:pPr>
        <w:spacing w:line="360" w:lineRule="auto"/>
        <w:jc w:val="both"/>
        <w:rPr>
          <w:rFonts w:ascii="Arial" w:eastAsia="Times New Roman" w:hAnsi="Arial" w:cs="Arial"/>
          <w:sz w:val="24"/>
          <w:szCs w:val="24"/>
          <w:lang w:eastAsia="en-GB"/>
        </w:rPr>
      </w:pPr>
      <w:r w:rsidRPr="00DF4B34">
        <w:rPr>
          <w:rFonts w:ascii="Arial" w:eastAsia="Times New Roman" w:hAnsi="Arial" w:cs="Arial"/>
          <w:sz w:val="24"/>
          <w:szCs w:val="24"/>
          <w:lang w:eastAsia="en-GB"/>
        </w:rPr>
        <w:t>There is a difference between police bail and bail imposed by the criminal court</w:t>
      </w:r>
      <w:r w:rsidR="00757740" w:rsidRPr="00DF4B34">
        <w:rPr>
          <w:rFonts w:ascii="Arial" w:eastAsia="Times New Roman" w:hAnsi="Arial" w:cs="Arial"/>
          <w:sz w:val="24"/>
          <w:szCs w:val="24"/>
          <w:lang w:eastAsia="en-GB"/>
        </w:rPr>
        <w:t>, and it is important to clarify</w:t>
      </w:r>
      <w:r w:rsidR="00A04206" w:rsidRPr="00DF4B34">
        <w:rPr>
          <w:rFonts w:ascii="Arial" w:eastAsia="Times New Roman" w:hAnsi="Arial" w:cs="Arial"/>
          <w:sz w:val="24"/>
          <w:szCs w:val="24"/>
          <w:lang w:eastAsia="en-GB"/>
        </w:rPr>
        <w:t xml:space="preserve"> which applies in a specific case. </w:t>
      </w:r>
      <w:r w:rsidRPr="00DF4B34">
        <w:rPr>
          <w:rFonts w:ascii="Arial" w:eastAsia="Times New Roman" w:hAnsi="Arial" w:cs="Arial"/>
          <w:sz w:val="24"/>
          <w:szCs w:val="24"/>
          <w:lang w:eastAsia="en-GB"/>
        </w:rPr>
        <w:t xml:space="preserve"> </w:t>
      </w:r>
    </w:p>
    <w:p w14:paraId="5D8A52D6" w14:textId="0183DEBA" w:rsidR="00CE6BC5" w:rsidRPr="00DF4B34" w:rsidRDefault="00CE6BC5" w:rsidP="00DF4B34">
      <w:pPr>
        <w:spacing w:line="360" w:lineRule="auto"/>
        <w:jc w:val="both"/>
        <w:rPr>
          <w:rFonts w:ascii="Arial" w:eastAsia="Times New Roman" w:hAnsi="Arial" w:cs="Arial"/>
          <w:sz w:val="24"/>
          <w:szCs w:val="24"/>
          <w:lang w:eastAsia="en-GB"/>
        </w:rPr>
      </w:pPr>
      <w:r w:rsidRPr="00DF4B34">
        <w:rPr>
          <w:rFonts w:ascii="Arial" w:eastAsia="Times New Roman" w:hAnsi="Arial" w:cs="Arial"/>
          <w:sz w:val="24"/>
          <w:szCs w:val="24"/>
          <w:lang w:eastAsia="en-GB"/>
        </w:rPr>
        <w:t xml:space="preserve">In October 2022, the Police moved away from only being able to </w:t>
      </w:r>
      <w:r w:rsidR="002972DF" w:rsidRPr="00DF4B34">
        <w:rPr>
          <w:rFonts w:ascii="Arial" w:eastAsia="Times New Roman" w:hAnsi="Arial" w:cs="Arial"/>
          <w:sz w:val="24"/>
          <w:szCs w:val="24"/>
          <w:lang w:eastAsia="en-GB"/>
        </w:rPr>
        <w:t xml:space="preserve">set bail conditions at 28 days, owing to a government response to moving away from individuals being released under investigation and this resulting in significant delays in investigations concluding. </w:t>
      </w:r>
    </w:p>
    <w:p w14:paraId="76764DC0" w14:textId="7805450C" w:rsidR="002972DF" w:rsidRPr="00DF4B34" w:rsidRDefault="002972DF" w:rsidP="00DF4B34">
      <w:pPr>
        <w:spacing w:line="360" w:lineRule="auto"/>
        <w:jc w:val="both"/>
        <w:rPr>
          <w:rFonts w:ascii="Arial" w:hAnsi="Arial" w:cs="Arial"/>
          <w:sz w:val="24"/>
          <w:szCs w:val="24"/>
        </w:rPr>
      </w:pPr>
      <w:r w:rsidRPr="00DF4B34">
        <w:rPr>
          <w:rFonts w:ascii="Arial" w:hAnsi="Arial" w:cs="Arial"/>
          <w:sz w:val="24"/>
          <w:szCs w:val="24"/>
        </w:rPr>
        <w:t xml:space="preserve">Under the new rules, the Police now generally use bail conditions as opposed to being released under investigation, and whilst at times a shorter period of bail may be agreed, the police now have the power to agree a </w:t>
      </w:r>
      <w:proofErr w:type="gramStart"/>
      <w:r w:rsidRPr="00DF4B34">
        <w:rPr>
          <w:rFonts w:ascii="Arial" w:hAnsi="Arial" w:cs="Arial"/>
          <w:sz w:val="24"/>
          <w:szCs w:val="24"/>
        </w:rPr>
        <w:t>3 month</w:t>
      </w:r>
      <w:proofErr w:type="gramEnd"/>
      <w:r w:rsidRPr="00DF4B34">
        <w:rPr>
          <w:rFonts w:ascii="Arial" w:hAnsi="Arial" w:cs="Arial"/>
          <w:sz w:val="24"/>
          <w:szCs w:val="24"/>
        </w:rPr>
        <w:t xml:space="preserve"> bail period. If the investigation continues past 3 months and bail is still required, the Police require the approval of an Inspector to extend this bail for anything up to 6 months. Likewise with 6-9 months the Police require the approval of a Superintendent. In the event that bail conditions are required in excess of 9 months, this can be extended furhter at a </w:t>
      </w:r>
      <w:proofErr w:type="gramStart"/>
      <w:r w:rsidRPr="00DF4B34">
        <w:rPr>
          <w:rFonts w:ascii="Arial" w:hAnsi="Arial" w:cs="Arial"/>
          <w:sz w:val="24"/>
          <w:szCs w:val="24"/>
        </w:rPr>
        <w:t>magistrates</w:t>
      </w:r>
      <w:proofErr w:type="gramEnd"/>
      <w:r w:rsidRPr="00DF4B34">
        <w:rPr>
          <w:rFonts w:ascii="Arial" w:hAnsi="Arial" w:cs="Arial"/>
          <w:sz w:val="24"/>
          <w:szCs w:val="24"/>
        </w:rPr>
        <w:t xml:space="preserve"> court for 12, 18, or 24 months (complex cases only).</w:t>
      </w:r>
    </w:p>
    <w:p w14:paraId="01955BB2" w14:textId="13F06A87" w:rsidR="00192AC2" w:rsidRPr="00DF4B34" w:rsidRDefault="00EE13A3" w:rsidP="00DF4B34">
      <w:pPr>
        <w:spacing w:line="360" w:lineRule="auto"/>
        <w:jc w:val="both"/>
        <w:rPr>
          <w:rFonts w:ascii="Arial" w:eastAsia="Times New Roman" w:hAnsi="Arial" w:cs="Arial"/>
          <w:sz w:val="24"/>
          <w:szCs w:val="24"/>
          <w:lang w:eastAsia="en-GB"/>
        </w:rPr>
      </w:pPr>
      <w:r w:rsidRPr="00DF4B34">
        <w:rPr>
          <w:rFonts w:ascii="Arial" w:eastAsia="Times New Roman" w:hAnsi="Arial" w:cs="Arial"/>
          <w:sz w:val="24"/>
          <w:szCs w:val="24"/>
          <w:lang w:eastAsia="en-GB"/>
        </w:rPr>
        <w:t xml:space="preserve">At the point of bail conditions being cancelled the police will </w:t>
      </w:r>
      <w:r w:rsidR="00B54373" w:rsidRPr="00DF4B34">
        <w:rPr>
          <w:rFonts w:ascii="Arial" w:eastAsia="Times New Roman" w:hAnsi="Arial" w:cs="Arial"/>
          <w:sz w:val="24"/>
          <w:szCs w:val="24"/>
          <w:lang w:eastAsia="en-GB"/>
        </w:rPr>
        <w:t>provide</w:t>
      </w:r>
      <w:r w:rsidRPr="00DF4B34">
        <w:rPr>
          <w:rFonts w:ascii="Arial" w:eastAsia="Times New Roman" w:hAnsi="Arial" w:cs="Arial"/>
          <w:sz w:val="24"/>
          <w:szCs w:val="24"/>
          <w:lang w:eastAsia="en-GB"/>
        </w:rPr>
        <w:t xml:space="preserve"> written </w:t>
      </w:r>
      <w:r w:rsidR="00B54373" w:rsidRPr="00DF4B34">
        <w:rPr>
          <w:rFonts w:ascii="Arial" w:eastAsia="Times New Roman" w:hAnsi="Arial" w:cs="Arial"/>
          <w:sz w:val="24"/>
          <w:szCs w:val="24"/>
          <w:lang w:eastAsia="en-GB"/>
        </w:rPr>
        <w:t>notification</w:t>
      </w:r>
      <w:r w:rsidRPr="00DF4B34">
        <w:rPr>
          <w:rFonts w:ascii="Arial" w:eastAsia="Times New Roman" w:hAnsi="Arial" w:cs="Arial"/>
          <w:sz w:val="24"/>
          <w:szCs w:val="24"/>
          <w:lang w:eastAsia="en-GB"/>
        </w:rPr>
        <w:t xml:space="preserve"> of them being discontinued </w:t>
      </w:r>
      <w:r w:rsidR="00B54373" w:rsidRPr="00DF4B34">
        <w:rPr>
          <w:rFonts w:ascii="Arial" w:eastAsia="Times New Roman" w:hAnsi="Arial" w:cs="Arial"/>
          <w:sz w:val="24"/>
          <w:szCs w:val="24"/>
          <w:lang w:eastAsia="en-GB"/>
        </w:rPr>
        <w:t xml:space="preserve">to the alleged perpetrator. </w:t>
      </w:r>
    </w:p>
    <w:p w14:paraId="0E74F51D" w14:textId="5A05F3D0" w:rsidR="00B806EB" w:rsidRPr="00DF4B34" w:rsidRDefault="00B806EB" w:rsidP="00DF4B34">
      <w:pPr>
        <w:spacing w:line="360" w:lineRule="auto"/>
        <w:jc w:val="both"/>
        <w:rPr>
          <w:rFonts w:ascii="Arial" w:hAnsi="Arial" w:cs="Arial"/>
          <w:sz w:val="24"/>
          <w:szCs w:val="24"/>
          <w:lang w:val="en-US"/>
        </w:rPr>
      </w:pPr>
      <w:r w:rsidRPr="00DF4B34">
        <w:rPr>
          <w:rFonts w:ascii="Arial" w:hAnsi="Arial" w:cs="Arial"/>
          <w:sz w:val="24"/>
          <w:szCs w:val="24"/>
          <w:lang w:val="en-US"/>
        </w:rPr>
        <w:t xml:space="preserve">Where the parent/carer is alleged to have created indecent images of children the backlog of work in the Lancashire Digital Investigation Unit is creating significant delay in charging decisions being taken. If a case is in proceedings one way around this is to negotiate the release of the device(s) to an independent forensic examiner on a jointly instructed and funded basis. </w:t>
      </w:r>
    </w:p>
    <w:p w14:paraId="38CA4DB2" w14:textId="77777777" w:rsidR="001759EE" w:rsidRPr="00DF4B34" w:rsidRDefault="001759EE" w:rsidP="00DF4B34">
      <w:pPr>
        <w:spacing w:line="360" w:lineRule="auto"/>
        <w:jc w:val="both"/>
        <w:rPr>
          <w:rFonts w:ascii="Arial" w:hAnsi="Arial" w:cs="Arial"/>
          <w:sz w:val="24"/>
          <w:szCs w:val="24"/>
        </w:rPr>
      </w:pPr>
    </w:p>
    <w:p w14:paraId="4389CB0D" w14:textId="123A9F3E" w:rsidR="00A8308E" w:rsidRPr="00DF4B34" w:rsidRDefault="00A8308E" w:rsidP="00DF4B34">
      <w:pPr>
        <w:pStyle w:val="ListParagraph"/>
        <w:numPr>
          <w:ilvl w:val="0"/>
          <w:numId w:val="6"/>
        </w:numPr>
        <w:spacing w:line="360" w:lineRule="auto"/>
        <w:jc w:val="both"/>
        <w:rPr>
          <w:rFonts w:ascii="Arial" w:hAnsi="Arial" w:cs="Arial"/>
          <w:b/>
          <w:bCs/>
          <w:sz w:val="24"/>
          <w:szCs w:val="24"/>
          <w:u w:val="single"/>
        </w:rPr>
      </w:pPr>
      <w:r w:rsidRPr="00DF4B34">
        <w:rPr>
          <w:rFonts w:ascii="Arial" w:hAnsi="Arial" w:cs="Arial"/>
          <w:b/>
          <w:bCs/>
          <w:sz w:val="24"/>
          <w:szCs w:val="24"/>
          <w:u w:val="single"/>
        </w:rPr>
        <w:t>Use of legal advice</w:t>
      </w:r>
    </w:p>
    <w:p w14:paraId="12F71190" w14:textId="43DFD13B" w:rsidR="00557712" w:rsidRPr="00DF4B34" w:rsidRDefault="00D36639" w:rsidP="00DF4B34">
      <w:pPr>
        <w:spacing w:line="360" w:lineRule="auto"/>
        <w:jc w:val="both"/>
        <w:rPr>
          <w:rFonts w:ascii="Arial" w:hAnsi="Arial" w:cs="Arial"/>
          <w:sz w:val="24"/>
          <w:szCs w:val="24"/>
        </w:rPr>
      </w:pPr>
      <w:r w:rsidRPr="00DF4B34">
        <w:rPr>
          <w:rFonts w:ascii="Arial" w:hAnsi="Arial" w:cs="Arial"/>
          <w:sz w:val="24"/>
          <w:szCs w:val="24"/>
        </w:rPr>
        <w:t xml:space="preserve">Prior to the consideration of any need to seek legal advice, a comprehensive child and family assessment should be completed (save for in cases of imminent risk) and the need for legal advice should be considered on </w:t>
      </w:r>
      <w:r w:rsidR="00A45A56" w:rsidRPr="00DF4B34">
        <w:rPr>
          <w:rFonts w:ascii="Arial" w:hAnsi="Arial" w:cs="Arial"/>
          <w:sz w:val="24"/>
          <w:szCs w:val="24"/>
        </w:rPr>
        <w:t xml:space="preserve">the </w:t>
      </w:r>
      <w:r w:rsidRPr="00DF4B34">
        <w:rPr>
          <w:rFonts w:ascii="Arial" w:hAnsi="Arial" w:cs="Arial"/>
          <w:sz w:val="24"/>
          <w:szCs w:val="24"/>
        </w:rPr>
        <w:t xml:space="preserve">merit </w:t>
      </w:r>
      <w:r w:rsidR="00A45A56" w:rsidRPr="00DF4B34">
        <w:rPr>
          <w:rFonts w:ascii="Arial" w:hAnsi="Arial" w:cs="Arial"/>
          <w:sz w:val="24"/>
          <w:szCs w:val="24"/>
        </w:rPr>
        <w:t>of individual</w:t>
      </w:r>
      <w:r w:rsidRPr="00DF4B34">
        <w:rPr>
          <w:rFonts w:ascii="Arial" w:hAnsi="Arial" w:cs="Arial"/>
          <w:sz w:val="24"/>
          <w:szCs w:val="24"/>
        </w:rPr>
        <w:t xml:space="preserve"> family circumstances</w:t>
      </w:r>
      <w:r w:rsidR="00A45A56" w:rsidRPr="00DF4B34">
        <w:rPr>
          <w:rFonts w:ascii="Arial" w:hAnsi="Arial" w:cs="Arial"/>
          <w:sz w:val="24"/>
          <w:szCs w:val="24"/>
        </w:rPr>
        <w:t xml:space="preserve"> and assessment</w:t>
      </w:r>
      <w:r w:rsidRPr="00DF4B34">
        <w:rPr>
          <w:rFonts w:ascii="Arial" w:hAnsi="Arial" w:cs="Arial"/>
          <w:sz w:val="24"/>
          <w:szCs w:val="24"/>
        </w:rPr>
        <w:t xml:space="preserve">. </w:t>
      </w:r>
    </w:p>
    <w:p w14:paraId="2D08C17A" w14:textId="4E8F100D" w:rsidR="00A45A56" w:rsidRPr="00DF4B34" w:rsidRDefault="00D36639" w:rsidP="00DF4B34">
      <w:pPr>
        <w:spacing w:line="360" w:lineRule="auto"/>
        <w:jc w:val="both"/>
        <w:rPr>
          <w:rFonts w:ascii="Arial" w:hAnsi="Arial" w:cs="Arial"/>
          <w:sz w:val="24"/>
          <w:szCs w:val="24"/>
        </w:rPr>
      </w:pPr>
      <w:r w:rsidRPr="00DF4B34">
        <w:rPr>
          <w:rFonts w:ascii="Arial" w:hAnsi="Arial" w:cs="Arial"/>
          <w:sz w:val="24"/>
          <w:szCs w:val="24"/>
        </w:rPr>
        <w:t xml:space="preserve">The child and family assessment, needs to consider the age and vulnerability of the child/ren, the self-protection ability of each child, strengths and protective factors for the child and family, and the parental ability of the non-alleged offending parent/carer to safeguard the child. The child and family assessment should be undertaken collaboratively with the child/ren and family, include direct work with the child/ren and parents and should include an analysis of how the family plan to mitigate any risks to the child/ren. </w:t>
      </w:r>
    </w:p>
    <w:p w14:paraId="7C6AA7A0" w14:textId="77777777" w:rsidR="00225D12" w:rsidRPr="00DF4B34" w:rsidRDefault="00225D12" w:rsidP="00DF4B34">
      <w:pPr>
        <w:spacing w:line="360" w:lineRule="auto"/>
        <w:jc w:val="both"/>
        <w:rPr>
          <w:rFonts w:ascii="Arial" w:hAnsi="Arial" w:cs="Arial"/>
          <w:sz w:val="24"/>
          <w:szCs w:val="24"/>
        </w:rPr>
      </w:pPr>
      <w:r w:rsidRPr="00DF4B34">
        <w:rPr>
          <w:rFonts w:ascii="Arial" w:hAnsi="Arial" w:cs="Arial"/>
          <w:sz w:val="24"/>
          <w:szCs w:val="24"/>
        </w:rPr>
        <w:t xml:space="preserve">The purpose of the child and family assessment is not to determine whether the concerns are substantiated, but rather to determine whether if the concerns were to be substantiated via a conviction or Findings in the Family Courts, whether the child/ren would be at a continuing risk of sexual harm due to a lack of ability to reduce/mitigate the risks to the child sufficiently whereby the child is vulnerable and self-protection skills are limited, there are concerns in relation to parental ability to safeguard the child/ren, and/or whereby there are limited wider protective factors. In these circumstances, the child and family assessment </w:t>
      </w:r>
      <w:proofErr w:type="gramStart"/>
      <w:r w:rsidRPr="00DF4B34">
        <w:rPr>
          <w:rFonts w:ascii="Arial" w:hAnsi="Arial" w:cs="Arial"/>
          <w:sz w:val="24"/>
          <w:szCs w:val="24"/>
        </w:rPr>
        <w:t>needs</w:t>
      </w:r>
      <w:proofErr w:type="gramEnd"/>
      <w:r w:rsidRPr="00DF4B34">
        <w:rPr>
          <w:rFonts w:ascii="Arial" w:hAnsi="Arial" w:cs="Arial"/>
          <w:sz w:val="24"/>
          <w:szCs w:val="24"/>
        </w:rPr>
        <w:t xml:space="preserve"> to consider whether, with support and intervention, these risks could be sufficiently reduced/managed to safeguard the child/ren. </w:t>
      </w:r>
    </w:p>
    <w:p w14:paraId="65B0FABA" w14:textId="77777777" w:rsidR="00A45A56" w:rsidRPr="00DF4B34" w:rsidRDefault="00A45A56" w:rsidP="00DF4B34">
      <w:pPr>
        <w:spacing w:line="360" w:lineRule="auto"/>
        <w:jc w:val="both"/>
        <w:rPr>
          <w:rFonts w:ascii="Arial" w:hAnsi="Arial" w:cs="Arial"/>
          <w:sz w:val="24"/>
          <w:szCs w:val="24"/>
        </w:rPr>
      </w:pPr>
    </w:p>
    <w:p w14:paraId="6DFBBAB4" w14:textId="43F33E7C" w:rsidR="00D36639" w:rsidRPr="00DF4B34" w:rsidRDefault="00A45A56" w:rsidP="00DF4B34">
      <w:pPr>
        <w:spacing w:line="360" w:lineRule="auto"/>
        <w:jc w:val="both"/>
        <w:rPr>
          <w:rFonts w:ascii="Arial" w:hAnsi="Arial" w:cs="Arial"/>
          <w:sz w:val="24"/>
          <w:szCs w:val="24"/>
        </w:rPr>
      </w:pPr>
      <w:r w:rsidRPr="00DF4B34">
        <w:rPr>
          <w:rFonts w:ascii="Arial" w:hAnsi="Arial" w:cs="Arial"/>
          <w:sz w:val="24"/>
          <w:szCs w:val="24"/>
        </w:rPr>
        <w:t xml:space="preserve">The child and family assessment should also consider the current police action and investigation, any restrictions on the alleged offender pending an investigation, and the timescale in which the investigation is likely to take. </w:t>
      </w:r>
    </w:p>
    <w:p w14:paraId="4196A922" w14:textId="045B3CA1" w:rsidR="0030154B" w:rsidRPr="00DF4B34" w:rsidRDefault="00D36639" w:rsidP="00DF4B34">
      <w:pPr>
        <w:spacing w:line="360" w:lineRule="auto"/>
        <w:jc w:val="both"/>
        <w:rPr>
          <w:rFonts w:ascii="Arial" w:hAnsi="Arial" w:cs="Arial"/>
          <w:sz w:val="24"/>
          <w:szCs w:val="24"/>
        </w:rPr>
      </w:pPr>
      <w:r w:rsidRPr="00DF4B34">
        <w:rPr>
          <w:rFonts w:ascii="Arial" w:hAnsi="Arial" w:cs="Arial"/>
          <w:sz w:val="24"/>
          <w:szCs w:val="24"/>
        </w:rPr>
        <w:t xml:space="preserve">In the event that following the child and family assessment, there is felt to be a need to consider legal advice, </w:t>
      </w:r>
      <w:r w:rsidR="0030154B" w:rsidRPr="00DF4B34">
        <w:rPr>
          <w:rFonts w:ascii="Arial" w:hAnsi="Arial" w:cs="Arial"/>
          <w:sz w:val="24"/>
          <w:szCs w:val="24"/>
        </w:rPr>
        <w:t>Care Planning</w:t>
      </w:r>
      <w:r w:rsidRPr="00DF4B34">
        <w:rPr>
          <w:rFonts w:ascii="Arial" w:hAnsi="Arial" w:cs="Arial"/>
          <w:sz w:val="24"/>
          <w:szCs w:val="24"/>
        </w:rPr>
        <w:t xml:space="preserve"> with the Senior Manager should take </w:t>
      </w:r>
      <w:proofErr w:type="gramStart"/>
      <w:r w:rsidRPr="00DF4B34">
        <w:rPr>
          <w:rFonts w:ascii="Arial" w:hAnsi="Arial" w:cs="Arial"/>
          <w:sz w:val="24"/>
          <w:szCs w:val="24"/>
        </w:rPr>
        <w:t>place</w:t>
      </w:r>
      <w:proofErr w:type="gramEnd"/>
      <w:r w:rsidR="00B239FE" w:rsidRPr="00DF4B34">
        <w:rPr>
          <w:rFonts w:ascii="Arial" w:hAnsi="Arial" w:cs="Arial"/>
          <w:sz w:val="24"/>
          <w:szCs w:val="24"/>
        </w:rPr>
        <w:t xml:space="preserve"> and</w:t>
      </w:r>
      <w:r w:rsidRPr="00DF4B34">
        <w:rPr>
          <w:rFonts w:ascii="Arial" w:hAnsi="Arial" w:cs="Arial"/>
          <w:sz w:val="24"/>
          <w:szCs w:val="24"/>
        </w:rPr>
        <w:t xml:space="preserve"> this should take into account</w:t>
      </w:r>
      <w:r w:rsidR="00AB54EE" w:rsidRPr="00DF4B34">
        <w:rPr>
          <w:rFonts w:ascii="Arial" w:hAnsi="Arial" w:cs="Arial"/>
          <w:sz w:val="24"/>
          <w:szCs w:val="24"/>
        </w:rPr>
        <w:t xml:space="preserve"> th</w:t>
      </w:r>
      <w:r w:rsidR="0030154B" w:rsidRPr="00DF4B34">
        <w:rPr>
          <w:rFonts w:ascii="Arial" w:hAnsi="Arial" w:cs="Arial"/>
          <w:sz w:val="24"/>
          <w:szCs w:val="24"/>
        </w:rPr>
        <w:t>e</w:t>
      </w:r>
      <w:r w:rsidR="00AB54EE" w:rsidRPr="00DF4B34">
        <w:rPr>
          <w:rFonts w:ascii="Arial" w:hAnsi="Arial" w:cs="Arial"/>
          <w:sz w:val="24"/>
          <w:szCs w:val="24"/>
        </w:rPr>
        <w:t xml:space="preserve"> child</w:t>
      </w:r>
      <w:r w:rsidR="00407AD1" w:rsidRPr="00DF4B34">
        <w:rPr>
          <w:rFonts w:ascii="Arial" w:hAnsi="Arial" w:cs="Arial"/>
          <w:sz w:val="24"/>
          <w:szCs w:val="24"/>
        </w:rPr>
        <w:t>,</w:t>
      </w:r>
      <w:r w:rsidR="00AB54EE" w:rsidRPr="00DF4B34">
        <w:rPr>
          <w:rFonts w:ascii="Arial" w:hAnsi="Arial" w:cs="Arial"/>
          <w:sz w:val="24"/>
          <w:szCs w:val="24"/>
        </w:rPr>
        <w:t xml:space="preserve"> or children's</w:t>
      </w:r>
      <w:r w:rsidR="00407AD1" w:rsidRPr="00DF4B34">
        <w:rPr>
          <w:rFonts w:ascii="Arial" w:hAnsi="Arial" w:cs="Arial"/>
          <w:sz w:val="24"/>
          <w:szCs w:val="24"/>
        </w:rPr>
        <w:t>,</w:t>
      </w:r>
      <w:r w:rsidR="00AB54EE" w:rsidRPr="00DF4B34">
        <w:rPr>
          <w:rFonts w:ascii="Arial" w:hAnsi="Arial" w:cs="Arial"/>
          <w:sz w:val="24"/>
          <w:szCs w:val="24"/>
        </w:rPr>
        <w:t xml:space="preserve"> ind</w:t>
      </w:r>
      <w:r w:rsidR="00407AD1" w:rsidRPr="00DF4B34">
        <w:rPr>
          <w:rFonts w:ascii="Arial" w:hAnsi="Arial" w:cs="Arial"/>
          <w:sz w:val="24"/>
          <w:szCs w:val="24"/>
        </w:rPr>
        <w:t>ividual</w:t>
      </w:r>
      <w:r w:rsidR="00AB54EE" w:rsidRPr="00DF4B34">
        <w:rPr>
          <w:rFonts w:ascii="Arial" w:hAnsi="Arial" w:cs="Arial"/>
          <w:sz w:val="24"/>
          <w:szCs w:val="24"/>
        </w:rPr>
        <w:t xml:space="preserve"> needs. </w:t>
      </w:r>
      <w:r w:rsidR="0030154B" w:rsidRPr="00DF4B34">
        <w:rPr>
          <w:rFonts w:ascii="Arial" w:hAnsi="Arial" w:cs="Arial"/>
          <w:sz w:val="24"/>
          <w:szCs w:val="24"/>
        </w:rPr>
        <w:t xml:space="preserve">This may be due to the age of the child and protective factors. </w:t>
      </w:r>
      <w:r w:rsidR="00A45A56" w:rsidRPr="00DF4B34">
        <w:rPr>
          <w:rFonts w:ascii="Arial" w:hAnsi="Arial" w:cs="Arial"/>
          <w:sz w:val="24"/>
          <w:szCs w:val="24"/>
        </w:rPr>
        <w:t xml:space="preserve">The Care Planning Meeting will </w:t>
      </w:r>
      <w:proofErr w:type="gramStart"/>
      <w:r w:rsidR="00A45A56" w:rsidRPr="00DF4B34">
        <w:rPr>
          <w:rFonts w:ascii="Arial" w:hAnsi="Arial" w:cs="Arial"/>
          <w:sz w:val="24"/>
          <w:szCs w:val="24"/>
        </w:rPr>
        <w:lastRenderedPageBreak/>
        <w:t>take into account</w:t>
      </w:r>
      <w:proofErr w:type="gramEnd"/>
      <w:r w:rsidR="00A45A56" w:rsidRPr="00DF4B34">
        <w:rPr>
          <w:rFonts w:ascii="Arial" w:hAnsi="Arial" w:cs="Arial"/>
          <w:sz w:val="24"/>
          <w:szCs w:val="24"/>
        </w:rPr>
        <w:t xml:space="preserve"> of the merit of seeking legal advice, and what legal action we are seeking to achieve. The Care Planning Meeting notes and recommendation of the Senior Manager will be recorded on the child's case file. </w:t>
      </w:r>
    </w:p>
    <w:p w14:paraId="0CE9D75E" w14:textId="5558FC56" w:rsidR="00921CC4" w:rsidRPr="00DF4B34" w:rsidRDefault="00921CC4" w:rsidP="00DF4B34">
      <w:pPr>
        <w:spacing w:line="360" w:lineRule="auto"/>
        <w:jc w:val="both"/>
        <w:rPr>
          <w:rFonts w:ascii="Arial" w:hAnsi="Arial" w:cs="Arial"/>
          <w:sz w:val="24"/>
          <w:szCs w:val="24"/>
        </w:rPr>
      </w:pPr>
      <w:r w:rsidRPr="00DF4B34">
        <w:rPr>
          <w:rFonts w:ascii="Arial" w:hAnsi="Arial" w:cs="Arial"/>
          <w:sz w:val="24"/>
          <w:szCs w:val="24"/>
        </w:rPr>
        <w:t xml:space="preserve">Once Care Planning has taken place and </w:t>
      </w:r>
      <w:r w:rsidR="00A45A56" w:rsidRPr="00DF4B34">
        <w:rPr>
          <w:rFonts w:ascii="Arial" w:hAnsi="Arial" w:cs="Arial"/>
          <w:sz w:val="24"/>
          <w:szCs w:val="24"/>
        </w:rPr>
        <w:t xml:space="preserve">a recommendation </w:t>
      </w:r>
      <w:r w:rsidRPr="00DF4B34">
        <w:rPr>
          <w:rFonts w:ascii="Arial" w:hAnsi="Arial" w:cs="Arial"/>
          <w:sz w:val="24"/>
          <w:szCs w:val="24"/>
        </w:rPr>
        <w:t xml:space="preserve">reached to either seek legal advice or not, a </w:t>
      </w:r>
      <w:proofErr w:type="gramStart"/>
      <w:r w:rsidR="00D36639" w:rsidRPr="00DF4B34">
        <w:rPr>
          <w:rFonts w:ascii="Arial" w:hAnsi="Arial" w:cs="Arial"/>
          <w:sz w:val="24"/>
          <w:szCs w:val="24"/>
        </w:rPr>
        <w:t>decision making</w:t>
      </w:r>
      <w:proofErr w:type="gramEnd"/>
      <w:r w:rsidR="00D36639" w:rsidRPr="00DF4B34">
        <w:rPr>
          <w:rFonts w:ascii="Arial" w:hAnsi="Arial" w:cs="Arial"/>
          <w:sz w:val="24"/>
          <w:szCs w:val="24"/>
        </w:rPr>
        <w:t xml:space="preserve"> form</w:t>
      </w:r>
      <w:r w:rsidRPr="00DF4B34">
        <w:rPr>
          <w:rFonts w:ascii="Arial" w:hAnsi="Arial" w:cs="Arial"/>
          <w:sz w:val="24"/>
          <w:szCs w:val="24"/>
        </w:rPr>
        <w:t xml:space="preserve"> should be sent to the Head of Service </w:t>
      </w:r>
      <w:r w:rsidR="00DF4B34">
        <w:rPr>
          <w:rFonts w:ascii="Arial" w:hAnsi="Arial" w:cs="Arial"/>
          <w:sz w:val="24"/>
          <w:szCs w:val="24"/>
        </w:rPr>
        <w:t>if they would like legal advice to be sought</w:t>
      </w:r>
      <w:r w:rsidRPr="00DF4B34">
        <w:rPr>
          <w:rFonts w:ascii="Arial" w:hAnsi="Arial" w:cs="Arial"/>
          <w:sz w:val="24"/>
          <w:szCs w:val="24"/>
        </w:rPr>
        <w:t>.</w:t>
      </w:r>
    </w:p>
    <w:p w14:paraId="24A9C626" w14:textId="18A3E955" w:rsidR="00921CC4" w:rsidRPr="00DF4B34" w:rsidRDefault="00921CC4" w:rsidP="00DF4B34">
      <w:pPr>
        <w:spacing w:line="360" w:lineRule="auto"/>
        <w:jc w:val="both"/>
        <w:rPr>
          <w:rFonts w:ascii="Arial" w:hAnsi="Arial" w:cs="Arial"/>
          <w:sz w:val="24"/>
          <w:szCs w:val="24"/>
        </w:rPr>
      </w:pPr>
      <w:r w:rsidRPr="00DF4B34">
        <w:rPr>
          <w:rFonts w:ascii="Arial" w:hAnsi="Arial" w:cs="Arial"/>
          <w:sz w:val="24"/>
          <w:szCs w:val="24"/>
        </w:rPr>
        <w:t xml:space="preserve">This can then be ratified by the Head of Service based on the </w:t>
      </w:r>
      <w:proofErr w:type="gramStart"/>
      <w:r w:rsidR="00A45A56" w:rsidRPr="00DF4B34">
        <w:rPr>
          <w:rFonts w:ascii="Arial" w:hAnsi="Arial" w:cs="Arial"/>
          <w:sz w:val="24"/>
          <w:szCs w:val="24"/>
        </w:rPr>
        <w:t>decision making</w:t>
      </w:r>
      <w:proofErr w:type="gramEnd"/>
      <w:r w:rsidR="00A45A56" w:rsidRPr="00DF4B34">
        <w:rPr>
          <w:rFonts w:ascii="Arial" w:hAnsi="Arial" w:cs="Arial"/>
          <w:sz w:val="24"/>
          <w:szCs w:val="24"/>
        </w:rPr>
        <w:t xml:space="preserve"> form</w:t>
      </w:r>
      <w:r w:rsidRPr="00DF4B34">
        <w:rPr>
          <w:rFonts w:ascii="Arial" w:hAnsi="Arial" w:cs="Arial"/>
          <w:sz w:val="24"/>
          <w:szCs w:val="24"/>
        </w:rPr>
        <w:t xml:space="preserve"> and Care Planning. </w:t>
      </w:r>
    </w:p>
    <w:p w14:paraId="184B89AE" w14:textId="64ECC7E1" w:rsidR="00921CC4" w:rsidRPr="00DF4B34" w:rsidRDefault="00921CC4" w:rsidP="00DF4B34">
      <w:pPr>
        <w:spacing w:line="360" w:lineRule="auto"/>
        <w:jc w:val="both"/>
        <w:rPr>
          <w:rFonts w:ascii="Arial" w:hAnsi="Arial" w:cs="Arial"/>
          <w:sz w:val="24"/>
          <w:szCs w:val="24"/>
        </w:rPr>
      </w:pPr>
      <w:r w:rsidRPr="00DF4B34">
        <w:rPr>
          <w:rFonts w:ascii="Arial" w:hAnsi="Arial" w:cs="Arial"/>
          <w:sz w:val="24"/>
          <w:szCs w:val="24"/>
        </w:rPr>
        <w:t xml:space="preserve">Of note is that </w:t>
      </w:r>
      <w:r w:rsidR="00F063B7" w:rsidRPr="00DF4B34">
        <w:rPr>
          <w:rFonts w:ascii="Arial" w:hAnsi="Arial" w:cs="Arial"/>
          <w:sz w:val="24"/>
          <w:szCs w:val="24"/>
        </w:rPr>
        <w:t xml:space="preserve">Assessments are fundamentally flawed by the </w:t>
      </w:r>
      <w:r w:rsidR="00C21521" w:rsidRPr="00DF4B34">
        <w:rPr>
          <w:rFonts w:ascii="Arial" w:hAnsi="Arial" w:cs="Arial"/>
          <w:sz w:val="24"/>
          <w:szCs w:val="24"/>
        </w:rPr>
        <w:t>absence</w:t>
      </w:r>
      <w:r w:rsidR="00F063B7" w:rsidRPr="00DF4B34">
        <w:rPr>
          <w:rFonts w:ascii="Arial" w:hAnsi="Arial" w:cs="Arial"/>
          <w:sz w:val="24"/>
          <w:szCs w:val="24"/>
        </w:rPr>
        <w:t xml:space="preserve"> of a factual basis</w:t>
      </w:r>
      <w:r w:rsidR="00C21521" w:rsidRPr="00DF4B34">
        <w:rPr>
          <w:rFonts w:ascii="Arial" w:hAnsi="Arial" w:cs="Arial"/>
          <w:sz w:val="24"/>
          <w:szCs w:val="24"/>
        </w:rPr>
        <w:t xml:space="preserve"> on which to </w:t>
      </w:r>
      <w:r w:rsidR="00A30DC0" w:rsidRPr="00DF4B34">
        <w:rPr>
          <w:rFonts w:ascii="Arial" w:hAnsi="Arial" w:cs="Arial"/>
          <w:sz w:val="24"/>
          <w:szCs w:val="24"/>
        </w:rPr>
        <w:t>analyse</w:t>
      </w:r>
      <w:r w:rsidR="00C21521" w:rsidRPr="00DF4B34">
        <w:rPr>
          <w:rFonts w:ascii="Arial" w:hAnsi="Arial" w:cs="Arial"/>
          <w:sz w:val="24"/>
          <w:szCs w:val="24"/>
        </w:rPr>
        <w:t xml:space="preserve"> risk</w:t>
      </w:r>
      <w:r w:rsidR="00394A23" w:rsidRPr="00DF4B34">
        <w:rPr>
          <w:rFonts w:ascii="Arial" w:hAnsi="Arial" w:cs="Arial"/>
          <w:sz w:val="24"/>
          <w:szCs w:val="24"/>
        </w:rPr>
        <w:t xml:space="preserve">; however a Finding of Fact hearing allows </w:t>
      </w:r>
      <w:r w:rsidR="00D21C5C" w:rsidRPr="00DF4B34">
        <w:rPr>
          <w:rFonts w:ascii="Arial" w:hAnsi="Arial" w:cs="Arial"/>
          <w:sz w:val="24"/>
          <w:szCs w:val="24"/>
        </w:rPr>
        <w:t xml:space="preserve">the </w:t>
      </w:r>
      <w:r w:rsidR="002F34A5" w:rsidRPr="00DF4B34">
        <w:rPr>
          <w:rFonts w:ascii="Arial" w:hAnsi="Arial" w:cs="Arial"/>
          <w:sz w:val="24"/>
          <w:szCs w:val="24"/>
        </w:rPr>
        <w:t>judge to make</w:t>
      </w:r>
      <w:r w:rsidR="006B6F14" w:rsidRPr="00DF4B34">
        <w:rPr>
          <w:rFonts w:ascii="Arial" w:hAnsi="Arial" w:cs="Arial"/>
          <w:sz w:val="24"/>
          <w:szCs w:val="24"/>
        </w:rPr>
        <w:t xml:space="preserve"> </w:t>
      </w:r>
      <w:r w:rsidR="002F34A5" w:rsidRPr="00DF4B34">
        <w:rPr>
          <w:rFonts w:ascii="Arial" w:hAnsi="Arial" w:cs="Arial"/>
          <w:sz w:val="24"/>
          <w:szCs w:val="24"/>
        </w:rPr>
        <w:t>a decision as to whether allegations made by a part</w:t>
      </w:r>
      <w:r w:rsidR="00204D64" w:rsidRPr="00DF4B34">
        <w:rPr>
          <w:rFonts w:ascii="Arial" w:hAnsi="Arial" w:cs="Arial"/>
          <w:sz w:val="24"/>
          <w:szCs w:val="24"/>
        </w:rPr>
        <w:t>y</w:t>
      </w:r>
      <w:r w:rsidR="002F34A5" w:rsidRPr="00DF4B34">
        <w:rPr>
          <w:rFonts w:ascii="Arial" w:hAnsi="Arial" w:cs="Arial"/>
          <w:sz w:val="24"/>
          <w:szCs w:val="24"/>
        </w:rPr>
        <w:t xml:space="preserve"> are true o</w:t>
      </w:r>
      <w:r w:rsidR="00204D64" w:rsidRPr="00DF4B34">
        <w:rPr>
          <w:rFonts w:ascii="Arial" w:hAnsi="Arial" w:cs="Arial"/>
          <w:sz w:val="24"/>
          <w:szCs w:val="24"/>
        </w:rPr>
        <w:t>r</w:t>
      </w:r>
      <w:r w:rsidR="002F34A5" w:rsidRPr="00DF4B34">
        <w:rPr>
          <w:rFonts w:ascii="Arial" w:hAnsi="Arial" w:cs="Arial"/>
          <w:sz w:val="24"/>
          <w:szCs w:val="24"/>
        </w:rPr>
        <w:t xml:space="preserve"> not true, th</w:t>
      </w:r>
      <w:r w:rsidR="007C729D" w:rsidRPr="00DF4B34">
        <w:rPr>
          <w:rFonts w:ascii="Arial" w:hAnsi="Arial" w:cs="Arial"/>
          <w:sz w:val="24"/>
          <w:szCs w:val="24"/>
        </w:rPr>
        <w:t>u</w:t>
      </w:r>
      <w:r w:rsidR="002F34A5" w:rsidRPr="00DF4B34">
        <w:rPr>
          <w:rFonts w:ascii="Arial" w:hAnsi="Arial" w:cs="Arial"/>
          <w:sz w:val="24"/>
          <w:szCs w:val="24"/>
        </w:rPr>
        <w:t xml:space="preserve">s </w:t>
      </w:r>
      <w:r w:rsidR="001F4E04" w:rsidRPr="00DF4B34">
        <w:rPr>
          <w:rFonts w:ascii="Arial" w:hAnsi="Arial" w:cs="Arial"/>
          <w:sz w:val="24"/>
          <w:szCs w:val="24"/>
        </w:rPr>
        <w:t>providing a</w:t>
      </w:r>
      <w:r w:rsidR="00A34D21" w:rsidRPr="00DF4B34">
        <w:rPr>
          <w:rFonts w:ascii="Arial" w:hAnsi="Arial" w:cs="Arial"/>
          <w:sz w:val="24"/>
          <w:szCs w:val="24"/>
        </w:rPr>
        <w:t xml:space="preserve">n indisputable </w:t>
      </w:r>
      <w:r w:rsidR="001F4E04" w:rsidRPr="00DF4B34">
        <w:rPr>
          <w:rFonts w:ascii="Arial" w:hAnsi="Arial" w:cs="Arial"/>
          <w:sz w:val="24"/>
          <w:szCs w:val="24"/>
        </w:rPr>
        <w:t>basis for future assessments and care plannin</w:t>
      </w:r>
      <w:r w:rsidR="00255347" w:rsidRPr="00DF4B34">
        <w:rPr>
          <w:rFonts w:ascii="Arial" w:hAnsi="Arial" w:cs="Arial"/>
          <w:sz w:val="24"/>
          <w:szCs w:val="24"/>
        </w:rPr>
        <w:t xml:space="preserve">g both in relation to this child, but also children with whom the alleged perpetrator may have contact with in the future. </w:t>
      </w:r>
      <w:r w:rsidRPr="00DF4B34">
        <w:rPr>
          <w:rFonts w:ascii="Arial" w:hAnsi="Arial" w:cs="Arial"/>
          <w:sz w:val="24"/>
          <w:szCs w:val="24"/>
        </w:rPr>
        <w:t xml:space="preserve">This will be in matters where there is no Police prosecution however lack of a Police Prosecution does not mean that the abuse has not </w:t>
      </w:r>
      <w:proofErr w:type="gramStart"/>
      <w:r w:rsidRPr="00DF4B34">
        <w:rPr>
          <w:rFonts w:ascii="Arial" w:hAnsi="Arial" w:cs="Arial"/>
          <w:sz w:val="24"/>
          <w:szCs w:val="24"/>
        </w:rPr>
        <w:t>occurred</w:t>
      </w:r>
      <w:proofErr w:type="gramEnd"/>
      <w:r w:rsidRPr="00DF4B34">
        <w:rPr>
          <w:rFonts w:ascii="Arial" w:hAnsi="Arial" w:cs="Arial"/>
          <w:sz w:val="24"/>
          <w:szCs w:val="24"/>
        </w:rPr>
        <w:t xml:space="preserve"> and it is on this basis that Legal Advice and presentation to the court for findings will be invaluable to protect the children. </w:t>
      </w:r>
    </w:p>
    <w:p w14:paraId="2EDC51EB" w14:textId="77777777" w:rsidR="008932F6" w:rsidRPr="00DF4B34" w:rsidRDefault="008932F6" w:rsidP="00DF4B34">
      <w:pPr>
        <w:spacing w:line="360" w:lineRule="auto"/>
        <w:jc w:val="both"/>
        <w:textAlignment w:val="baseline"/>
        <w:rPr>
          <w:rFonts w:ascii="Arial" w:hAnsi="Arial" w:cs="Arial"/>
          <w:sz w:val="24"/>
          <w:szCs w:val="24"/>
        </w:rPr>
      </w:pPr>
      <w:r w:rsidRPr="00DF4B34">
        <w:rPr>
          <w:rFonts w:ascii="Arial" w:hAnsi="Arial" w:cs="Arial"/>
          <w:sz w:val="24"/>
          <w:szCs w:val="24"/>
        </w:rPr>
        <w:t>In another family case (</w:t>
      </w:r>
      <w:hyperlink r:id="rId11" w:tgtFrame="_blank" w:history="1">
        <w:r w:rsidRPr="00DF4B34">
          <w:rPr>
            <w:rStyle w:val="Hyperlink"/>
            <w:rFonts w:ascii="Arial" w:hAnsi="Arial" w:cs="Arial"/>
            <w:i/>
            <w:iCs/>
            <w:color w:val="auto"/>
            <w:sz w:val="24"/>
            <w:szCs w:val="24"/>
            <w:bdr w:val="none" w:sz="0" w:space="0" w:color="auto" w:frame="1"/>
          </w:rPr>
          <w:t>In re H (Minors) [1996] AC 563 at 586</w:t>
        </w:r>
      </w:hyperlink>
      <w:r w:rsidRPr="00DF4B34">
        <w:rPr>
          <w:rFonts w:ascii="Arial" w:hAnsi="Arial" w:cs="Arial"/>
          <w:sz w:val="24"/>
          <w:szCs w:val="24"/>
        </w:rPr>
        <w:t>), Lord Nicholls explained that it was a flexible test:</w:t>
      </w:r>
    </w:p>
    <w:p w14:paraId="553F627C" w14:textId="77777777" w:rsidR="008932F6" w:rsidRPr="00DF4B34" w:rsidRDefault="008932F6" w:rsidP="00DF4B34">
      <w:pPr>
        <w:spacing w:line="360" w:lineRule="auto"/>
        <w:jc w:val="both"/>
        <w:textAlignment w:val="baseline"/>
        <w:rPr>
          <w:rFonts w:ascii="Arial" w:hAnsi="Arial" w:cs="Arial"/>
          <w:sz w:val="24"/>
          <w:szCs w:val="24"/>
        </w:rPr>
      </w:pPr>
      <w:r w:rsidRPr="00DF4B34">
        <w:rPr>
          <w:rFonts w:ascii="Arial" w:hAnsi="Arial" w:cs="Arial"/>
          <w:sz w:val="24"/>
          <w:szCs w:val="24"/>
        </w:rPr>
        <w:t xml:space="preserve">"The balance of probability standard means that a court is satisfied an event occurred if the court considers that, on the evidence, the occurrence of the event was more likely than not. When assessing the probabilities the court will have in mind as a factor, to whatever extent is appropriate in the </w:t>
      </w:r>
      <w:proofErr w:type="gramStart"/>
      <w:r w:rsidRPr="00DF4B34">
        <w:rPr>
          <w:rFonts w:ascii="Arial" w:hAnsi="Arial" w:cs="Arial"/>
          <w:sz w:val="24"/>
          <w:szCs w:val="24"/>
        </w:rPr>
        <w:t>particular case</w:t>
      </w:r>
      <w:proofErr w:type="gramEnd"/>
      <w:r w:rsidRPr="00DF4B34">
        <w:rPr>
          <w:rFonts w:ascii="Arial" w:hAnsi="Arial" w:cs="Arial"/>
          <w:sz w:val="24"/>
          <w:szCs w:val="24"/>
        </w:rPr>
        <w:t xml:space="preserve">, that the more serious the allegation the less likely it is that the event occurred and, hence, the stronger should be the evidence before the court concludes that the allegation is established on the balance of probability. Fraud is usually less likely than negligence. Deliberate physical injury is usually less likely than accidental physical injury. A stepfather is usually less likely to have repeatedly raped and had non-consensual oral sex with his </w:t>
      </w:r>
      <w:proofErr w:type="spellStart"/>
      <w:proofErr w:type="gramStart"/>
      <w:r w:rsidRPr="00DF4B34">
        <w:rPr>
          <w:rFonts w:ascii="Arial" w:hAnsi="Arial" w:cs="Arial"/>
          <w:sz w:val="24"/>
          <w:szCs w:val="24"/>
        </w:rPr>
        <w:t>under age</w:t>
      </w:r>
      <w:proofErr w:type="spellEnd"/>
      <w:proofErr w:type="gramEnd"/>
      <w:r w:rsidRPr="00DF4B34">
        <w:rPr>
          <w:rFonts w:ascii="Arial" w:hAnsi="Arial" w:cs="Arial"/>
          <w:sz w:val="24"/>
          <w:szCs w:val="24"/>
        </w:rPr>
        <w:t xml:space="preserve"> stepdaughter than on some occasion to have lost his temper and slapped her. Built into the preponderance of probability standard is a generous degree of flexibility in respect of the seriousness of the allegation. Although the result is much the same, this does not mean that where a serious allegation is in issue the standard of proof required </w:t>
      </w:r>
      <w:r w:rsidRPr="00DF4B34">
        <w:rPr>
          <w:rFonts w:ascii="Arial" w:hAnsi="Arial" w:cs="Arial"/>
          <w:sz w:val="24"/>
          <w:szCs w:val="24"/>
        </w:rPr>
        <w:lastRenderedPageBreak/>
        <w:t xml:space="preserve">is higher. It means only that the inherent probability or improbability of an event is itself a matter to be </w:t>
      </w:r>
      <w:proofErr w:type="gramStart"/>
      <w:r w:rsidRPr="00DF4B34">
        <w:rPr>
          <w:rFonts w:ascii="Arial" w:hAnsi="Arial" w:cs="Arial"/>
          <w:sz w:val="24"/>
          <w:szCs w:val="24"/>
        </w:rPr>
        <w:t>taken into account</w:t>
      </w:r>
      <w:proofErr w:type="gramEnd"/>
      <w:r w:rsidRPr="00DF4B34">
        <w:rPr>
          <w:rFonts w:ascii="Arial" w:hAnsi="Arial" w:cs="Arial"/>
          <w:sz w:val="24"/>
          <w:szCs w:val="24"/>
        </w:rPr>
        <w:t xml:space="preserve"> when weighing the probabilities and deciding whether, on balance, the event occurred. The more improbable the event, the stronger must be the evidence that it did occur before, on the balance of probability, its occurrence will be established."</w:t>
      </w:r>
    </w:p>
    <w:p w14:paraId="161C30E6" w14:textId="6E12BD95" w:rsidR="005F5723" w:rsidRPr="00DF4B34" w:rsidRDefault="00AF5301" w:rsidP="00DF4B34">
      <w:pPr>
        <w:spacing w:line="360" w:lineRule="auto"/>
        <w:jc w:val="both"/>
        <w:rPr>
          <w:rFonts w:ascii="Arial" w:hAnsi="Arial" w:cs="Arial"/>
          <w:sz w:val="24"/>
          <w:szCs w:val="24"/>
        </w:rPr>
      </w:pPr>
      <w:r w:rsidRPr="00DF4B34">
        <w:rPr>
          <w:rFonts w:ascii="Arial" w:hAnsi="Arial" w:cs="Arial"/>
          <w:sz w:val="24"/>
          <w:szCs w:val="24"/>
        </w:rPr>
        <w:t>Samantha Bowcock, QC</w:t>
      </w:r>
      <w:r w:rsidR="006248BE" w:rsidRPr="00DF4B34">
        <w:rPr>
          <w:rFonts w:ascii="Arial" w:hAnsi="Arial" w:cs="Arial"/>
          <w:sz w:val="24"/>
          <w:szCs w:val="24"/>
        </w:rPr>
        <w:t xml:space="preserve"> advises </w:t>
      </w:r>
      <w:r w:rsidR="00974E25" w:rsidRPr="00DF4B34">
        <w:rPr>
          <w:rFonts w:ascii="Arial" w:hAnsi="Arial" w:cs="Arial"/>
          <w:sz w:val="24"/>
          <w:szCs w:val="24"/>
        </w:rPr>
        <w:t>the following:</w:t>
      </w:r>
    </w:p>
    <w:p w14:paraId="10E9A63F" w14:textId="77777777" w:rsidR="00824022" w:rsidRPr="00DF4B34" w:rsidRDefault="00824022" w:rsidP="00DF4B34">
      <w:pPr>
        <w:spacing w:line="360" w:lineRule="auto"/>
        <w:jc w:val="both"/>
        <w:rPr>
          <w:rFonts w:ascii="Arial" w:hAnsi="Arial" w:cs="Arial"/>
          <w:sz w:val="24"/>
          <w:szCs w:val="24"/>
          <w:lang w:val="en-US"/>
        </w:rPr>
      </w:pPr>
      <w:r w:rsidRPr="00DF4B34">
        <w:rPr>
          <w:rFonts w:ascii="Times New Roman" w:hAnsi="Times New Roman" w:cs="Times New Roman"/>
          <w:sz w:val="24"/>
          <w:szCs w:val="24"/>
          <w:lang w:val="en-US"/>
        </w:rPr>
        <w:t>(i</w:t>
      </w:r>
      <w:r w:rsidRPr="00DF4B34">
        <w:rPr>
          <w:rFonts w:ascii="Arial" w:hAnsi="Arial" w:cs="Arial"/>
          <w:sz w:val="24"/>
          <w:szCs w:val="24"/>
          <w:lang w:val="en-US"/>
        </w:rPr>
        <w:t>) Each case will turn on its own facts and specific legal advice should be sought at the earliest opportunity:</w:t>
      </w:r>
    </w:p>
    <w:p w14:paraId="6E9B72CF" w14:textId="77777777" w:rsidR="00824022" w:rsidRPr="00DF4B34" w:rsidRDefault="00824022" w:rsidP="00DF4B34">
      <w:pPr>
        <w:spacing w:line="360" w:lineRule="auto"/>
        <w:jc w:val="both"/>
        <w:rPr>
          <w:rFonts w:ascii="Arial" w:hAnsi="Arial" w:cs="Arial"/>
          <w:sz w:val="24"/>
          <w:szCs w:val="24"/>
          <w:lang w:val="en-US"/>
        </w:rPr>
      </w:pPr>
      <w:r w:rsidRPr="00DF4B34">
        <w:rPr>
          <w:rFonts w:ascii="Arial" w:hAnsi="Arial" w:cs="Arial"/>
          <w:sz w:val="24"/>
          <w:szCs w:val="24"/>
          <w:lang w:val="en-US"/>
        </w:rPr>
        <w:t xml:space="preserve">(ii) Section 20 will rarely, if ever, be an appropriate vehicle to manage risk in terms of the children living elsewhere whilst the criminal process takes its course: </w:t>
      </w:r>
    </w:p>
    <w:p w14:paraId="5C906AAE" w14:textId="77777777" w:rsidR="00824022" w:rsidRPr="00DF4B34" w:rsidRDefault="00824022" w:rsidP="00DF4B34">
      <w:pPr>
        <w:spacing w:line="360" w:lineRule="auto"/>
        <w:jc w:val="both"/>
        <w:rPr>
          <w:rFonts w:ascii="Arial" w:hAnsi="Arial" w:cs="Arial"/>
          <w:sz w:val="24"/>
          <w:szCs w:val="24"/>
          <w:lang w:val="en-US"/>
        </w:rPr>
      </w:pPr>
      <w:r w:rsidRPr="00DF4B34">
        <w:rPr>
          <w:rFonts w:ascii="Arial" w:hAnsi="Arial" w:cs="Arial"/>
          <w:sz w:val="24"/>
          <w:szCs w:val="24"/>
          <w:lang w:val="en-US"/>
        </w:rPr>
        <w:t xml:space="preserve">(iii) A short period of non-court intervention may be appropriate but only where an innocent parent/carer has evinced a genuine intention to end the relationship and care for the children on their own. If there is any evidence that leads to a suspicion of knowledge of or collusion in the alleged abuse or that the separation may be a sham designed to mislead the local authority, my advice in this regard would not apply and proceedings should be issued: </w:t>
      </w:r>
    </w:p>
    <w:p w14:paraId="2B597C3D" w14:textId="77777777" w:rsidR="00824022" w:rsidRPr="00DF4B34" w:rsidRDefault="00824022" w:rsidP="00DF4B34">
      <w:pPr>
        <w:spacing w:line="360" w:lineRule="auto"/>
        <w:jc w:val="both"/>
        <w:rPr>
          <w:rFonts w:ascii="Arial" w:hAnsi="Arial" w:cs="Arial"/>
          <w:sz w:val="24"/>
          <w:szCs w:val="24"/>
          <w:lang w:val="en-US"/>
        </w:rPr>
      </w:pPr>
      <w:r w:rsidRPr="00DF4B34">
        <w:rPr>
          <w:rFonts w:ascii="Arial" w:hAnsi="Arial" w:cs="Arial"/>
          <w:sz w:val="24"/>
          <w:szCs w:val="24"/>
          <w:lang w:val="en-US"/>
        </w:rPr>
        <w:t xml:space="preserve">(iv) It is unwise in the extreme to think that the criminal process might be concluded in a matter of a few months, thereby obviating the need to issue </w:t>
      </w:r>
      <w:proofErr w:type="gramStart"/>
      <w:r w:rsidRPr="00DF4B34">
        <w:rPr>
          <w:rFonts w:ascii="Arial" w:hAnsi="Arial" w:cs="Arial"/>
          <w:sz w:val="24"/>
          <w:szCs w:val="24"/>
          <w:lang w:val="en-US"/>
        </w:rPr>
        <w:t>proceedings</w:t>
      </w:r>
      <w:proofErr w:type="gramEnd"/>
      <w:r w:rsidRPr="00DF4B34">
        <w:rPr>
          <w:rFonts w:ascii="Arial" w:hAnsi="Arial" w:cs="Arial"/>
          <w:sz w:val="24"/>
          <w:szCs w:val="24"/>
          <w:lang w:val="en-US"/>
        </w:rPr>
        <w:t xml:space="preserve"> and allowing for risk to be managed by a non-court process. There may be rare cases in which a reliable set timetable to criminal trial and all other circumstances are equal, allow for this to be actively considered but I stress the word “rare” given my earlier comments: </w:t>
      </w:r>
    </w:p>
    <w:p w14:paraId="230000A3" w14:textId="28B3F3CF" w:rsidR="00824022" w:rsidRPr="00DF4B34" w:rsidRDefault="00824022" w:rsidP="00DF4B34">
      <w:pPr>
        <w:spacing w:line="360" w:lineRule="auto"/>
        <w:jc w:val="both"/>
        <w:rPr>
          <w:rFonts w:ascii="Arial" w:hAnsi="Arial" w:cs="Arial"/>
          <w:sz w:val="24"/>
          <w:szCs w:val="24"/>
          <w:lang w:val="en-US"/>
        </w:rPr>
      </w:pPr>
      <w:r w:rsidRPr="00DF4B34">
        <w:rPr>
          <w:rFonts w:ascii="Arial" w:hAnsi="Arial" w:cs="Arial"/>
          <w:sz w:val="24"/>
          <w:szCs w:val="24"/>
          <w:lang w:val="en-US"/>
        </w:rPr>
        <w:t>(v) An eye must be kept on the need for the local authority to step in to act as prosecutor via care proceedings. The number of sexual offence cases that result in a criminal trial and conviction remain depressingly low nationally as well as locally. Many Family Court Judges speak openly of their lack of confidence in the criminal justice system where sexual offences are concerned, particularly those that involve child complainants:</w:t>
      </w:r>
    </w:p>
    <w:p w14:paraId="522523D6" w14:textId="102E4C8F" w:rsidR="00824022" w:rsidRPr="00DF4B34" w:rsidRDefault="00824022" w:rsidP="00DF4B34">
      <w:pPr>
        <w:spacing w:line="360" w:lineRule="auto"/>
        <w:jc w:val="both"/>
        <w:rPr>
          <w:rFonts w:ascii="Arial" w:hAnsi="Arial" w:cs="Arial"/>
          <w:sz w:val="24"/>
          <w:szCs w:val="24"/>
          <w:lang w:val="en-US"/>
        </w:rPr>
      </w:pPr>
      <w:r w:rsidRPr="00DF4B34">
        <w:rPr>
          <w:rFonts w:ascii="Arial" w:hAnsi="Arial" w:cs="Arial"/>
          <w:sz w:val="24"/>
          <w:szCs w:val="24"/>
          <w:lang w:val="en-US"/>
        </w:rPr>
        <w:t xml:space="preserve">(vi) Where there is any doubt, I would advise that issuing care proceedings should be regarded as the default position. </w:t>
      </w:r>
    </w:p>
    <w:p w14:paraId="5B3BCFB5" w14:textId="77777777" w:rsidR="004934E1" w:rsidRPr="00DF4B34" w:rsidRDefault="004934E1" w:rsidP="00DF4B34">
      <w:pPr>
        <w:spacing w:line="360" w:lineRule="auto"/>
        <w:jc w:val="both"/>
        <w:rPr>
          <w:rFonts w:ascii="Arial" w:hAnsi="Arial" w:cs="Arial"/>
          <w:sz w:val="24"/>
          <w:szCs w:val="24"/>
          <w:lang w:val="en-US"/>
        </w:rPr>
      </w:pPr>
    </w:p>
    <w:p w14:paraId="3C4D955D" w14:textId="2E6E0225" w:rsidR="00A92C4F" w:rsidRPr="00DF4B34" w:rsidRDefault="00A92C4F" w:rsidP="00DF4B34">
      <w:pPr>
        <w:spacing w:line="360" w:lineRule="auto"/>
        <w:jc w:val="both"/>
        <w:rPr>
          <w:rFonts w:ascii="Arial" w:hAnsi="Arial" w:cs="Arial"/>
          <w:sz w:val="24"/>
          <w:szCs w:val="24"/>
        </w:rPr>
      </w:pPr>
    </w:p>
    <w:p w14:paraId="01A0DE69" w14:textId="2AAFFA20" w:rsidR="00A8308E" w:rsidRPr="00DF4B34" w:rsidRDefault="00A8308E" w:rsidP="00DF4B34">
      <w:pPr>
        <w:pStyle w:val="ListParagraph"/>
        <w:numPr>
          <w:ilvl w:val="0"/>
          <w:numId w:val="6"/>
        </w:numPr>
        <w:spacing w:line="360" w:lineRule="auto"/>
        <w:jc w:val="both"/>
        <w:rPr>
          <w:rFonts w:ascii="Arial" w:hAnsi="Arial" w:cs="Arial"/>
          <w:b/>
          <w:bCs/>
          <w:sz w:val="24"/>
          <w:szCs w:val="24"/>
          <w:u w:val="single"/>
        </w:rPr>
      </w:pPr>
      <w:r w:rsidRPr="00DF4B34">
        <w:rPr>
          <w:rFonts w:ascii="Arial" w:hAnsi="Arial" w:cs="Arial"/>
          <w:b/>
          <w:bCs/>
          <w:sz w:val="24"/>
          <w:szCs w:val="24"/>
          <w:u w:val="single"/>
        </w:rPr>
        <w:t>Use of specialis</w:t>
      </w:r>
      <w:r w:rsidR="002066D0" w:rsidRPr="00DF4B34">
        <w:rPr>
          <w:rFonts w:ascii="Arial" w:hAnsi="Arial" w:cs="Arial"/>
          <w:b/>
          <w:bCs/>
          <w:sz w:val="24"/>
          <w:szCs w:val="24"/>
          <w:u w:val="single"/>
        </w:rPr>
        <w:t>t</w:t>
      </w:r>
      <w:r w:rsidRPr="00DF4B34">
        <w:rPr>
          <w:rFonts w:ascii="Arial" w:hAnsi="Arial" w:cs="Arial"/>
          <w:b/>
          <w:bCs/>
          <w:sz w:val="24"/>
          <w:szCs w:val="24"/>
          <w:u w:val="single"/>
        </w:rPr>
        <w:t xml:space="preserve"> assessments.</w:t>
      </w:r>
    </w:p>
    <w:p w14:paraId="407A62E9" w14:textId="3C1B6482" w:rsidR="00A8308E" w:rsidRPr="00DF4B34" w:rsidRDefault="00A8308E" w:rsidP="00DF4B34">
      <w:pPr>
        <w:pStyle w:val="ListParagraph"/>
        <w:spacing w:line="360" w:lineRule="auto"/>
        <w:jc w:val="both"/>
        <w:rPr>
          <w:rFonts w:ascii="Arial" w:hAnsi="Arial" w:cs="Arial"/>
          <w:sz w:val="24"/>
          <w:szCs w:val="24"/>
        </w:rPr>
      </w:pPr>
    </w:p>
    <w:p w14:paraId="01EBA2A0" w14:textId="2758F45C" w:rsidR="002066D0" w:rsidRPr="00DF4B34" w:rsidRDefault="002066D0" w:rsidP="00DF4B34">
      <w:pPr>
        <w:spacing w:line="360" w:lineRule="auto"/>
        <w:jc w:val="both"/>
        <w:rPr>
          <w:rFonts w:ascii="Arial" w:hAnsi="Arial" w:cs="Arial"/>
          <w:sz w:val="24"/>
          <w:szCs w:val="24"/>
        </w:rPr>
      </w:pPr>
      <w:r w:rsidRPr="00DF4B34">
        <w:rPr>
          <w:rFonts w:ascii="Arial" w:hAnsi="Arial" w:cs="Arial"/>
          <w:sz w:val="24"/>
          <w:szCs w:val="24"/>
        </w:rPr>
        <w:t xml:space="preserve">Specialist risk assessments are </w:t>
      </w:r>
      <w:r w:rsidR="004A6DAC" w:rsidRPr="00DF4B34">
        <w:rPr>
          <w:rFonts w:ascii="Arial" w:hAnsi="Arial" w:cs="Arial"/>
          <w:sz w:val="24"/>
          <w:szCs w:val="24"/>
        </w:rPr>
        <w:t>compromised</w:t>
      </w:r>
      <w:r w:rsidR="00C80C28" w:rsidRPr="00DF4B34">
        <w:rPr>
          <w:rFonts w:ascii="Arial" w:hAnsi="Arial" w:cs="Arial"/>
          <w:sz w:val="24"/>
          <w:szCs w:val="24"/>
        </w:rPr>
        <w:t xml:space="preserve"> where there is no factual basis to work upon</w:t>
      </w:r>
      <w:r w:rsidR="00C14C3A" w:rsidRPr="00DF4B34">
        <w:rPr>
          <w:rFonts w:ascii="Arial" w:hAnsi="Arial" w:cs="Arial"/>
          <w:sz w:val="24"/>
          <w:szCs w:val="24"/>
        </w:rPr>
        <w:t xml:space="preserve">, and whilst we may seek to commission such assessments, several agencies are declining to complete such work without Findings having been made or criminal </w:t>
      </w:r>
      <w:r w:rsidR="004A6DAC" w:rsidRPr="00DF4B34">
        <w:rPr>
          <w:rFonts w:ascii="Arial" w:hAnsi="Arial" w:cs="Arial"/>
          <w:sz w:val="24"/>
          <w:szCs w:val="24"/>
        </w:rPr>
        <w:t>convictions</w:t>
      </w:r>
      <w:r w:rsidR="00C14C3A" w:rsidRPr="00DF4B34">
        <w:rPr>
          <w:rFonts w:ascii="Arial" w:hAnsi="Arial" w:cs="Arial"/>
          <w:sz w:val="24"/>
          <w:szCs w:val="24"/>
        </w:rPr>
        <w:t xml:space="preserve"> secured.</w:t>
      </w:r>
      <w:r w:rsidR="00236C14" w:rsidRPr="00DF4B34">
        <w:rPr>
          <w:rFonts w:ascii="Arial" w:hAnsi="Arial" w:cs="Arial"/>
          <w:sz w:val="24"/>
          <w:szCs w:val="24"/>
        </w:rPr>
        <w:t xml:space="preserve"> There is also a risk of future </w:t>
      </w:r>
      <w:r w:rsidR="00440C73" w:rsidRPr="00DF4B34">
        <w:rPr>
          <w:rFonts w:ascii="Arial" w:hAnsi="Arial" w:cs="Arial"/>
          <w:sz w:val="24"/>
          <w:szCs w:val="24"/>
        </w:rPr>
        <w:t>parental complaints or judicial criticism where a parent has engaged in a specialist risk assessment without the benefit of legal advice. The use of these assessments outside of the court arena</w:t>
      </w:r>
      <w:r w:rsidR="00BC4724" w:rsidRPr="00DF4B34">
        <w:rPr>
          <w:rFonts w:ascii="Arial" w:hAnsi="Arial" w:cs="Arial"/>
          <w:sz w:val="24"/>
          <w:szCs w:val="24"/>
        </w:rPr>
        <w:t>, and within pre-proceedings,</w:t>
      </w:r>
      <w:r w:rsidR="00440C73" w:rsidRPr="00DF4B34">
        <w:rPr>
          <w:rFonts w:ascii="Arial" w:hAnsi="Arial" w:cs="Arial"/>
          <w:sz w:val="24"/>
          <w:szCs w:val="24"/>
        </w:rPr>
        <w:t xml:space="preserve"> is suitable in some contexts but should be discussed with a </w:t>
      </w:r>
      <w:r w:rsidR="00193615" w:rsidRPr="00DF4B34">
        <w:rPr>
          <w:rFonts w:ascii="Arial" w:hAnsi="Arial" w:cs="Arial"/>
          <w:sz w:val="24"/>
          <w:szCs w:val="24"/>
        </w:rPr>
        <w:t>senior</w:t>
      </w:r>
      <w:r w:rsidR="000806CD" w:rsidRPr="00DF4B34">
        <w:rPr>
          <w:rFonts w:ascii="Arial" w:hAnsi="Arial" w:cs="Arial"/>
          <w:sz w:val="24"/>
          <w:szCs w:val="24"/>
        </w:rPr>
        <w:t xml:space="preserve"> </w:t>
      </w:r>
      <w:r w:rsidR="00440C73" w:rsidRPr="00DF4B34">
        <w:rPr>
          <w:rFonts w:ascii="Arial" w:hAnsi="Arial" w:cs="Arial"/>
          <w:sz w:val="24"/>
          <w:szCs w:val="24"/>
        </w:rPr>
        <w:t xml:space="preserve">manager. It is vital that the decision making involved in commissioning these assessments, as well as why Findings are or aren’t being pursued, or indeed if Findings were made, are all captured on the child's file.  </w:t>
      </w:r>
    </w:p>
    <w:p w14:paraId="116E8A6D" w14:textId="43B750C4" w:rsidR="00451EED" w:rsidRPr="00DF4B34" w:rsidRDefault="00CB00EE" w:rsidP="00DF4B34">
      <w:pPr>
        <w:spacing w:line="360" w:lineRule="auto"/>
        <w:jc w:val="both"/>
        <w:rPr>
          <w:rFonts w:ascii="Arial" w:hAnsi="Arial" w:cs="Arial"/>
          <w:sz w:val="24"/>
          <w:szCs w:val="24"/>
        </w:rPr>
      </w:pPr>
      <w:r w:rsidRPr="00DF4B34">
        <w:rPr>
          <w:rFonts w:ascii="Arial" w:hAnsi="Arial" w:cs="Arial"/>
          <w:sz w:val="24"/>
          <w:szCs w:val="24"/>
        </w:rPr>
        <w:t>Senior Management oversight is needed to commission the completion of a s</w:t>
      </w:r>
      <w:r w:rsidR="0061166D" w:rsidRPr="00DF4B34">
        <w:rPr>
          <w:rFonts w:ascii="Arial" w:hAnsi="Arial" w:cs="Arial"/>
          <w:sz w:val="24"/>
          <w:szCs w:val="24"/>
        </w:rPr>
        <w:t>pecial</w:t>
      </w:r>
      <w:r w:rsidRPr="00DF4B34">
        <w:rPr>
          <w:rFonts w:ascii="Arial" w:hAnsi="Arial" w:cs="Arial"/>
          <w:sz w:val="24"/>
          <w:szCs w:val="24"/>
        </w:rPr>
        <w:t>ist assessment</w:t>
      </w:r>
      <w:r w:rsidR="001D4F34" w:rsidRPr="00DF4B34">
        <w:rPr>
          <w:rFonts w:ascii="Arial" w:hAnsi="Arial" w:cs="Arial"/>
          <w:sz w:val="24"/>
          <w:szCs w:val="24"/>
        </w:rPr>
        <w:t xml:space="preserve"> </w:t>
      </w:r>
      <w:r w:rsidR="000E0957" w:rsidRPr="00DF4B34">
        <w:rPr>
          <w:rFonts w:ascii="Arial" w:hAnsi="Arial" w:cs="Arial"/>
          <w:sz w:val="24"/>
          <w:szCs w:val="24"/>
        </w:rPr>
        <w:t xml:space="preserve">and the following points </w:t>
      </w:r>
      <w:r w:rsidR="007F0197" w:rsidRPr="00DF4B34">
        <w:rPr>
          <w:rFonts w:ascii="Arial" w:hAnsi="Arial" w:cs="Arial"/>
          <w:sz w:val="24"/>
          <w:szCs w:val="24"/>
        </w:rPr>
        <w:t xml:space="preserve">should be </w:t>
      </w:r>
      <w:r w:rsidR="000E0957" w:rsidRPr="00DF4B34">
        <w:rPr>
          <w:rFonts w:ascii="Arial" w:hAnsi="Arial" w:cs="Arial"/>
          <w:sz w:val="24"/>
          <w:szCs w:val="24"/>
        </w:rPr>
        <w:t xml:space="preserve">considered </w:t>
      </w:r>
      <w:r w:rsidR="007F0197" w:rsidRPr="00DF4B34">
        <w:rPr>
          <w:rFonts w:ascii="Arial" w:hAnsi="Arial" w:cs="Arial"/>
          <w:sz w:val="24"/>
          <w:szCs w:val="24"/>
        </w:rPr>
        <w:t>to</w:t>
      </w:r>
      <w:r w:rsidR="000E0957" w:rsidRPr="00DF4B34">
        <w:rPr>
          <w:rFonts w:ascii="Arial" w:hAnsi="Arial" w:cs="Arial"/>
          <w:sz w:val="24"/>
          <w:szCs w:val="24"/>
        </w:rPr>
        <w:t xml:space="preserve"> ensure the </w:t>
      </w:r>
      <w:r w:rsidR="00451EED" w:rsidRPr="00DF4B34">
        <w:rPr>
          <w:rFonts w:ascii="Arial" w:hAnsi="Arial" w:cs="Arial"/>
          <w:sz w:val="24"/>
          <w:szCs w:val="24"/>
        </w:rPr>
        <w:t>assessments are of good quality:</w:t>
      </w:r>
    </w:p>
    <w:p w14:paraId="790B238D" w14:textId="114BF691" w:rsidR="009D674E" w:rsidRPr="00DF4B34" w:rsidRDefault="009D674E" w:rsidP="00DF4B34">
      <w:pPr>
        <w:pStyle w:val="ListParagraph"/>
        <w:numPr>
          <w:ilvl w:val="0"/>
          <w:numId w:val="7"/>
        </w:numPr>
        <w:spacing w:line="360" w:lineRule="auto"/>
        <w:jc w:val="both"/>
        <w:rPr>
          <w:rFonts w:ascii="Arial" w:hAnsi="Arial" w:cs="Arial"/>
          <w:sz w:val="24"/>
          <w:szCs w:val="24"/>
        </w:rPr>
      </w:pPr>
      <w:r w:rsidRPr="00DF4B34">
        <w:rPr>
          <w:rFonts w:ascii="Arial" w:hAnsi="Arial" w:cs="Arial"/>
          <w:sz w:val="24"/>
          <w:szCs w:val="24"/>
        </w:rPr>
        <w:t>Clear factual basis</w:t>
      </w:r>
      <w:r w:rsidR="00E47DA6" w:rsidRPr="00DF4B34">
        <w:rPr>
          <w:rFonts w:ascii="Arial" w:hAnsi="Arial" w:cs="Arial"/>
          <w:sz w:val="24"/>
          <w:szCs w:val="24"/>
        </w:rPr>
        <w:t xml:space="preserve"> if possible- finding in the family court or criminal conviction</w:t>
      </w:r>
      <w:r w:rsidR="00D8046B" w:rsidRPr="00DF4B34">
        <w:rPr>
          <w:rFonts w:ascii="Arial" w:hAnsi="Arial" w:cs="Arial"/>
          <w:sz w:val="24"/>
          <w:szCs w:val="24"/>
        </w:rPr>
        <w:t>.</w:t>
      </w:r>
    </w:p>
    <w:p w14:paraId="0A547B91" w14:textId="0FDC8C7F" w:rsidR="009D674E" w:rsidRPr="00DF4B34" w:rsidRDefault="009D674E" w:rsidP="00DF4B34">
      <w:pPr>
        <w:pStyle w:val="ListParagraph"/>
        <w:numPr>
          <w:ilvl w:val="0"/>
          <w:numId w:val="7"/>
        </w:numPr>
        <w:spacing w:line="360" w:lineRule="auto"/>
        <w:jc w:val="both"/>
        <w:rPr>
          <w:rFonts w:ascii="Arial" w:hAnsi="Arial" w:cs="Arial"/>
          <w:sz w:val="24"/>
          <w:szCs w:val="24"/>
        </w:rPr>
      </w:pPr>
      <w:r w:rsidRPr="00DF4B34">
        <w:rPr>
          <w:rFonts w:ascii="Arial" w:hAnsi="Arial" w:cs="Arial"/>
          <w:sz w:val="24"/>
          <w:szCs w:val="24"/>
        </w:rPr>
        <w:t xml:space="preserve">Where there has not been a finding or conviction yet, obtaining sufficient information about the nature of what has been alleged, </w:t>
      </w:r>
      <w:r w:rsidR="00E47DA6" w:rsidRPr="00DF4B34">
        <w:rPr>
          <w:rFonts w:ascii="Arial" w:hAnsi="Arial" w:cs="Arial"/>
          <w:sz w:val="24"/>
          <w:szCs w:val="24"/>
        </w:rPr>
        <w:t>the existence of</w:t>
      </w:r>
      <w:r w:rsidRPr="00DF4B34">
        <w:rPr>
          <w:rFonts w:ascii="Arial" w:hAnsi="Arial" w:cs="Arial"/>
          <w:sz w:val="24"/>
          <w:szCs w:val="24"/>
        </w:rPr>
        <w:t xml:space="preserve"> any supporting evidence </w:t>
      </w:r>
      <w:proofErr w:type="spellStart"/>
      <w:proofErr w:type="gramStart"/>
      <w:r w:rsidRPr="00DF4B34">
        <w:rPr>
          <w:rFonts w:ascii="Arial" w:hAnsi="Arial" w:cs="Arial"/>
          <w:sz w:val="24"/>
          <w:szCs w:val="24"/>
        </w:rPr>
        <w:t>eg</w:t>
      </w:r>
      <w:proofErr w:type="spellEnd"/>
      <w:proofErr w:type="gramEnd"/>
      <w:r w:rsidRPr="00DF4B34">
        <w:rPr>
          <w:rFonts w:ascii="Arial" w:hAnsi="Arial" w:cs="Arial"/>
          <w:sz w:val="24"/>
          <w:szCs w:val="24"/>
        </w:rPr>
        <w:t xml:space="preserve"> medical or any other corroborative evidence</w:t>
      </w:r>
      <w:r w:rsidR="00D8046B" w:rsidRPr="00DF4B34">
        <w:rPr>
          <w:rFonts w:ascii="Arial" w:hAnsi="Arial" w:cs="Arial"/>
          <w:sz w:val="24"/>
          <w:szCs w:val="24"/>
        </w:rPr>
        <w:t xml:space="preserve"> to enable an assessor to produce an effective assessment. I</w:t>
      </w:r>
      <w:r w:rsidR="00E47DA6" w:rsidRPr="00DF4B34">
        <w:rPr>
          <w:rFonts w:ascii="Arial" w:hAnsi="Arial" w:cs="Arial"/>
          <w:sz w:val="24"/>
          <w:szCs w:val="24"/>
        </w:rPr>
        <w:t>nformation/evidence</w:t>
      </w:r>
      <w:r w:rsidR="00D8046B" w:rsidRPr="00DF4B34">
        <w:rPr>
          <w:rFonts w:ascii="Arial" w:hAnsi="Arial" w:cs="Arial"/>
          <w:sz w:val="24"/>
          <w:szCs w:val="24"/>
        </w:rPr>
        <w:t xml:space="preserve"> about the nature of what is alleged etc</w:t>
      </w:r>
      <w:r w:rsidR="00E47DA6" w:rsidRPr="00DF4B34">
        <w:rPr>
          <w:rFonts w:ascii="Arial" w:hAnsi="Arial" w:cs="Arial"/>
          <w:sz w:val="24"/>
          <w:szCs w:val="24"/>
        </w:rPr>
        <w:t xml:space="preserve"> is most likely to be held by the police</w:t>
      </w:r>
      <w:r w:rsidR="00D8046B" w:rsidRPr="00DF4B34">
        <w:rPr>
          <w:rFonts w:ascii="Arial" w:hAnsi="Arial" w:cs="Arial"/>
          <w:sz w:val="24"/>
          <w:szCs w:val="24"/>
        </w:rPr>
        <w:t xml:space="preserve"> and would need to be obtained from them</w:t>
      </w:r>
      <w:r w:rsidR="00E47DA6" w:rsidRPr="00DF4B34">
        <w:rPr>
          <w:rFonts w:ascii="Arial" w:hAnsi="Arial" w:cs="Arial"/>
          <w:sz w:val="24"/>
          <w:szCs w:val="24"/>
        </w:rPr>
        <w:t xml:space="preserve">. </w:t>
      </w:r>
    </w:p>
    <w:p w14:paraId="794E2DAA" w14:textId="353AFE37" w:rsidR="009D674E" w:rsidRPr="00DF4B34" w:rsidRDefault="00E47DA6" w:rsidP="00DF4B34">
      <w:pPr>
        <w:pStyle w:val="ListParagraph"/>
        <w:numPr>
          <w:ilvl w:val="0"/>
          <w:numId w:val="7"/>
        </w:numPr>
        <w:spacing w:line="360" w:lineRule="auto"/>
        <w:jc w:val="both"/>
        <w:rPr>
          <w:rFonts w:ascii="Arial" w:hAnsi="Arial" w:cs="Arial"/>
          <w:sz w:val="24"/>
          <w:szCs w:val="24"/>
        </w:rPr>
      </w:pPr>
      <w:r w:rsidRPr="00DF4B34">
        <w:rPr>
          <w:rFonts w:ascii="Arial" w:hAnsi="Arial" w:cs="Arial"/>
          <w:sz w:val="24"/>
          <w:szCs w:val="24"/>
        </w:rPr>
        <w:t xml:space="preserve">Clear and detailed letters of instruction to the person(s) assessing so that they are in no doubt about what they are being asked to do and why. </w:t>
      </w:r>
    </w:p>
    <w:p w14:paraId="33376158" w14:textId="1EAE1689" w:rsidR="00E47DA6" w:rsidRPr="00DF4B34" w:rsidRDefault="00E47DA6" w:rsidP="00DF4B34">
      <w:pPr>
        <w:pStyle w:val="ListParagraph"/>
        <w:numPr>
          <w:ilvl w:val="0"/>
          <w:numId w:val="7"/>
        </w:numPr>
        <w:spacing w:line="360" w:lineRule="auto"/>
        <w:jc w:val="both"/>
        <w:rPr>
          <w:rFonts w:ascii="Arial" w:hAnsi="Arial" w:cs="Arial"/>
          <w:sz w:val="24"/>
          <w:szCs w:val="24"/>
        </w:rPr>
      </w:pPr>
      <w:r w:rsidRPr="00DF4B34">
        <w:rPr>
          <w:rFonts w:ascii="Arial" w:hAnsi="Arial" w:cs="Arial"/>
          <w:sz w:val="24"/>
          <w:szCs w:val="24"/>
        </w:rPr>
        <w:t>Using specialist agencies who have a proven track record of assessing in these cases. These might be agencies with a specialist social work/probation background or independent experts, for example consultant psychologists</w:t>
      </w:r>
      <w:r w:rsidR="00103A7B" w:rsidRPr="00DF4B34">
        <w:rPr>
          <w:rFonts w:ascii="Arial" w:hAnsi="Arial" w:cs="Arial"/>
          <w:sz w:val="24"/>
          <w:szCs w:val="24"/>
        </w:rPr>
        <w:t xml:space="preserve"> with expertise in sexual offending</w:t>
      </w:r>
      <w:r w:rsidRPr="00DF4B34">
        <w:rPr>
          <w:rFonts w:ascii="Arial" w:hAnsi="Arial" w:cs="Arial"/>
          <w:sz w:val="24"/>
          <w:szCs w:val="24"/>
        </w:rPr>
        <w:t xml:space="preserve">. </w:t>
      </w:r>
    </w:p>
    <w:p w14:paraId="454FD0FB" w14:textId="7A0FF9D0" w:rsidR="00E47DA6" w:rsidRPr="00DF4B34" w:rsidRDefault="00E47DA6" w:rsidP="00DF4B34">
      <w:pPr>
        <w:pStyle w:val="ListParagraph"/>
        <w:numPr>
          <w:ilvl w:val="0"/>
          <w:numId w:val="7"/>
        </w:numPr>
        <w:spacing w:line="360" w:lineRule="auto"/>
        <w:jc w:val="both"/>
        <w:rPr>
          <w:rFonts w:ascii="Arial" w:hAnsi="Arial" w:cs="Arial"/>
          <w:sz w:val="24"/>
          <w:szCs w:val="24"/>
        </w:rPr>
      </w:pPr>
      <w:r w:rsidRPr="00DF4B34">
        <w:rPr>
          <w:rFonts w:ascii="Arial" w:hAnsi="Arial" w:cs="Arial"/>
          <w:sz w:val="24"/>
          <w:szCs w:val="24"/>
        </w:rPr>
        <w:lastRenderedPageBreak/>
        <w:t>If the parents/alleged perpetrator(s) have instructed solicitors, involving them in the proposed assessment so that it</w:t>
      </w:r>
      <w:r w:rsidR="00D8046B" w:rsidRPr="00DF4B34">
        <w:rPr>
          <w:rFonts w:ascii="Arial" w:hAnsi="Arial" w:cs="Arial"/>
          <w:sz w:val="24"/>
          <w:szCs w:val="24"/>
        </w:rPr>
        <w:t xml:space="preserve"> is a</w:t>
      </w:r>
      <w:r w:rsidR="00103A7B" w:rsidRPr="00DF4B34">
        <w:rPr>
          <w:rFonts w:ascii="Arial" w:hAnsi="Arial" w:cs="Arial"/>
          <w:sz w:val="24"/>
          <w:szCs w:val="24"/>
        </w:rPr>
        <w:t xml:space="preserve"> “joint instruction.”</w:t>
      </w:r>
    </w:p>
    <w:p w14:paraId="08014B4D" w14:textId="34B27DA6" w:rsidR="00C80C28" w:rsidRPr="00DF4B34" w:rsidRDefault="00C80C28" w:rsidP="00DF4B34">
      <w:pPr>
        <w:pStyle w:val="ListParagraph"/>
        <w:spacing w:line="360" w:lineRule="auto"/>
        <w:jc w:val="both"/>
        <w:rPr>
          <w:rFonts w:ascii="Arial" w:hAnsi="Arial" w:cs="Arial"/>
          <w:sz w:val="24"/>
          <w:szCs w:val="24"/>
        </w:rPr>
      </w:pPr>
    </w:p>
    <w:p w14:paraId="3E8B1761" w14:textId="77777777" w:rsidR="00C80C28" w:rsidRPr="00DF4B34" w:rsidRDefault="00C80C28" w:rsidP="00DF4B34">
      <w:pPr>
        <w:pStyle w:val="ListParagraph"/>
        <w:spacing w:line="360" w:lineRule="auto"/>
        <w:jc w:val="both"/>
        <w:rPr>
          <w:rFonts w:ascii="Arial" w:hAnsi="Arial" w:cs="Arial"/>
          <w:sz w:val="24"/>
          <w:szCs w:val="24"/>
        </w:rPr>
      </w:pPr>
    </w:p>
    <w:p w14:paraId="66936AF0" w14:textId="0BD52087" w:rsidR="00A8308E" w:rsidRPr="00DF4B34" w:rsidRDefault="00A8308E" w:rsidP="00DF4B34">
      <w:pPr>
        <w:pStyle w:val="ListParagraph"/>
        <w:numPr>
          <w:ilvl w:val="0"/>
          <w:numId w:val="6"/>
        </w:numPr>
        <w:spacing w:line="360" w:lineRule="auto"/>
        <w:jc w:val="both"/>
        <w:rPr>
          <w:rFonts w:ascii="Arial" w:hAnsi="Arial" w:cs="Arial"/>
          <w:b/>
          <w:bCs/>
          <w:sz w:val="24"/>
          <w:szCs w:val="24"/>
          <w:u w:val="single"/>
        </w:rPr>
      </w:pPr>
      <w:r w:rsidRPr="00DF4B34">
        <w:rPr>
          <w:rFonts w:ascii="Arial" w:hAnsi="Arial" w:cs="Arial"/>
          <w:b/>
          <w:bCs/>
          <w:sz w:val="24"/>
          <w:szCs w:val="24"/>
          <w:u w:val="single"/>
        </w:rPr>
        <w:t>Reliance on previous risk assessments.</w:t>
      </w:r>
    </w:p>
    <w:p w14:paraId="5B13E4FD" w14:textId="24A45EAE" w:rsidR="00CB6C57" w:rsidRPr="00DF4B34" w:rsidRDefault="00CB6C57" w:rsidP="00DF4B34">
      <w:pPr>
        <w:spacing w:line="360" w:lineRule="auto"/>
        <w:jc w:val="both"/>
        <w:rPr>
          <w:rFonts w:ascii="Arial" w:hAnsi="Arial" w:cs="Arial"/>
          <w:sz w:val="24"/>
          <w:szCs w:val="24"/>
        </w:rPr>
      </w:pPr>
      <w:r w:rsidRPr="00DF4B34">
        <w:rPr>
          <w:rFonts w:ascii="Arial" w:hAnsi="Arial" w:cs="Arial"/>
          <w:sz w:val="24"/>
          <w:szCs w:val="24"/>
        </w:rPr>
        <w:t xml:space="preserve">The term 'risk assessment' can relate to several different types of </w:t>
      </w:r>
      <w:proofErr w:type="gramStart"/>
      <w:r w:rsidR="00804B71" w:rsidRPr="00DF4B34">
        <w:rPr>
          <w:rFonts w:ascii="Arial" w:hAnsi="Arial" w:cs="Arial"/>
          <w:sz w:val="24"/>
          <w:szCs w:val="24"/>
        </w:rPr>
        <w:t>document</w:t>
      </w:r>
      <w:proofErr w:type="gramEnd"/>
      <w:r w:rsidR="00804B71" w:rsidRPr="00DF4B34">
        <w:rPr>
          <w:rFonts w:ascii="Arial" w:hAnsi="Arial" w:cs="Arial"/>
          <w:sz w:val="24"/>
          <w:szCs w:val="24"/>
        </w:rPr>
        <w:t xml:space="preserve"> and</w:t>
      </w:r>
      <w:r w:rsidRPr="00DF4B34">
        <w:rPr>
          <w:rFonts w:ascii="Arial" w:hAnsi="Arial" w:cs="Arial"/>
          <w:sz w:val="24"/>
          <w:szCs w:val="24"/>
        </w:rPr>
        <w:t xml:space="preserve"> has evolved in meaning over recent years. </w:t>
      </w:r>
      <w:r w:rsidR="0061166D" w:rsidRPr="00DF4B34">
        <w:rPr>
          <w:rFonts w:ascii="Arial" w:hAnsi="Arial" w:cs="Arial"/>
          <w:sz w:val="24"/>
          <w:szCs w:val="24"/>
        </w:rPr>
        <w:t>Historically</w:t>
      </w:r>
      <w:r w:rsidRPr="00DF4B34">
        <w:rPr>
          <w:rFonts w:ascii="Arial" w:hAnsi="Arial" w:cs="Arial"/>
          <w:sz w:val="24"/>
          <w:szCs w:val="24"/>
        </w:rPr>
        <w:t xml:space="preserve">, child and family assessments or 'core assessments' </w:t>
      </w:r>
      <w:r w:rsidR="00CC25AD" w:rsidRPr="00DF4B34">
        <w:rPr>
          <w:rFonts w:ascii="Arial" w:hAnsi="Arial" w:cs="Arial"/>
          <w:sz w:val="24"/>
          <w:szCs w:val="24"/>
        </w:rPr>
        <w:t>may have been</w:t>
      </w:r>
      <w:r w:rsidRPr="00DF4B34">
        <w:rPr>
          <w:rFonts w:ascii="Arial" w:hAnsi="Arial" w:cs="Arial"/>
          <w:sz w:val="24"/>
          <w:szCs w:val="24"/>
        </w:rPr>
        <w:t xml:space="preserve"> completed with specific focus on elements of risk, social workers completed their own risk assessments, or psychologists have been commissioned to complete risk assessments. Risk assessments can also be completed by other agencies, including probation and the police at the point of a S</w:t>
      </w:r>
      <w:r w:rsidR="00B46005" w:rsidRPr="00DF4B34">
        <w:rPr>
          <w:rFonts w:ascii="Arial" w:hAnsi="Arial" w:cs="Arial"/>
          <w:sz w:val="24"/>
          <w:szCs w:val="24"/>
        </w:rPr>
        <w:t>H</w:t>
      </w:r>
      <w:r w:rsidRPr="00DF4B34">
        <w:rPr>
          <w:rFonts w:ascii="Arial" w:hAnsi="Arial" w:cs="Arial"/>
          <w:sz w:val="24"/>
          <w:szCs w:val="24"/>
        </w:rPr>
        <w:t xml:space="preserve">PO </w:t>
      </w:r>
      <w:r w:rsidR="00673CA4" w:rsidRPr="00DF4B34">
        <w:rPr>
          <w:rFonts w:ascii="Arial" w:hAnsi="Arial" w:cs="Arial"/>
          <w:sz w:val="24"/>
          <w:szCs w:val="24"/>
        </w:rPr>
        <w:t xml:space="preserve">(Sexual Harm Prevention Order) </w:t>
      </w:r>
      <w:r w:rsidRPr="00DF4B34">
        <w:rPr>
          <w:rFonts w:ascii="Arial" w:hAnsi="Arial" w:cs="Arial"/>
          <w:sz w:val="24"/>
          <w:szCs w:val="24"/>
        </w:rPr>
        <w:t xml:space="preserve">being implemented. </w:t>
      </w:r>
      <w:r w:rsidR="00CA1400" w:rsidRPr="00DF4B34">
        <w:rPr>
          <w:rFonts w:ascii="Arial" w:hAnsi="Arial" w:cs="Arial"/>
          <w:sz w:val="24"/>
          <w:szCs w:val="24"/>
        </w:rPr>
        <w:t>These are not risk assessments that have been completed to inform our care plans and should be considered within this context.</w:t>
      </w:r>
    </w:p>
    <w:p w14:paraId="4AAF9EDE" w14:textId="26FCCA61" w:rsidR="00103A7B" w:rsidRPr="00DF4B34" w:rsidRDefault="00CB6C57" w:rsidP="00DF4B34">
      <w:pPr>
        <w:spacing w:line="360" w:lineRule="auto"/>
        <w:jc w:val="both"/>
        <w:rPr>
          <w:rFonts w:ascii="Arial" w:hAnsi="Arial" w:cs="Arial"/>
          <w:sz w:val="24"/>
          <w:szCs w:val="24"/>
        </w:rPr>
      </w:pPr>
      <w:r w:rsidRPr="00DF4B34">
        <w:rPr>
          <w:rFonts w:ascii="Arial" w:hAnsi="Arial" w:cs="Arial"/>
          <w:sz w:val="24"/>
          <w:szCs w:val="24"/>
        </w:rPr>
        <w:t>Whe</w:t>
      </w:r>
      <w:r w:rsidR="000875C1" w:rsidRPr="00DF4B34">
        <w:rPr>
          <w:rFonts w:ascii="Arial" w:hAnsi="Arial" w:cs="Arial"/>
          <w:sz w:val="24"/>
          <w:szCs w:val="24"/>
        </w:rPr>
        <w:t>n</w:t>
      </w:r>
      <w:r w:rsidRPr="00DF4B34">
        <w:rPr>
          <w:rFonts w:ascii="Arial" w:hAnsi="Arial" w:cs="Arial"/>
          <w:sz w:val="24"/>
          <w:szCs w:val="24"/>
        </w:rPr>
        <w:t xml:space="preserve"> referencing a risk </w:t>
      </w:r>
      <w:r w:rsidR="00673CA4" w:rsidRPr="00DF4B34">
        <w:rPr>
          <w:rFonts w:ascii="Arial" w:hAnsi="Arial" w:cs="Arial"/>
          <w:sz w:val="24"/>
          <w:szCs w:val="24"/>
        </w:rPr>
        <w:t>assessment,</w:t>
      </w:r>
      <w:r w:rsidRPr="00DF4B34">
        <w:rPr>
          <w:rFonts w:ascii="Arial" w:hAnsi="Arial" w:cs="Arial"/>
          <w:sz w:val="24"/>
          <w:szCs w:val="24"/>
        </w:rPr>
        <w:t xml:space="preserve"> it is important to be explicit as to who completed this and for what purpose. Our knowledge and understanding as to the nature of sexual abuse has increased significantly within recent years, and any historical risk assessments need to be considered with this in mind. Reliance on a risk assessment that was in relation to a very specific family dynamic, or gender, for example is not safe practice and all his</w:t>
      </w:r>
      <w:r w:rsidR="000875C1" w:rsidRPr="00DF4B34">
        <w:rPr>
          <w:rFonts w:ascii="Arial" w:hAnsi="Arial" w:cs="Arial"/>
          <w:sz w:val="24"/>
          <w:szCs w:val="24"/>
        </w:rPr>
        <w:t>torical</w:t>
      </w:r>
      <w:r w:rsidRPr="00DF4B34">
        <w:rPr>
          <w:rFonts w:ascii="Arial" w:hAnsi="Arial" w:cs="Arial"/>
          <w:sz w:val="24"/>
          <w:szCs w:val="24"/>
        </w:rPr>
        <w:t xml:space="preserve"> assessments should be approached with professional </w:t>
      </w:r>
      <w:r w:rsidR="00CA1400" w:rsidRPr="00DF4B34">
        <w:rPr>
          <w:rFonts w:ascii="Arial" w:hAnsi="Arial" w:cs="Arial"/>
          <w:sz w:val="24"/>
          <w:szCs w:val="24"/>
        </w:rPr>
        <w:t>curiosity</w:t>
      </w:r>
      <w:r w:rsidR="00BD2FEF" w:rsidRPr="00DF4B34">
        <w:rPr>
          <w:rFonts w:ascii="Arial" w:hAnsi="Arial" w:cs="Arial"/>
          <w:sz w:val="24"/>
          <w:szCs w:val="24"/>
        </w:rPr>
        <w:t xml:space="preserve"> and challenge</w:t>
      </w:r>
      <w:r w:rsidR="00B24E5B" w:rsidRPr="00DF4B34">
        <w:rPr>
          <w:rFonts w:ascii="Arial" w:hAnsi="Arial" w:cs="Arial"/>
          <w:sz w:val="24"/>
          <w:szCs w:val="24"/>
        </w:rPr>
        <w:t xml:space="preserve">, always focusing on whether this risk assessment adequately </w:t>
      </w:r>
      <w:r w:rsidR="00CA1400" w:rsidRPr="00DF4B34">
        <w:rPr>
          <w:rFonts w:ascii="Arial" w:hAnsi="Arial" w:cs="Arial"/>
          <w:sz w:val="24"/>
          <w:szCs w:val="24"/>
        </w:rPr>
        <w:t>address</w:t>
      </w:r>
      <w:r w:rsidR="00B24E5B" w:rsidRPr="00DF4B34">
        <w:rPr>
          <w:rFonts w:ascii="Arial" w:hAnsi="Arial" w:cs="Arial"/>
          <w:sz w:val="24"/>
          <w:szCs w:val="24"/>
        </w:rPr>
        <w:t>es</w:t>
      </w:r>
      <w:r w:rsidR="00CA1400" w:rsidRPr="00DF4B34">
        <w:rPr>
          <w:rFonts w:ascii="Arial" w:hAnsi="Arial" w:cs="Arial"/>
          <w:sz w:val="24"/>
          <w:szCs w:val="24"/>
        </w:rPr>
        <w:t xml:space="preserve"> the risk for your</w:t>
      </w:r>
      <w:r w:rsidR="00B24E5B" w:rsidRPr="00DF4B34">
        <w:rPr>
          <w:rFonts w:ascii="Arial" w:hAnsi="Arial" w:cs="Arial"/>
          <w:sz w:val="24"/>
          <w:szCs w:val="24"/>
        </w:rPr>
        <w:t xml:space="preserve"> child</w:t>
      </w:r>
      <w:r w:rsidR="00CA1400" w:rsidRPr="00DF4B34">
        <w:rPr>
          <w:rFonts w:ascii="Arial" w:hAnsi="Arial" w:cs="Arial"/>
          <w:sz w:val="24"/>
          <w:szCs w:val="24"/>
        </w:rPr>
        <w:t xml:space="preserve"> </w:t>
      </w:r>
      <w:r w:rsidR="00B24E5B" w:rsidRPr="00DF4B34">
        <w:rPr>
          <w:rFonts w:ascii="Arial" w:hAnsi="Arial" w:cs="Arial"/>
          <w:sz w:val="24"/>
          <w:szCs w:val="24"/>
        </w:rPr>
        <w:t xml:space="preserve">in their current circumstances. </w:t>
      </w:r>
      <w:r w:rsidR="00103A7B" w:rsidRPr="00DF4B34">
        <w:rPr>
          <w:rFonts w:ascii="Arial" w:hAnsi="Arial" w:cs="Arial"/>
          <w:sz w:val="24"/>
          <w:szCs w:val="24"/>
        </w:rPr>
        <w:t>There m</w:t>
      </w:r>
      <w:r w:rsidR="00962599" w:rsidRPr="00DF4B34">
        <w:rPr>
          <w:rFonts w:ascii="Arial" w:hAnsi="Arial" w:cs="Arial"/>
          <w:sz w:val="24"/>
          <w:szCs w:val="24"/>
        </w:rPr>
        <w:t>ay</w:t>
      </w:r>
      <w:r w:rsidR="00103A7B" w:rsidRPr="00DF4B34">
        <w:rPr>
          <w:rFonts w:ascii="Arial" w:hAnsi="Arial" w:cs="Arial"/>
          <w:sz w:val="24"/>
          <w:szCs w:val="24"/>
        </w:rPr>
        <w:t xml:space="preserve"> be </w:t>
      </w:r>
      <w:r w:rsidR="00D8046B" w:rsidRPr="00DF4B34">
        <w:rPr>
          <w:rFonts w:ascii="Arial" w:hAnsi="Arial" w:cs="Arial"/>
          <w:sz w:val="24"/>
          <w:szCs w:val="24"/>
        </w:rPr>
        <w:t xml:space="preserve">grounds to </w:t>
      </w:r>
      <w:r w:rsidR="00132E03" w:rsidRPr="00DF4B34">
        <w:rPr>
          <w:rFonts w:ascii="Arial" w:hAnsi="Arial" w:cs="Arial"/>
          <w:sz w:val="24"/>
          <w:szCs w:val="24"/>
        </w:rPr>
        <w:t>believe</w:t>
      </w:r>
      <w:r w:rsidR="00D8046B" w:rsidRPr="00DF4B34">
        <w:rPr>
          <w:rFonts w:ascii="Arial" w:hAnsi="Arial" w:cs="Arial"/>
          <w:sz w:val="24"/>
          <w:szCs w:val="24"/>
        </w:rPr>
        <w:t xml:space="preserve"> that a fresh assessment is necessary</w:t>
      </w:r>
      <w:r w:rsidR="00962599" w:rsidRPr="00DF4B34">
        <w:rPr>
          <w:rFonts w:ascii="Arial" w:hAnsi="Arial" w:cs="Arial"/>
          <w:sz w:val="24"/>
          <w:szCs w:val="24"/>
        </w:rPr>
        <w:t xml:space="preserve">, and this should be explored in case discussions with the Senior </w:t>
      </w:r>
      <w:proofErr w:type="gramStart"/>
      <w:r w:rsidR="00962599" w:rsidRPr="00DF4B34">
        <w:rPr>
          <w:rFonts w:ascii="Arial" w:hAnsi="Arial" w:cs="Arial"/>
          <w:sz w:val="24"/>
          <w:szCs w:val="24"/>
        </w:rPr>
        <w:t xml:space="preserve">Manager </w:t>
      </w:r>
      <w:r w:rsidR="00D8046B" w:rsidRPr="00DF4B34">
        <w:rPr>
          <w:rFonts w:ascii="Arial" w:hAnsi="Arial" w:cs="Arial"/>
          <w:sz w:val="24"/>
          <w:szCs w:val="24"/>
        </w:rPr>
        <w:t xml:space="preserve"> and</w:t>
      </w:r>
      <w:proofErr w:type="gramEnd"/>
      <w:r w:rsidR="00D8046B" w:rsidRPr="00DF4B34">
        <w:rPr>
          <w:rFonts w:ascii="Arial" w:hAnsi="Arial" w:cs="Arial"/>
          <w:sz w:val="24"/>
          <w:szCs w:val="24"/>
        </w:rPr>
        <w:t xml:space="preserve">/or the legal department. </w:t>
      </w:r>
      <w:r w:rsidR="00103A7B" w:rsidRPr="00DF4B34">
        <w:rPr>
          <w:rFonts w:ascii="Arial" w:hAnsi="Arial" w:cs="Arial"/>
          <w:sz w:val="24"/>
          <w:szCs w:val="24"/>
        </w:rPr>
        <w:t xml:space="preserve"> </w:t>
      </w:r>
    </w:p>
    <w:p w14:paraId="4AECA1F0" w14:textId="730D3E97" w:rsidR="00225D12" w:rsidRPr="00DF4B34" w:rsidRDefault="00225D12" w:rsidP="00DF4B34">
      <w:pPr>
        <w:spacing w:line="360" w:lineRule="auto"/>
        <w:jc w:val="both"/>
        <w:rPr>
          <w:rFonts w:ascii="Arial" w:hAnsi="Arial" w:cs="Arial"/>
          <w:sz w:val="24"/>
          <w:szCs w:val="24"/>
        </w:rPr>
      </w:pPr>
    </w:p>
    <w:p w14:paraId="5E270EDB" w14:textId="5FFA4105" w:rsidR="00225D12" w:rsidRPr="00DF4B34" w:rsidRDefault="00225D12" w:rsidP="00DF4B34">
      <w:pPr>
        <w:pStyle w:val="ListParagraph"/>
        <w:numPr>
          <w:ilvl w:val="0"/>
          <w:numId w:val="6"/>
        </w:numPr>
        <w:spacing w:line="360" w:lineRule="auto"/>
        <w:jc w:val="both"/>
        <w:rPr>
          <w:rFonts w:ascii="Arial" w:hAnsi="Arial" w:cs="Arial"/>
          <w:sz w:val="24"/>
          <w:szCs w:val="24"/>
        </w:rPr>
      </w:pPr>
      <w:r w:rsidRPr="00DF4B34">
        <w:rPr>
          <w:rFonts w:ascii="Arial" w:hAnsi="Arial" w:cs="Arial"/>
          <w:b/>
          <w:bCs/>
          <w:sz w:val="24"/>
          <w:szCs w:val="24"/>
          <w:u w:val="single"/>
        </w:rPr>
        <w:t xml:space="preserve">Specialist Commissioned Intervention vs </w:t>
      </w:r>
      <w:proofErr w:type="gramStart"/>
      <w:r w:rsidRPr="00DF4B34">
        <w:rPr>
          <w:rFonts w:ascii="Arial" w:hAnsi="Arial" w:cs="Arial"/>
          <w:b/>
          <w:bCs/>
          <w:sz w:val="24"/>
          <w:szCs w:val="24"/>
          <w:u w:val="single"/>
        </w:rPr>
        <w:t>Non Specialist</w:t>
      </w:r>
      <w:proofErr w:type="gramEnd"/>
      <w:r w:rsidRPr="00DF4B34">
        <w:rPr>
          <w:rFonts w:ascii="Arial" w:hAnsi="Arial" w:cs="Arial"/>
          <w:b/>
          <w:bCs/>
          <w:sz w:val="24"/>
          <w:szCs w:val="24"/>
          <w:u w:val="single"/>
        </w:rPr>
        <w:t xml:space="preserve"> intervention</w:t>
      </w:r>
      <w:r w:rsidRPr="00DF4B34">
        <w:rPr>
          <w:rFonts w:ascii="Arial" w:hAnsi="Arial" w:cs="Arial"/>
          <w:sz w:val="24"/>
          <w:szCs w:val="24"/>
        </w:rPr>
        <w:t xml:space="preserve">. </w:t>
      </w:r>
    </w:p>
    <w:p w14:paraId="4FDDC223" w14:textId="51BE86DF" w:rsidR="00225D12" w:rsidRPr="00DF4B34" w:rsidRDefault="00225D12" w:rsidP="00DF4B34">
      <w:pPr>
        <w:spacing w:line="360" w:lineRule="auto"/>
        <w:jc w:val="both"/>
        <w:rPr>
          <w:rFonts w:ascii="Arial" w:hAnsi="Arial" w:cs="Arial"/>
          <w:sz w:val="24"/>
          <w:szCs w:val="24"/>
        </w:rPr>
      </w:pPr>
      <w:r w:rsidRPr="00DF4B34">
        <w:rPr>
          <w:rFonts w:ascii="Arial" w:hAnsi="Arial" w:cs="Arial"/>
          <w:sz w:val="24"/>
          <w:szCs w:val="24"/>
        </w:rPr>
        <w:t xml:space="preserve">Specialist Safe carers work is available to be commissioned and delivered by independent practitioners and agencies such as The Lucy Faithfull Foundation and The Northwest Sexual Abuse Consultancy. The timing of safe carers’ work will vary according to the circumstances of the case. A protective parent or carer may benefit from the work at a relatively early stage as part of the package of support for them and the children. In other cases, the work may be likely to be more effective after findings </w:t>
      </w:r>
      <w:r w:rsidRPr="00DF4B34">
        <w:rPr>
          <w:rFonts w:ascii="Arial" w:hAnsi="Arial" w:cs="Arial"/>
          <w:sz w:val="24"/>
          <w:szCs w:val="24"/>
        </w:rPr>
        <w:lastRenderedPageBreak/>
        <w:t xml:space="preserve">have been made or a criminal conviction has been returned. In some cases, the work may have to be repeated but this should not be a common occurrence. The legal department are well-placed from a forensic/evidential perspective to advise on this issue.  </w:t>
      </w:r>
    </w:p>
    <w:p w14:paraId="1F474E4D" w14:textId="0E934B2A" w:rsidR="00225D12" w:rsidRPr="00DF4B34" w:rsidRDefault="00225D12" w:rsidP="00DF4B34">
      <w:pPr>
        <w:spacing w:line="360" w:lineRule="auto"/>
        <w:jc w:val="both"/>
        <w:rPr>
          <w:rFonts w:ascii="Arial" w:hAnsi="Arial" w:cs="Arial"/>
          <w:b/>
          <w:bCs/>
          <w:sz w:val="24"/>
          <w:szCs w:val="24"/>
        </w:rPr>
      </w:pPr>
      <w:r w:rsidRPr="00DF4B34">
        <w:rPr>
          <w:rFonts w:ascii="Arial" w:hAnsi="Arial" w:cs="Arial"/>
          <w:sz w:val="24"/>
          <w:szCs w:val="24"/>
        </w:rPr>
        <w:t xml:space="preserve">Prior to consideration of commissioning specialist Safe Carers work, consideration needs to be given to whether there is a need for specialist intervention, or whether non-specialist intervention can achieve the same desired outcome, such as self-protection work with the child, parent/carer or signs of sexual abuse and grooming. </w:t>
      </w:r>
    </w:p>
    <w:p w14:paraId="2BB63854" w14:textId="2C42D3BA" w:rsidR="00225D12" w:rsidRPr="005A5245" w:rsidRDefault="00225D12" w:rsidP="00DF4B34">
      <w:pPr>
        <w:spacing w:line="360" w:lineRule="auto"/>
        <w:jc w:val="both"/>
        <w:rPr>
          <w:rFonts w:ascii="Arial" w:hAnsi="Arial" w:cs="Arial"/>
          <w:sz w:val="24"/>
          <w:szCs w:val="24"/>
        </w:rPr>
      </w:pPr>
      <w:r w:rsidRPr="00DF4B34">
        <w:rPr>
          <w:rFonts w:ascii="Arial" w:hAnsi="Arial" w:cs="Arial"/>
          <w:sz w:val="24"/>
          <w:szCs w:val="24"/>
        </w:rPr>
        <w:t xml:space="preserve">Senior Management oversight is needed to commission Specialist Intervention such as Safe Carers work and needs to </w:t>
      </w:r>
      <w:proofErr w:type="gramStart"/>
      <w:r w:rsidRPr="00DF4B34">
        <w:rPr>
          <w:rFonts w:ascii="Arial" w:hAnsi="Arial" w:cs="Arial"/>
          <w:sz w:val="24"/>
          <w:szCs w:val="24"/>
        </w:rPr>
        <w:t>take into account</w:t>
      </w:r>
      <w:proofErr w:type="gramEnd"/>
      <w:r w:rsidRPr="00DF4B34">
        <w:rPr>
          <w:rFonts w:ascii="Arial" w:hAnsi="Arial" w:cs="Arial"/>
          <w:sz w:val="24"/>
          <w:szCs w:val="24"/>
        </w:rPr>
        <w:t xml:space="preserve"> the need for commissioned specialist work v's non-commissioned intervention as outlined above.</w:t>
      </w:r>
      <w:r>
        <w:rPr>
          <w:rFonts w:ascii="Arial" w:hAnsi="Arial" w:cs="Arial"/>
          <w:sz w:val="24"/>
          <w:szCs w:val="24"/>
        </w:rPr>
        <w:t xml:space="preserve"> </w:t>
      </w:r>
    </w:p>
    <w:p w14:paraId="089BC177" w14:textId="77777777" w:rsidR="00225D12" w:rsidRPr="005A5245" w:rsidRDefault="00225D12" w:rsidP="00DF4B34">
      <w:pPr>
        <w:pStyle w:val="ListParagraph"/>
        <w:spacing w:line="360" w:lineRule="auto"/>
        <w:jc w:val="both"/>
        <w:rPr>
          <w:rFonts w:ascii="Arial" w:hAnsi="Arial" w:cs="Arial"/>
          <w:sz w:val="24"/>
          <w:szCs w:val="24"/>
        </w:rPr>
      </w:pPr>
    </w:p>
    <w:p w14:paraId="45866501" w14:textId="77777777" w:rsidR="00225D12" w:rsidRPr="005A5245" w:rsidRDefault="00225D12" w:rsidP="00DF4B34">
      <w:pPr>
        <w:spacing w:line="360" w:lineRule="auto"/>
        <w:jc w:val="both"/>
        <w:rPr>
          <w:rFonts w:ascii="Arial" w:hAnsi="Arial" w:cs="Arial"/>
          <w:sz w:val="24"/>
          <w:szCs w:val="24"/>
        </w:rPr>
      </w:pPr>
    </w:p>
    <w:sectPr w:rsidR="00225D12" w:rsidRPr="005A524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C19D" w14:textId="77777777" w:rsidR="00B1013F" w:rsidRDefault="00B1013F" w:rsidP="006F22CE">
      <w:pPr>
        <w:spacing w:after="0" w:line="240" w:lineRule="auto"/>
      </w:pPr>
      <w:r>
        <w:separator/>
      </w:r>
    </w:p>
  </w:endnote>
  <w:endnote w:type="continuationSeparator" w:id="0">
    <w:p w14:paraId="436C6DC9" w14:textId="77777777" w:rsidR="00B1013F" w:rsidRDefault="00B1013F" w:rsidP="006F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43459"/>
      <w:docPartObj>
        <w:docPartGallery w:val="Page Numbers (Bottom of Page)"/>
        <w:docPartUnique/>
      </w:docPartObj>
    </w:sdtPr>
    <w:sdtEndPr>
      <w:rPr>
        <w:noProof/>
      </w:rPr>
    </w:sdtEndPr>
    <w:sdtContent>
      <w:p w14:paraId="760B01BF" w14:textId="3037ECE7" w:rsidR="006F22CE" w:rsidRDefault="006F2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E5C10" w14:textId="77777777" w:rsidR="006F22CE" w:rsidRDefault="006F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DD60" w14:textId="77777777" w:rsidR="00B1013F" w:rsidRDefault="00B1013F" w:rsidP="006F22CE">
      <w:pPr>
        <w:spacing w:after="0" w:line="240" w:lineRule="auto"/>
      </w:pPr>
      <w:r>
        <w:separator/>
      </w:r>
    </w:p>
  </w:footnote>
  <w:footnote w:type="continuationSeparator" w:id="0">
    <w:p w14:paraId="67099088" w14:textId="77777777" w:rsidR="00B1013F" w:rsidRDefault="00B1013F" w:rsidP="006F2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5441"/>
    <w:multiLevelType w:val="hybridMultilevel"/>
    <w:tmpl w:val="2FB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27587"/>
    <w:multiLevelType w:val="hybridMultilevel"/>
    <w:tmpl w:val="C0F63966"/>
    <w:lvl w:ilvl="0" w:tplc="5136D946">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35E1A"/>
    <w:multiLevelType w:val="hybridMultilevel"/>
    <w:tmpl w:val="9DA69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E5D25"/>
    <w:multiLevelType w:val="hybridMultilevel"/>
    <w:tmpl w:val="4F027220"/>
    <w:lvl w:ilvl="0" w:tplc="5262D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077AB"/>
    <w:multiLevelType w:val="hybridMultilevel"/>
    <w:tmpl w:val="E5046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A13072"/>
    <w:multiLevelType w:val="hybridMultilevel"/>
    <w:tmpl w:val="8AF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B7BC7"/>
    <w:multiLevelType w:val="hybridMultilevel"/>
    <w:tmpl w:val="18E2095A"/>
    <w:lvl w:ilvl="0" w:tplc="862CC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9371663">
    <w:abstractNumId w:val="4"/>
  </w:num>
  <w:num w:numId="2" w16cid:durableId="514266912">
    <w:abstractNumId w:val="2"/>
  </w:num>
  <w:num w:numId="3" w16cid:durableId="1316295208">
    <w:abstractNumId w:val="3"/>
  </w:num>
  <w:num w:numId="4" w16cid:durableId="423503611">
    <w:abstractNumId w:val="6"/>
  </w:num>
  <w:num w:numId="5" w16cid:durableId="1008404704">
    <w:abstractNumId w:val="5"/>
  </w:num>
  <w:num w:numId="6" w16cid:durableId="1444763171">
    <w:abstractNumId w:val="1"/>
  </w:num>
  <w:num w:numId="7" w16cid:durableId="45491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F8"/>
    <w:rsid w:val="0001504F"/>
    <w:rsid w:val="00017D66"/>
    <w:rsid w:val="00020DF4"/>
    <w:rsid w:val="00022710"/>
    <w:rsid w:val="00035A79"/>
    <w:rsid w:val="000410CE"/>
    <w:rsid w:val="0004614A"/>
    <w:rsid w:val="00054BC9"/>
    <w:rsid w:val="0005606F"/>
    <w:rsid w:val="00061770"/>
    <w:rsid w:val="00063C4E"/>
    <w:rsid w:val="0007119D"/>
    <w:rsid w:val="000769DE"/>
    <w:rsid w:val="000806CD"/>
    <w:rsid w:val="0008660E"/>
    <w:rsid w:val="000875C1"/>
    <w:rsid w:val="00087EB6"/>
    <w:rsid w:val="000928AA"/>
    <w:rsid w:val="00093850"/>
    <w:rsid w:val="0009745D"/>
    <w:rsid w:val="000A6167"/>
    <w:rsid w:val="000B6D51"/>
    <w:rsid w:val="000C30C9"/>
    <w:rsid w:val="000D07CA"/>
    <w:rsid w:val="000E0957"/>
    <w:rsid w:val="000E1611"/>
    <w:rsid w:val="000E3B0E"/>
    <w:rsid w:val="000F1941"/>
    <w:rsid w:val="00100A75"/>
    <w:rsid w:val="00103A7B"/>
    <w:rsid w:val="00111D05"/>
    <w:rsid w:val="00123DA5"/>
    <w:rsid w:val="00132E03"/>
    <w:rsid w:val="001330E1"/>
    <w:rsid w:val="001657E6"/>
    <w:rsid w:val="00167209"/>
    <w:rsid w:val="00170AA6"/>
    <w:rsid w:val="001759EE"/>
    <w:rsid w:val="0017741B"/>
    <w:rsid w:val="00177CD2"/>
    <w:rsid w:val="00182FDF"/>
    <w:rsid w:val="001876B7"/>
    <w:rsid w:val="00192AC2"/>
    <w:rsid w:val="00192CF2"/>
    <w:rsid w:val="00193615"/>
    <w:rsid w:val="001A3E95"/>
    <w:rsid w:val="001A7258"/>
    <w:rsid w:val="001B0B7A"/>
    <w:rsid w:val="001B59D5"/>
    <w:rsid w:val="001C4A81"/>
    <w:rsid w:val="001D4F34"/>
    <w:rsid w:val="001D7663"/>
    <w:rsid w:val="001E20FB"/>
    <w:rsid w:val="001F4C37"/>
    <w:rsid w:val="001F4E04"/>
    <w:rsid w:val="00204D64"/>
    <w:rsid w:val="002056D5"/>
    <w:rsid w:val="002066D0"/>
    <w:rsid w:val="002151E2"/>
    <w:rsid w:val="00221250"/>
    <w:rsid w:val="00224FA3"/>
    <w:rsid w:val="00225D12"/>
    <w:rsid w:val="00230399"/>
    <w:rsid w:val="002318E3"/>
    <w:rsid w:val="00236C14"/>
    <w:rsid w:val="002413B6"/>
    <w:rsid w:val="00242860"/>
    <w:rsid w:val="002460DF"/>
    <w:rsid w:val="00255347"/>
    <w:rsid w:val="00264344"/>
    <w:rsid w:val="002646E5"/>
    <w:rsid w:val="002753D5"/>
    <w:rsid w:val="00280D65"/>
    <w:rsid w:val="002972DF"/>
    <w:rsid w:val="002B149E"/>
    <w:rsid w:val="002B200F"/>
    <w:rsid w:val="002B7D75"/>
    <w:rsid w:val="002C0CB9"/>
    <w:rsid w:val="002F0754"/>
    <w:rsid w:val="002F15C3"/>
    <w:rsid w:val="002F1746"/>
    <w:rsid w:val="002F34A5"/>
    <w:rsid w:val="003001CB"/>
    <w:rsid w:val="0030154B"/>
    <w:rsid w:val="003016E1"/>
    <w:rsid w:val="0030190A"/>
    <w:rsid w:val="00302A89"/>
    <w:rsid w:val="003136AC"/>
    <w:rsid w:val="00316684"/>
    <w:rsid w:val="00334D5D"/>
    <w:rsid w:val="003401DA"/>
    <w:rsid w:val="00342132"/>
    <w:rsid w:val="003471A1"/>
    <w:rsid w:val="00347E1B"/>
    <w:rsid w:val="00354BC2"/>
    <w:rsid w:val="00370A76"/>
    <w:rsid w:val="00394A23"/>
    <w:rsid w:val="003976D6"/>
    <w:rsid w:val="003A0691"/>
    <w:rsid w:val="003A43E2"/>
    <w:rsid w:val="003B6020"/>
    <w:rsid w:val="003C2BF8"/>
    <w:rsid w:val="003D0FE5"/>
    <w:rsid w:val="003D2075"/>
    <w:rsid w:val="003E0B92"/>
    <w:rsid w:val="003E2B37"/>
    <w:rsid w:val="003F29A9"/>
    <w:rsid w:val="00403539"/>
    <w:rsid w:val="0040493D"/>
    <w:rsid w:val="00405565"/>
    <w:rsid w:val="00407AD1"/>
    <w:rsid w:val="004200A4"/>
    <w:rsid w:val="0042249C"/>
    <w:rsid w:val="004313F3"/>
    <w:rsid w:val="0043359E"/>
    <w:rsid w:val="00434A68"/>
    <w:rsid w:val="00440C73"/>
    <w:rsid w:val="0044732B"/>
    <w:rsid w:val="00447494"/>
    <w:rsid w:val="00451EED"/>
    <w:rsid w:val="00456B98"/>
    <w:rsid w:val="004618B2"/>
    <w:rsid w:val="00465316"/>
    <w:rsid w:val="00477E36"/>
    <w:rsid w:val="004813B9"/>
    <w:rsid w:val="004831AF"/>
    <w:rsid w:val="00484202"/>
    <w:rsid w:val="00486CD1"/>
    <w:rsid w:val="00490EFB"/>
    <w:rsid w:val="00491E5C"/>
    <w:rsid w:val="004934E1"/>
    <w:rsid w:val="00494E16"/>
    <w:rsid w:val="004A09E1"/>
    <w:rsid w:val="004A689C"/>
    <w:rsid w:val="004A6DAC"/>
    <w:rsid w:val="004B2874"/>
    <w:rsid w:val="004B475C"/>
    <w:rsid w:val="004B519D"/>
    <w:rsid w:val="004B73E6"/>
    <w:rsid w:val="004C7DA5"/>
    <w:rsid w:val="004D06C3"/>
    <w:rsid w:val="004D3C50"/>
    <w:rsid w:val="004D55E6"/>
    <w:rsid w:val="004E0201"/>
    <w:rsid w:val="004E0DC0"/>
    <w:rsid w:val="004E22F9"/>
    <w:rsid w:val="004E74DA"/>
    <w:rsid w:val="00501696"/>
    <w:rsid w:val="00502621"/>
    <w:rsid w:val="00505DFA"/>
    <w:rsid w:val="005225D3"/>
    <w:rsid w:val="00524D73"/>
    <w:rsid w:val="00526100"/>
    <w:rsid w:val="005310CB"/>
    <w:rsid w:val="005367EC"/>
    <w:rsid w:val="00543654"/>
    <w:rsid w:val="005522D8"/>
    <w:rsid w:val="00553E06"/>
    <w:rsid w:val="005571F1"/>
    <w:rsid w:val="00557712"/>
    <w:rsid w:val="005708F2"/>
    <w:rsid w:val="00577BC7"/>
    <w:rsid w:val="00584C7C"/>
    <w:rsid w:val="005878B3"/>
    <w:rsid w:val="005924E7"/>
    <w:rsid w:val="00593BC3"/>
    <w:rsid w:val="005958E0"/>
    <w:rsid w:val="005A5245"/>
    <w:rsid w:val="005A6766"/>
    <w:rsid w:val="005B0861"/>
    <w:rsid w:val="005B4779"/>
    <w:rsid w:val="005C1804"/>
    <w:rsid w:val="005C197F"/>
    <w:rsid w:val="005C2375"/>
    <w:rsid w:val="005C2A10"/>
    <w:rsid w:val="005C6A9C"/>
    <w:rsid w:val="005D3448"/>
    <w:rsid w:val="005F5723"/>
    <w:rsid w:val="005F5D91"/>
    <w:rsid w:val="005F7620"/>
    <w:rsid w:val="00601AE4"/>
    <w:rsid w:val="0061166D"/>
    <w:rsid w:val="00617079"/>
    <w:rsid w:val="006176F4"/>
    <w:rsid w:val="006248BE"/>
    <w:rsid w:val="00625376"/>
    <w:rsid w:val="0062636C"/>
    <w:rsid w:val="00640CFE"/>
    <w:rsid w:val="0064657D"/>
    <w:rsid w:val="00651639"/>
    <w:rsid w:val="006564C1"/>
    <w:rsid w:val="00660122"/>
    <w:rsid w:val="006623FA"/>
    <w:rsid w:val="00663CEB"/>
    <w:rsid w:val="00666E31"/>
    <w:rsid w:val="006701C6"/>
    <w:rsid w:val="006720E2"/>
    <w:rsid w:val="00673CA4"/>
    <w:rsid w:val="0068137A"/>
    <w:rsid w:val="0068662B"/>
    <w:rsid w:val="006913CF"/>
    <w:rsid w:val="006A37A2"/>
    <w:rsid w:val="006A5FE5"/>
    <w:rsid w:val="006B6F14"/>
    <w:rsid w:val="006D3191"/>
    <w:rsid w:val="006E6563"/>
    <w:rsid w:val="006E79DF"/>
    <w:rsid w:val="006F22CE"/>
    <w:rsid w:val="006F3A78"/>
    <w:rsid w:val="006F456D"/>
    <w:rsid w:val="00704ABC"/>
    <w:rsid w:val="007226F7"/>
    <w:rsid w:val="00730F23"/>
    <w:rsid w:val="00731608"/>
    <w:rsid w:val="00735F0B"/>
    <w:rsid w:val="00754250"/>
    <w:rsid w:val="00757740"/>
    <w:rsid w:val="00761A3C"/>
    <w:rsid w:val="007628B6"/>
    <w:rsid w:val="00764D93"/>
    <w:rsid w:val="00772997"/>
    <w:rsid w:val="007A00A9"/>
    <w:rsid w:val="007A3521"/>
    <w:rsid w:val="007C696D"/>
    <w:rsid w:val="007C729D"/>
    <w:rsid w:val="007D5240"/>
    <w:rsid w:val="007F0197"/>
    <w:rsid w:val="007F6C63"/>
    <w:rsid w:val="008041F4"/>
    <w:rsid w:val="00804B71"/>
    <w:rsid w:val="00812BEA"/>
    <w:rsid w:val="00814C15"/>
    <w:rsid w:val="00816036"/>
    <w:rsid w:val="00824022"/>
    <w:rsid w:val="008262F9"/>
    <w:rsid w:val="008268E6"/>
    <w:rsid w:val="00853D2A"/>
    <w:rsid w:val="00874E92"/>
    <w:rsid w:val="008820F6"/>
    <w:rsid w:val="00885D00"/>
    <w:rsid w:val="008866C8"/>
    <w:rsid w:val="008908DF"/>
    <w:rsid w:val="008932F6"/>
    <w:rsid w:val="008A2E9D"/>
    <w:rsid w:val="008A30F7"/>
    <w:rsid w:val="008A59A6"/>
    <w:rsid w:val="008B1162"/>
    <w:rsid w:val="008B29DE"/>
    <w:rsid w:val="008B3039"/>
    <w:rsid w:val="008C0BA4"/>
    <w:rsid w:val="008D60FF"/>
    <w:rsid w:val="008E254B"/>
    <w:rsid w:val="008E67E0"/>
    <w:rsid w:val="008F32B0"/>
    <w:rsid w:val="0090214F"/>
    <w:rsid w:val="009035F2"/>
    <w:rsid w:val="0090408E"/>
    <w:rsid w:val="00920FBB"/>
    <w:rsid w:val="00921398"/>
    <w:rsid w:val="00921CC4"/>
    <w:rsid w:val="00924822"/>
    <w:rsid w:val="00927A4E"/>
    <w:rsid w:val="0093075D"/>
    <w:rsid w:val="00933BE6"/>
    <w:rsid w:val="0094131F"/>
    <w:rsid w:val="00944E00"/>
    <w:rsid w:val="00945B81"/>
    <w:rsid w:val="009471B1"/>
    <w:rsid w:val="00962599"/>
    <w:rsid w:val="00963C65"/>
    <w:rsid w:val="00965B06"/>
    <w:rsid w:val="0096601E"/>
    <w:rsid w:val="00967BBD"/>
    <w:rsid w:val="009716CE"/>
    <w:rsid w:val="00974E25"/>
    <w:rsid w:val="00976DE3"/>
    <w:rsid w:val="0097748B"/>
    <w:rsid w:val="00994286"/>
    <w:rsid w:val="009946A6"/>
    <w:rsid w:val="009A4FF1"/>
    <w:rsid w:val="009B4124"/>
    <w:rsid w:val="009D2768"/>
    <w:rsid w:val="009D674E"/>
    <w:rsid w:val="009E016A"/>
    <w:rsid w:val="009F0C28"/>
    <w:rsid w:val="009F3F61"/>
    <w:rsid w:val="00A04206"/>
    <w:rsid w:val="00A056FF"/>
    <w:rsid w:val="00A1278C"/>
    <w:rsid w:val="00A201B9"/>
    <w:rsid w:val="00A23E6F"/>
    <w:rsid w:val="00A24A2C"/>
    <w:rsid w:val="00A30DC0"/>
    <w:rsid w:val="00A32883"/>
    <w:rsid w:val="00A34D21"/>
    <w:rsid w:val="00A43BBD"/>
    <w:rsid w:val="00A4474B"/>
    <w:rsid w:val="00A455E5"/>
    <w:rsid w:val="00A45A56"/>
    <w:rsid w:val="00A66B46"/>
    <w:rsid w:val="00A67FE7"/>
    <w:rsid w:val="00A7380B"/>
    <w:rsid w:val="00A8308E"/>
    <w:rsid w:val="00A84E97"/>
    <w:rsid w:val="00A85F5C"/>
    <w:rsid w:val="00A92C4F"/>
    <w:rsid w:val="00A93913"/>
    <w:rsid w:val="00A97CB6"/>
    <w:rsid w:val="00AA0B50"/>
    <w:rsid w:val="00AA48E2"/>
    <w:rsid w:val="00AA5738"/>
    <w:rsid w:val="00AA71A8"/>
    <w:rsid w:val="00AA7A12"/>
    <w:rsid w:val="00AB54EE"/>
    <w:rsid w:val="00AC6DD8"/>
    <w:rsid w:val="00AD6731"/>
    <w:rsid w:val="00AE1DB7"/>
    <w:rsid w:val="00AF12AF"/>
    <w:rsid w:val="00AF5301"/>
    <w:rsid w:val="00B06544"/>
    <w:rsid w:val="00B1013F"/>
    <w:rsid w:val="00B22689"/>
    <w:rsid w:val="00B239FE"/>
    <w:rsid w:val="00B24E5B"/>
    <w:rsid w:val="00B46005"/>
    <w:rsid w:val="00B537BC"/>
    <w:rsid w:val="00B54373"/>
    <w:rsid w:val="00B66A7C"/>
    <w:rsid w:val="00B71B2D"/>
    <w:rsid w:val="00B76CC9"/>
    <w:rsid w:val="00B806EB"/>
    <w:rsid w:val="00B862E4"/>
    <w:rsid w:val="00BC4724"/>
    <w:rsid w:val="00BD2FEF"/>
    <w:rsid w:val="00BE212F"/>
    <w:rsid w:val="00BE6DFA"/>
    <w:rsid w:val="00C14C3A"/>
    <w:rsid w:val="00C1580F"/>
    <w:rsid w:val="00C168F0"/>
    <w:rsid w:val="00C20E5C"/>
    <w:rsid w:val="00C21521"/>
    <w:rsid w:val="00C27839"/>
    <w:rsid w:val="00C27FF7"/>
    <w:rsid w:val="00C3460D"/>
    <w:rsid w:val="00C35ADD"/>
    <w:rsid w:val="00C42AA7"/>
    <w:rsid w:val="00C459EB"/>
    <w:rsid w:val="00C56106"/>
    <w:rsid w:val="00C66A3A"/>
    <w:rsid w:val="00C70D5D"/>
    <w:rsid w:val="00C77EA2"/>
    <w:rsid w:val="00C80C28"/>
    <w:rsid w:val="00C8525B"/>
    <w:rsid w:val="00C90897"/>
    <w:rsid w:val="00CA1400"/>
    <w:rsid w:val="00CA583A"/>
    <w:rsid w:val="00CB00EE"/>
    <w:rsid w:val="00CB1059"/>
    <w:rsid w:val="00CB572E"/>
    <w:rsid w:val="00CB589B"/>
    <w:rsid w:val="00CB6C57"/>
    <w:rsid w:val="00CB73BB"/>
    <w:rsid w:val="00CC007A"/>
    <w:rsid w:val="00CC25AD"/>
    <w:rsid w:val="00CD1161"/>
    <w:rsid w:val="00CD3C44"/>
    <w:rsid w:val="00CD5D9D"/>
    <w:rsid w:val="00CE0F9B"/>
    <w:rsid w:val="00CE6BC5"/>
    <w:rsid w:val="00CF27EE"/>
    <w:rsid w:val="00CF6361"/>
    <w:rsid w:val="00CF6989"/>
    <w:rsid w:val="00CF72FB"/>
    <w:rsid w:val="00D07AD6"/>
    <w:rsid w:val="00D120A8"/>
    <w:rsid w:val="00D127B3"/>
    <w:rsid w:val="00D1388E"/>
    <w:rsid w:val="00D17353"/>
    <w:rsid w:val="00D208C5"/>
    <w:rsid w:val="00D21C5C"/>
    <w:rsid w:val="00D22B44"/>
    <w:rsid w:val="00D23475"/>
    <w:rsid w:val="00D24441"/>
    <w:rsid w:val="00D36639"/>
    <w:rsid w:val="00D4522F"/>
    <w:rsid w:val="00D46D46"/>
    <w:rsid w:val="00D5191F"/>
    <w:rsid w:val="00D539DE"/>
    <w:rsid w:val="00D578A4"/>
    <w:rsid w:val="00D60BA9"/>
    <w:rsid w:val="00D66E12"/>
    <w:rsid w:val="00D6783B"/>
    <w:rsid w:val="00D7477D"/>
    <w:rsid w:val="00D8046B"/>
    <w:rsid w:val="00D93FFA"/>
    <w:rsid w:val="00DC176E"/>
    <w:rsid w:val="00DC24F7"/>
    <w:rsid w:val="00DC3327"/>
    <w:rsid w:val="00DE2595"/>
    <w:rsid w:val="00DF4B34"/>
    <w:rsid w:val="00E0184E"/>
    <w:rsid w:val="00E0480B"/>
    <w:rsid w:val="00E14F97"/>
    <w:rsid w:val="00E22E0C"/>
    <w:rsid w:val="00E27037"/>
    <w:rsid w:val="00E42CE6"/>
    <w:rsid w:val="00E45C03"/>
    <w:rsid w:val="00E46B52"/>
    <w:rsid w:val="00E47C3E"/>
    <w:rsid w:val="00E47DA6"/>
    <w:rsid w:val="00E537E4"/>
    <w:rsid w:val="00E54506"/>
    <w:rsid w:val="00E555DC"/>
    <w:rsid w:val="00E60655"/>
    <w:rsid w:val="00E66018"/>
    <w:rsid w:val="00E67E87"/>
    <w:rsid w:val="00E71386"/>
    <w:rsid w:val="00E71B94"/>
    <w:rsid w:val="00E850B1"/>
    <w:rsid w:val="00EB4A01"/>
    <w:rsid w:val="00EC0B0E"/>
    <w:rsid w:val="00EC4BAE"/>
    <w:rsid w:val="00EC6612"/>
    <w:rsid w:val="00EC66F6"/>
    <w:rsid w:val="00ED5B09"/>
    <w:rsid w:val="00EE03F8"/>
    <w:rsid w:val="00EE13A3"/>
    <w:rsid w:val="00EE76F0"/>
    <w:rsid w:val="00EF057F"/>
    <w:rsid w:val="00EF5A46"/>
    <w:rsid w:val="00F063B7"/>
    <w:rsid w:val="00F14722"/>
    <w:rsid w:val="00F21172"/>
    <w:rsid w:val="00F31704"/>
    <w:rsid w:val="00F419C4"/>
    <w:rsid w:val="00F42E1B"/>
    <w:rsid w:val="00F51FF8"/>
    <w:rsid w:val="00F56E2D"/>
    <w:rsid w:val="00F66025"/>
    <w:rsid w:val="00F82001"/>
    <w:rsid w:val="00FA7CAD"/>
    <w:rsid w:val="00FA7F95"/>
    <w:rsid w:val="00FB7519"/>
    <w:rsid w:val="00FC7984"/>
    <w:rsid w:val="00FD4936"/>
    <w:rsid w:val="00FE00F5"/>
    <w:rsid w:val="00FF1379"/>
    <w:rsid w:val="018F9CF4"/>
    <w:rsid w:val="03388803"/>
    <w:rsid w:val="03552528"/>
    <w:rsid w:val="049B6255"/>
    <w:rsid w:val="04D45864"/>
    <w:rsid w:val="067028C5"/>
    <w:rsid w:val="06FA8D46"/>
    <w:rsid w:val="09A7C987"/>
    <w:rsid w:val="0A43DA4D"/>
    <w:rsid w:val="0B7B794D"/>
    <w:rsid w:val="0D145C71"/>
    <w:rsid w:val="0DA223B8"/>
    <w:rsid w:val="0EB31A0F"/>
    <w:rsid w:val="1484434F"/>
    <w:rsid w:val="167511B8"/>
    <w:rsid w:val="1A90DE5E"/>
    <w:rsid w:val="1CF58E13"/>
    <w:rsid w:val="1D7C65EF"/>
    <w:rsid w:val="1F7DAAAF"/>
    <w:rsid w:val="22F4A18E"/>
    <w:rsid w:val="2364CF97"/>
    <w:rsid w:val="24447AA1"/>
    <w:rsid w:val="25009FF8"/>
    <w:rsid w:val="25E32814"/>
    <w:rsid w:val="26EB9AA6"/>
    <w:rsid w:val="294286EE"/>
    <w:rsid w:val="2C63A46F"/>
    <w:rsid w:val="2DE69070"/>
    <w:rsid w:val="2E1FC419"/>
    <w:rsid w:val="2F9B4531"/>
    <w:rsid w:val="2FA6A77F"/>
    <w:rsid w:val="31CA72C2"/>
    <w:rsid w:val="32B9BD96"/>
    <w:rsid w:val="36BD6096"/>
    <w:rsid w:val="3930ECA0"/>
    <w:rsid w:val="3ACCBD01"/>
    <w:rsid w:val="3C688D62"/>
    <w:rsid w:val="3D1CC69C"/>
    <w:rsid w:val="3E5CD859"/>
    <w:rsid w:val="407AC8BA"/>
    <w:rsid w:val="4122D628"/>
    <w:rsid w:val="41504A18"/>
    <w:rsid w:val="4251BB72"/>
    <w:rsid w:val="426AE3CF"/>
    <w:rsid w:val="43E25B5B"/>
    <w:rsid w:val="44739F47"/>
    <w:rsid w:val="447A03CC"/>
    <w:rsid w:val="46EA0A3E"/>
    <w:rsid w:val="4F482584"/>
    <w:rsid w:val="50DF3599"/>
    <w:rsid w:val="53DB3879"/>
    <w:rsid w:val="54630E90"/>
    <w:rsid w:val="57002E08"/>
    <w:rsid w:val="57EC0375"/>
    <w:rsid w:val="5872DB51"/>
    <w:rsid w:val="59CAE3B3"/>
    <w:rsid w:val="5A6FAE2F"/>
    <w:rsid w:val="5BBF8742"/>
    <w:rsid w:val="5E426099"/>
    <w:rsid w:val="5F6407E8"/>
    <w:rsid w:val="6024DAE4"/>
    <w:rsid w:val="6231A5D8"/>
    <w:rsid w:val="63B3E8A3"/>
    <w:rsid w:val="63C588B3"/>
    <w:rsid w:val="63CD7639"/>
    <w:rsid w:val="6433D63B"/>
    <w:rsid w:val="6569469A"/>
    <w:rsid w:val="6601594D"/>
    <w:rsid w:val="66D4065D"/>
    <w:rsid w:val="66EDEF3E"/>
    <w:rsid w:val="66FD2975"/>
    <w:rsid w:val="680A14C5"/>
    <w:rsid w:val="68A0E75C"/>
    <w:rsid w:val="6CBF1295"/>
    <w:rsid w:val="6D6C6AF9"/>
    <w:rsid w:val="6E93F372"/>
    <w:rsid w:val="7033DDB2"/>
    <w:rsid w:val="719812AB"/>
    <w:rsid w:val="723FDC1C"/>
    <w:rsid w:val="7265FA5E"/>
    <w:rsid w:val="7825C73A"/>
    <w:rsid w:val="7A29B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78B1"/>
  <w15:chartTrackingRefBased/>
  <w15:docId w15:val="{9CC381CC-7CE1-4A3D-B734-723DECA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F8"/>
    <w:pPr>
      <w:ind w:left="720"/>
      <w:contextualSpacing/>
    </w:pPr>
  </w:style>
  <w:style w:type="paragraph" w:styleId="Header">
    <w:name w:val="header"/>
    <w:basedOn w:val="Normal"/>
    <w:link w:val="HeaderChar"/>
    <w:uiPriority w:val="99"/>
    <w:unhideWhenUsed/>
    <w:rsid w:val="006F2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CE"/>
  </w:style>
  <w:style w:type="paragraph" w:styleId="Footer">
    <w:name w:val="footer"/>
    <w:basedOn w:val="Normal"/>
    <w:link w:val="FooterChar"/>
    <w:uiPriority w:val="99"/>
    <w:unhideWhenUsed/>
    <w:rsid w:val="006F2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CE"/>
  </w:style>
  <w:style w:type="character" w:styleId="CommentReference">
    <w:name w:val="annotation reference"/>
    <w:basedOn w:val="DefaultParagraphFont"/>
    <w:uiPriority w:val="99"/>
    <w:semiHidden/>
    <w:unhideWhenUsed/>
    <w:rsid w:val="00E555DC"/>
    <w:rPr>
      <w:sz w:val="16"/>
      <w:szCs w:val="16"/>
    </w:rPr>
  </w:style>
  <w:style w:type="paragraph" w:styleId="CommentText">
    <w:name w:val="annotation text"/>
    <w:basedOn w:val="Normal"/>
    <w:link w:val="CommentTextChar"/>
    <w:uiPriority w:val="99"/>
    <w:unhideWhenUsed/>
    <w:rsid w:val="00E555DC"/>
    <w:pPr>
      <w:spacing w:line="240" w:lineRule="auto"/>
    </w:pPr>
    <w:rPr>
      <w:sz w:val="20"/>
      <w:szCs w:val="20"/>
    </w:rPr>
  </w:style>
  <w:style w:type="character" w:customStyle="1" w:styleId="CommentTextChar">
    <w:name w:val="Comment Text Char"/>
    <w:basedOn w:val="DefaultParagraphFont"/>
    <w:link w:val="CommentText"/>
    <w:uiPriority w:val="99"/>
    <w:rsid w:val="00E555DC"/>
    <w:rPr>
      <w:sz w:val="20"/>
      <w:szCs w:val="20"/>
    </w:rPr>
  </w:style>
  <w:style w:type="paragraph" w:styleId="CommentSubject">
    <w:name w:val="annotation subject"/>
    <w:basedOn w:val="CommentText"/>
    <w:next w:val="CommentText"/>
    <w:link w:val="CommentSubjectChar"/>
    <w:uiPriority w:val="99"/>
    <w:semiHidden/>
    <w:unhideWhenUsed/>
    <w:rsid w:val="00E555DC"/>
    <w:rPr>
      <w:b/>
      <w:bCs/>
    </w:rPr>
  </w:style>
  <w:style w:type="character" w:customStyle="1" w:styleId="CommentSubjectChar">
    <w:name w:val="Comment Subject Char"/>
    <w:basedOn w:val="CommentTextChar"/>
    <w:link w:val="CommentSubject"/>
    <w:uiPriority w:val="99"/>
    <w:semiHidden/>
    <w:rsid w:val="00E555DC"/>
    <w:rPr>
      <w:b/>
      <w:bCs/>
      <w:sz w:val="20"/>
      <w:szCs w:val="20"/>
    </w:rPr>
  </w:style>
  <w:style w:type="paragraph" w:styleId="NormalWeb">
    <w:name w:val="Normal (Web)"/>
    <w:basedOn w:val="Normal"/>
    <w:uiPriority w:val="99"/>
    <w:unhideWhenUsed/>
    <w:rsid w:val="00015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sid w:val="008932F6"/>
    <w:rPr>
      <w:i/>
      <w:iCs/>
    </w:rPr>
  </w:style>
  <w:style w:type="character" w:customStyle="1" w:styleId="cf01">
    <w:name w:val="cf01"/>
    <w:basedOn w:val="DefaultParagraphFont"/>
    <w:rsid w:val="00E537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6991">
      <w:bodyDiv w:val="1"/>
      <w:marLeft w:val="0"/>
      <w:marRight w:val="0"/>
      <w:marTop w:val="0"/>
      <w:marBottom w:val="0"/>
      <w:divBdr>
        <w:top w:val="none" w:sz="0" w:space="0" w:color="auto"/>
        <w:left w:val="none" w:sz="0" w:space="0" w:color="auto"/>
        <w:bottom w:val="none" w:sz="0" w:space="0" w:color="auto"/>
        <w:right w:val="none" w:sz="0" w:space="0" w:color="auto"/>
      </w:divBdr>
    </w:div>
    <w:div w:id="701976720">
      <w:bodyDiv w:val="1"/>
      <w:marLeft w:val="0"/>
      <w:marRight w:val="0"/>
      <w:marTop w:val="0"/>
      <w:marBottom w:val="0"/>
      <w:divBdr>
        <w:top w:val="none" w:sz="0" w:space="0" w:color="auto"/>
        <w:left w:val="none" w:sz="0" w:space="0" w:color="auto"/>
        <w:bottom w:val="none" w:sz="0" w:space="0" w:color="auto"/>
        <w:right w:val="none" w:sz="0" w:space="0" w:color="auto"/>
      </w:divBdr>
      <w:divsChild>
        <w:div w:id="1204826294">
          <w:marLeft w:val="0"/>
          <w:marRight w:val="0"/>
          <w:marTop w:val="0"/>
          <w:marBottom w:val="0"/>
          <w:divBdr>
            <w:top w:val="none" w:sz="0" w:space="0" w:color="auto"/>
            <w:left w:val="none" w:sz="0" w:space="0" w:color="auto"/>
            <w:bottom w:val="none" w:sz="0" w:space="0" w:color="auto"/>
            <w:right w:val="none" w:sz="0" w:space="0" w:color="auto"/>
          </w:divBdr>
          <w:divsChild>
            <w:div w:id="394133572">
              <w:marLeft w:val="0"/>
              <w:marRight w:val="0"/>
              <w:marTop w:val="0"/>
              <w:marBottom w:val="0"/>
              <w:divBdr>
                <w:top w:val="none" w:sz="0" w:space="0" w:color="auto"/>
                <w:left w:val="none" w:sz="0" w:space="0" w:color="auto"/>
                <w:bottom w:val="none" w:sz="0" w:space="0" w:color="auto"/>
                <w:right w:val="none" w:sz="0" w:space="0" w:color="auto"/>
              </w:divBdr>
            </w:div>
          </w:divsChild>
        </w:div>
        <w:div w:id="956370712">
          <w:blockQuote w:val="1"/>
          <w:marLeft w:val="0"/>
          <w:marRight w:val="0"/>
          <w:marTop w:val="0"/>
          <w:marBottom w:val="0"/>
          <w:divBdr>
            <w:top w:val="none" w:sz="0" w:space="0" w:color="auto"/>
            <w:left w:val="none" w:sz="0" w:space="0" w:color="auto"/>
            <w:bottom w:val="none" w:sz="0" w:space="0" w:color="auto"/>
            <w:right w:val="none" w:sz="0" w:space="0" w:color="auto"/>
          </w:divBdr>
          <w:divsChild>
            <w:div w:id="1086539168">
              <w:marLeft w:val="0"/>
              <w:marRight w:val="0"/>
              <w:marTop w:val="0"/>
              <w:marBottom w:val="0"/>
              <w:divBdr>
                <w:top w:val="none" w:sz="0" w:space="0" w:color="auto"/>
                <w:left w:val="none" w:sz="0" w:space="0" w:color="auto"/>
                <w:bottom w:val="none" w:sz="0" w:space="0" w:color="auto"/>
                <w:right w:val="none" w:sz="0" w:space="0" w:color="auto"/>
              </w:divBdr>
              <w:divsChild>
                <w:div w:id="320156700">
                  <w:marLeft w:val="0"/>
                  <w:marRight w:val="0"/>
                  <w:marTop w:val="0"/>
                  <w:marBottom w:val="0"/>
                  <w:divBdr>
                    <w:top w:val="none" w:sz="0" w:space="0" w:color="auto"/>
                    <w:left w:val="none" w:sz="0" w:space="0" w:color="auto"/>
                    <w:bottom w:val="none" w:sz="0" w:space="0" w:color="auto"/>
                    <w:right w:val="none" w:sz="0" w:space="0" w:color="auto"/>
                  </w:divBdr>
                  <w:divsChild>
                    <w:div w:id="1115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29852">
      <w:bodyDiv w:val="1"/>
      <w:marLeft w:val="0"/>
      <w:marRight w:val="0"/>
      <w:marTop w:val="0"/>
      <w:marBottom w:val="0"/>
      <w:divBdr>
        <w:top w:val="none" w:sz="0" w:space="0" w:color="auto"/>
        <w:left w:val="none" w:sz="0" w:space="0" w:color="auto"/>
        <w:bottom w:val="none" w:sz="0" w:space="0" w:color="auto"/>
        <w:right w:val="none" w:sz="0" w:space="0" w:color="auto"/>
      </w:divBdr>
    </w:div>
    <w:div w:id="892081464">
      <w:bodyDiv w:val="1"/>
      <w:marLeft w:val="0"/>
      <w:marRight w:val="0"/>
      <w:marTop w:val="0"/>
      <w:marBottom w:val="0"/>
      <w:divBdr>
        <w:top w:val="none" w:sz="0" w:space="0" w:color="auto"/>
        <w:left w:val="none" w:sz="0" w:space="0" w:color="auto"/>
        <w:bottom w:val="none" w:sz="0" w:space="0" w:color="auto"/>
        <w:right w:val="none" w:sz="0" w:space="0" w:color="auto"/>
      </w:divBdr>
    </w:div>
    <w:div w:id="1929805413">
      <w:bodyDiv w:val="1"/>
      <w:marLeft w:val="0"/>
      <w:marRight w:val="0"/>
      <w:marTop w:val="0"/>
      <w:marBottom w:val="0"/>
      <w:divBdr>
        <w:top w:val="none" w:sz="0" w:space="0" w:color="auto"/>
        <w:left w:val="none" w:sz="0" w:space="0" w:color="auto"/>
        <w:bottom w:val="none" w:sz="0" w:space="0" w:color="auto"/>
        <w:right w:val="none" w:sz="0" w:space="0" w:color="auto"/>
      </w:divBdr>
    </w:div>
    <w:div w:id="1953055725">
      <w:bodyDiv w:val="1"/>
      <w:marLeft w:val="0"/>
      <w:marRight w:val="0"/>
      <w:marTop w:val="0"/>
      <w:marBottom w:val="0"/>
      <w:divBdr>
        <w:top w:val="none" w:sz="0" w:space="0" w:color="auto"/>
        <w:left w:val="none" w:sz="0" w:space="0" w:color="auto"/>
        <w:bottom w:val="none" w:sz="0" w:space="0" w:color="auto"/>
        <w:right w:val="none" w:sz="0" w:space="0" w:color="auto"/>
      </w:divBdr>
    </w:div>
    <w:div w:id="19547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lii.org/uk/cases/UKHL/1995/16.html" TargetMode="External"/><Relationship Id="rId5" Type="http://schemas.openxmlformats.org/officeDocument/2006/relationships/styles" Target="styles.xml"/><Relationship Id="rId10" Type="http://schemas.openxmlformats.org/officeDocument/2006/relationships/hyperlink" Target="https://www.proceduresonline.com/lancashirecsc/p_written_agree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A7D6679437246A58C7E060CA4407D" ma:contentTypeVersion="13" ma:contentTypeDescription="Create a new document." ma:contentTypeScope="" ma:versionID="ea243176adc64d7b62f4e9a93a05565c">
  <xsd:schema xmlns:xsd="http://www.w3.org/2001/XMLSchema" xmlns:xs="http://www.w3.org/2001/XMLSchema" xmlns:p="http://schemas.microsoft.com/office/2006/metadata/properties" xmlns:ns2="b15f4876-e7cb-414d-b8e5-3e796932808b" xmlns:ns3="db6ea7bd-5f05-4f12-8d08-84dc903f89d0" targetNamespace="http://schemas.microsoft.com/office/2006/metadata/properties" ma:root="true" ma:fieldsID="f5d30d27cee8786519eb0caebb9eb3f1" ns2:_="" ns3:_="">
    <xsd:import namespace="b15f4876-e7cb-414d-b8e5-3e796932808b"/>
    <xsd:import namespace="db6ea7bd-5f05-4f12-8d08-84dc903f8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4876-e7cb-414d-b8e5-3e7969328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6ea7bd-5f05-4f12-8d08-84dc903f89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18766c-2694-4805-8899-2e858cafcd01}" ma:internalName="TaxCatchAll" ma:showField="CatchAllData" ma:web="db6ea7bd-5f05-4f12-8d08-84dc903f8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6ea7bd-5f05-4f12-8d08-84dc903f89d0">
      <UserInfo>
        <DisplayName>Tabe, Rebecca</DisplayName>
        <AccountId>357</AccountId>
        <AccountType/>
      </UserInfo>
      <UserInfo>
        <DisplayName>Rasul, Rahit</DisplayName>
        <AccountId>547</AccountId>
        <AccountType/>
      </UserInfo>
      <UserInfo>
        <DisplayName>Denbigh, Paul</DisplayName>
        <AccountId>289</AccountId>
        <AccountType/>
      </UserInfo>
      <UserInfo>
        <DisplayName>Benson, Zoe</DisplayName>
        <AccountId>366</AccountId>
        <AccountType/>
      </UserInfo>
      <UserInfo>
        <DisplayName>Dodd, Stephanie</DisplayName>
        <AccountId>324</AccountId>
        <AccountType/>
      </UserInfo>
      <UserInfo>
        <DisplayName>Riley, Sophie</DisplayName>
        <AccountId>385</AccountId>
        <AccountType/>
      </UserInfo>
      <UserInfo>
        <DisplayName>Knowles, Peter</DisplayName>
        <AccountId>23</AccountId>
        <AccountType/>
      </UserInfo>
    </SharedWithUsers>
    <lcf76f155ced4ddcb4097134ff3c332f xmlns="b15f4876-e7cb-414d-b8e5-3e796932808b">
      <Terms xmlns="http://schemas.microsoft.com/office/infopath/2007/PartnerControls"/>
    </lcf76f155ced4ddcb4097134ff3c332f>
    <TaxCatchAll xmlns="db6ea7bd-5f05-4f12-8d08-84dc903f89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2C5ED-B708-4D07-B004-337DAA9D9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4876-e7cb-414d-b8e5-3e796932808b"/>
    <ds:schemaRef ds:uri="db6ea7bd-5f05-4f12-8d08-84dc903f8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2806D-4223-40DD-B79B-2893E9965D9B}">
  <ds:schemaRefs>
    <ds:schemaRef ds:uri="http://schemas.microsoft.com/office/2006/metadata/properties"/>
    <ds:schemaRef ds:uri="http://schemas.microsoft.com/office/infopath/2007/PartnerControls"/>
    <ds:schemaRef ds:uri="db6ea7bd-5f05-4f12-8d08-84dc903f89d0"/>
    <ds:schemaRef ds:uri="b15f4876-e7cb-414d-b8e5-3e796932808b"/>
  </ds:schemaRefs>
</ds:datastoreItem>
</file>

<file path=customXml/itemProps3.xml><?xml version="1.0" encoding="utf-8"?>
<ds:datastoreItem xmlns:ds="http://schemas.openxmlformats.org/officeDocument/2006/customXml" ds:itemID="{67C0B179-5FAB-4737-9187-51CF786A9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Burns, Natalie</cp:lastModifiedBy>
  <cp:revision>2</cp:revision>
  <dcterms:created xsi:type="dcterms:W3CDTF">2024-05-23T11:29:00Z</dcterms:created>
  <dcterms:modified xsi:type="dcterms:W3CDTF">2024-05-23T11:29:00Z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0x0101008B8A7D6679437246A58C7E060CA4407D</vt:lpwstr>
  </property>
</Properties>
</file>