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BoldMT" w:hAnsi="Arial-BoldMT" w:cs="Arial-BoldMT"/>
          <w:b/>
          <w:b/>
          <w:bCs/>
          <w:sz w:val="32"/>
          <w:szCs w:val="32"/>
        </w:rPr>
      </w:pPr>
      <w:r>
        <w:rPr>
          <w:rFonts w:cs="Arial-BoldMT" w:ascii="Arial-BoldMT" w:hAnsi="Arial-BoldMT"/>
          <w:b/>
          <w:bCs/>
          <w:sz w:val="32"/>
          <w:szCs w:val="32"/>
        </w:rPr>
        <w:drawing>
          <wp:inline distT="0" distB="0" distL="0" distR="0">
            <wp:extent cx="674370" cy="680085"/>
            <wp:effectExtent l="0" t="0" r="0" b="0"/>
            <wp:docPr id="1" name="graphic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1" descr=""/>
                    <pic:cNvPicPr>
                      <a:picLocks noChangeAspect="1" noChangeArrowheads="1"/>
                    </pic:cNvPicPr>
                  </pic:nvPicPr>
                  <pic:blipFill>
                    <a:blip r:embed="rId2"/>
                    <a:stretch>
                      <a:fillRect/>
                    </a:stretch>
                  </pic:blipFill>
                  <pic:spPr bwMode="auto">
                    <a:xfrm>
                      <a:off x="0" y="0"/>
                      <a:ext cx="674370" cy="680085"/>
                    </a:xfrm>
                    <a:prstGeom prst="rect">
                      <a:avLst/>
                    </a:prstGeom>
                  </pic:spPr>
                </pic:pic>
              </a:graphicData>
            </a:graphic>
          </wp:inline>
        </w:drawing>
      </w:r>
    </w:p>
    <w:p>
      <w:pPr>
        <w:pStyle w:val="Normal"/>
        <w:spacing w:before="113" w:after="0"/>
        <w:jc w:val="center"/>
        <w:rPr>
          <w:rFonts w:ascii="Arial" w:hAnsi="Arial" w:cs="Arial-BoldMT"/>
          <w:b/>
          <w:b/>
          <w:bCs/>
          <w:sz w:val="28"/>
          <w:szCs w:val="28"/>
        </w:rPr>
      </w:pPr>
      <w:r>
        <w:rPr>
          <w:rFonts w:cs="Arial-BoldMT" w:ascii="Arial" w:hAnsi="Arial"/>
          <w:b/>
          <w:bCs/>
          <w:sz w:val="28"/>
          <w:szCs w:val="28"/>
        </w:rPr>
        <w:t>Bristol City Council</w:t>
      </w:r>
    </w:p>
    <w:p>
      <w:pPr>
        <w:pStyle w:val="Normal"/>
        <w:jc w:val="center"/>
        <w:rPr>
          <w:rFonts w:ascii="Arial" w:hAnsi="Arial" w:cs="Arial-BoldMT"/>
          <w:b w:val="false"/>
          <w:b w:val="false"/>
          <w:bCs w:val="false"/>
        </w:rPr>
      </w:pPr>
      <w:r>
        <w:rPr>
          <w:rFonts w:cs="Arial-BoldMT" w:ascii="Arial" w:hAnsi="Arial"/>
          <w:b w:val="false"/>
          <w:bCs w:val="false"/>
        </w:rPr>
      </w:r>
    </w:p>
    <w:p>
      <w:pPr>
        <w:pStyle w:val="Normal"/>
        <w:jc w:val="center"/>
        <w:rPr>
          <w:rFonts w:ascii="Arial" w:hAnsi="Arial" w:cs="Arial-BoldMT"/>
          <w:b w:val="false"/>
          <w:b w:val="false"/>
          <w:bCs w:val="false"/>
        </w:rPr>
      </w:pPr>
      <w:r>
        <w:rPr>
          <w:rFonts w:cs="Arial-BoldMT" w:ascii="Arial" w:hAnsi="Arial"/>
          <w:b w:val="false"/>
          <w:bCs w:val="false"/>
        </w:rPr>
        <w:t>Children and Young Peoples Service</w:t>
      </w:r>
    </w:p>
    <w:p>
      <w:pPr>
        <w:pStyle w:val="Normal"/>
        <w:jc w:val="center"/>
        <w:rPr>
          <w:rFonts w:ascii="Arial" w:hAnsi="Arial" w:cs="Arial"/>
          <w:b w:val="false"/>
          <w:b w:val="false"/>
          <w:bCs w:val="false"/>
        </w:rPr>
      </w:pPr>
      <w:r>
        <w:rPr>
          <w:rFonts w:cs="Arial" w:ascii="Arial" w:hAnsi="Arial"/>
          <w:b w:val="false"/>
          <w:bCs w:val="false"/>
        </w:rPr>
        <w:t>Individual Supervision Agreement</w:t>
      </w:r>
    </w:p>
    <w:p>
      <w:pPr>
        <w:pStyle w:val="Normal"/>
        <w:jc w:val="center"/>
        <w:rPr>
          <w:rFonts w:ascii="Arial" w:hAnsi="Arial" w:cs="Arial"/>
          <w:b/>
          <w:b/>
        </w:rPr>
      </w:pPr>
      <w:r>
        <w:rPr>
          <w:rFonts w:cs="Arial" w:ascii="Arial" w:hAnsi="Arial"/>
          <w:b/>
        </w:rPr>
      </w:r>
    </w:p>
    <w:tbl>
      <w:tblPr>
        <w:tblW w:w="9972"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950"/>
        <w:gridCol w:w="4030"/>
        <w:gridCol w:w="1444"/>
        <w:gridCol w:w="3548"/>
      </w:tblGrid>
      <w:tr>
        <w:trPr/>
        <w:tc>
          <w:tcPr>
            <w:tcW w:w="9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120" w:after="120"/>
              <w:jc w:val="right"/>
              <w:rPr>
                <w:rFonts w:ascii="Arial" w:hAnsi="Arial" w:cs="Arial"/>
                <w:b/>
                <w:b/>
              </w:rPr>
            </w:pPr>
            <w:r>
              <w:rPr>
                <w:rFonts w:cs="Arial" w:ascii="Arial" w:hAnsi="Arial"/>
                <w:b/>
              </w:rPr>
              <w:t>Name:</w:t>
            </w:r>
          </w:p>
        </w:tc>
        <w:tc>
          <w:tcPr>
            <w:tcW w:w="403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120" w:after="120"/>
              <w:rPr>
                <w:rFonts w:ascii="Arial" w:hAnsi="Arial" w:cs="Arial"/>
                <w:b/>
                <w:b/>
                <w:color w:val="FF0000"/>
              </w:rPr>
            </w:pPr>
            <w:r>
              <w:rPr>
                <w:rFonts w:cs="Arial" w:ascii="Arial" w:hAnsi="Arial"/>
                <w:b/>
                <w:color w:val="FF0000"/>
              </w:rPr>
              <w:t>[Supervisee]</w:t>
            </w:r>
          </w:p>
        </w:tc>
        <w:tc>
          <w:tcPr>
            <w:tcW w:w="144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120" w:after="120"/>
              <w:rPr>
                <w:rFonts w:ascii="Arial" w:hAnsi="Arial" w:cs="Arial"/>
                <w:b/>
                <w:b/>
              </w:rPr>
            </w:pPr>
            <w:r>
              <w:rPr>
                <w:rFonts w:cs="Arial" w:ascii="Arial" w:hAnsi="Arial"/>
                <w:b/>
              </w:rPr>
              <w:t>Manager:</w:t>
            </w:r>
          </w:p>
        </w:tc>
        <w:tc>
          <w:tcPr>
            <w:tcW w:w="35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120" w:after="120"/>
              <w:rPr>
                <w:rFonts w:ascii="Arial" w:hAnsi="Arial" w:cs="Arial"/>
                <w:b/>
                <w:b/>
                <w:color w:val="FF0000"/>
              </w:rPr>
            </w:pPr>
            <w:r>
              <w:rPr>
                <w:rFonts w:cs="Arial" w:ascii="Arial" w:hAnsi="Arial"/>
                <w:b/>
                <w:color w:val="FF0000"/>
              </w:rPr>
              <w:t>[Supervisor]</w:t>
            </w:r>
          </w:p>
        </w:tc>
      </w:tr>
      <w:tr>
        <w:trPr/>
        <w:tc>
          <w:tcPr>
            <w:tcW w:w="9972"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120" w:after="120"/>
              <w:rPr>
                <w:rFonts w:ascii="Arial" w:hAnsi="Arial" w:cs="Arial"/>
                <w:b/>
                <w:b/>
              </w:rPr>
            </w:pPr>
            <w:r>
              <w:rPr>
                <w:rFonts w:cs="Arial" w:ascii="Arial" w:hAnsi="Arial"/>
                <w:b/>
              </w:rPr>
              <w:t>Purpose of Supervision:</w:t>
            </w:r>
          </w:p>
          <w:p>
            <w:pPr>
              <w:pStyle w:val="Normal"/>
              <w:spacing w:before="120" w:after="120"/>
              <w:rPr>
                <w:rFonts w:ascii="Arial" w:hAnsi="Arial" w:cs="Arial"/>
              </w:rPr>
            </w:pPr>
            <w:r>
              <w:rPr>
                <w:rFonts w:cs="Arial" w:ascii="Arial" w:hAnsi="Arial"/>
              </w:rPr>
              <w:t xml:space="preserve">The supervision relationship will be based upon mutual respect for each other’s skills, knowledge and experience. </w:t>
            </w:r>
          </w:p>
          <w:p>
            <w:pPr>
              <w:pStyle w:val="Normal"/>
              <w:numPr>
                <w:ilvl w:val="0"/>
                <w:numId w:val="1"/>
              </w:numPr>
              <w:tabs>
                <w:tab w:val="left" w:pos="0" w:leader="none"/>
              </w:tabs>
              <w:spacing w:before="120" w:after="120"/>
              <w:ind w:left="360" w:right="0" w:hanging="360"/>
              <w:rPr>
                <w:rFonts w:ascii="Arial" w:hAnsi="Arial"/>
              </w:rPr>
            </w:pPr>
            <w:r>
              <w:rPr>
                <w:rFonts w:cs="Arial" w:ascii="Arial" w:hAnsi="Arial"/>
                <w:b/>
              </w:rPr>
              <w:t>Accountability</w:t>
            </w:r>
            <w:r>
              <w:rPr>
                <w:rFonts w:cs="Arial" w:ascii="Arial" w:hAnsi="Arial"/>
              </w:rPr>
              <w:t xml:space="preserve"> – Supervision will provide an opportunity to reflect on work objectives; ensure they are in line with CYPS Policies and procedures; and ensure quality services are delivered to the public.</w:t>
            </w:r>
          </w:p>
          <w:p>
            <w:pPr>
              <w:pStyle w:val="Normal"/>
              <w:numPr>
                <w:ilvl w:val="0"/>
                <w:numId w:val="1"/>
              </w:numPr>
              <w:tabs>
                <w:tab w:val="left" w:pos="0" w:leader="none"/>
              </w:tabs>
              <w:spacing w:before="120" w:after="120"/>
              <w:ind w:left="360" w:right="0" w:hanging="360"/>
              <w:rPr>
                <w:rFonts w:ascii="Arial" w:hAnsi="Arial"/>
              </w:rPr>
            </w:pPr>
            <w:r>
              <w:rPr>
                <w:rFonts w:cs="Arial" w:ascii="Arial" w:hAnsi="Arial"/>
                <w:b/>
              </w:rPr>
              <w:t>Professional Development</w:t>
            </w:r>
            <w:r>
              <w:rPr>
                <w:rFonts w:cs="Arial" w:ascii="Arial" w:hAnsi="Arial"/>
              </w:rPr>
              <w:t xml:space="preserve"> – Opportunity for </w:t>
            </w:r>
            <w:r>
              <w:rPr>
                <w:rFonts w:cs="Arial" w:ascii="Arial" w:hAnsi="Arial"/>
                <w:b/>
                <w:color w:val="FF0000"/>
              </w:rPr>
              <w:t xml:space="preserve">[Name] </w:t>
            </w:r>
            <w:r>
              <w:rPr>
                <w:rFonts w:cs="Arial" w:ascii="Arial" w:hAnsi="Arial"/>
              </w:rPr>
              <w:t>to discuss and plan his/her professional development;</w:t>
            </w:r>
          </w:p>
          <w:p>
            <w:pPr>
              <w:pStyle w:val="Normal"/>
              <w:numPr>
                <w:ilvl w:val="0"/>
                <w:numId w:val="1"/>
              </w:numPr>
              <w:tabs>
                <w:tab w:val="left" w:pos="0" w:leader="none"/>
              </w:tabs>
              <w:spacing w:before="120" w:after="120"/>
              <w:ind w:left="360" w:right="0" w:hanging="360"/>
              <w:rPr>
                <w:rFonts w:ascii="Arial" w:hAnsi="Arial"/>
              </w:rPr>
            </w:pPr>
            <w:r>
              <w:rPr>
                <w:rFonts w:cs="Arial" w:ascii="Arial" w:hAnsi="Arial"/>
                <w:b/>
              </w:rPr>
              <w:t>Support</w:t>
            </w:r>
            <w:r>
              <w:rPr>
                <w:rFonts w:cs="Arial" w:ascii="Arial" w:hAnsi="Arial"/>
              </w:rPr>
              <w:t xml:space="preserve"> – opportunity for </w:t>
            </w:r>
            <w:r>
              <w:rPr>
                <w:rFonts w:cs="Arial" w:ascii="Arial" w:hAnsi="Arial"/>
                <w:b/>
                <w:color w:val="FF0000"/>
              </w:rPr>
              <w:t xml:space="preserve">[Name] </w:t>
            </w:r>
            <w:r>
              <w:rPr>
                <w:rFonts w:cs="Arial" w:ascii="Arial" w:hAnsi="Arial"/>
              </w:rPr>
              <w:t>to discuss any support needs that may arise.</w:t>
            </w:r>
          </w:p>
        </w:tc>
      </w:tr>
      <w:tr>
        <w:trPr/>
        <w:tc>
          <w:tcPr>
            <w:tcW w:w="9972"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120" w:after="120"/>
              <w:rPr>
                <w:rFonts w:ascii="Arial" w:hAnsi="Arial" w:cs="Arial"/>
                <w:b/>
                <w:b/>
              </w:rPr>
            </w:pPr>
            <w:r>
              <w:rPr>
                <w:rFonts w:cs="Arial" w:ascii="Arial" w:hAnsi="Arial"/>
                <w:b/>
              </w:rPr>
              <w:t>Supervision Arrangements:</w:t>
            </w:r>
          </w:p>
          <w:p>
            <w:pPr>
              <w:pStyle w:val="Normal"/>
              <w:spacing w:before="120" w:after="120"/>
              <w:rPr/>
            </w:pPr>
            <w:r>
              <w:rPr>
                <w:rFonts w:cs="Arial" w:ascii="Arial" w:hAnsi="Arial"/>
                <w:b/>
              </w:rPr>
              <w:t>Frequency</w:t>
            </w:r>
            <w:r>
              <w:rPr>
                <w:rFonts w:cs="Arial" w:ascii="Arial" w:hAnsi="Arial"/>
              </w:rPr>
              <w:t xml:space="preserve"> - Formal Supervision arrangements will take place every </w:t>
            </w:r>
            <w:r>
              <w:rPr>
                <w:rFonts w:cs="Arial" w:ascii="Arial" w:hAnsi="Arial"/>
                <w:b/>
                <w:color w:val="FF0000"/>
              </w:rPr>
              <w:t>[** see s.12]</w:t>
            </w:r>
            <w:r>
              <w:rPr>
                <w:rFonts w:cs="Arial" w:ascii="Arial" w:hAnsi="Arial"/>
              </w:rPr>
              <w:t xml:space="preserve"> informal support via meetings and telephone contact will happen as required. If supervision is cancelled for any reason the arrangements for the new session must be recorded in the ‘Supervision Monitoring Record’ by the Supervisor.</w:t>
            </w:r>
          </w:p>
          <w:p>
            <w:pPr>
              <w:pStyle w:val="Normal"/>
              <w:spacing w:before="120" w:after="120"/>
              <w:rPr/>
            </w:pPr>
            <w:r>
              <w:rPr>
                <w:rFonts w:cs="Arial" w:ascii="Arial" w:hAnsi="Arial"/>
                <w:b/>
              </w:rPr>
              <w:t>Time</w:t>
            </w:r>
            <w:r>
              <w:rPr>
                <w:rFonts w:cs="Arial" w:ascii="Arial" w:hAnsi="Arial"/>
              </w:rPr>
              <w:t xml:space="preserve"> – Supervision sessions should last no less than </w:t>
            </w:r>
            <w:r>
              <w:rPr>
                <w:rFonts w:cs="Arial" w:ascii="Arial" w:hAnsi="Arial"/>
                <w:b/>
                <w:color w:val="FF0000"/>
              </w:rPr>
              <w:t>[**]</w:t>
            </w:r>
            <w:r>
              <w:rPr>
                <w:rFonts w:cs="Arial" w:ascii="Arial" w:hAnsi="Arial"/>
              </w:rPr>
              <w:t xml:space="preserve"> hours </w:t>
            </w:r>
            <w:r>
              <w:rPr>
                <w:rFonts w:cs="Arial" w:ascii="Arial" w:hAnsi="Arial"/>
                <w:b/>
                <w:color w:val="FF0000"/>
              </w:rPr>
              <w:t>[**]</w:t>
            </w:r>
            <w:r>
              <w:rPr>
                <w:rFonts w:cs="Arial" w:ascii="Arial" w:hAnsi="Arial"/>
              </w:rPr>
              <w:t xml:space="preserve"> mins.</w:t>
            </w:r>
          </w:p>
          <w:p>
            <w:pPr>
              <w:pStyle w:val="Normal"/>
              <w:spacing w:before="120" w:after="120"/>
              <w:rPr/>
            </w:pPr>
            <w:r>
              <w:rPr>
                <w:rFonts w:cs="Arial" w:ascii="Arial" w:hAnsi="Arial"/>
                <w:b/>
              </w:rPr>
              <w:t>Place</w:t>
            </w:r>
            <w:r>
              <w:rPr>
                <w:rFonts w:cs="Arial" w:ascii="Arial" w:hAnsi="Arial"/>
              </w:rPr>
              <w:t xml:space="preserve"> – the venue for supervision sessions will normally be </w:t>
            </w:r>
            <w:r>
              <w:rPr>
                <w:rFonts w:cs="Arial" w:ascii="Arial" w:hAnsi="Arial"/>
                <w:b/>
                <w:color w:val="FF0000"/>
              </w:rPr>
              <w:t>[**]</w:t>
            </w:r>
            <w:r>
              <w:rPr>
                <w:rFonts w:cs="Arial" w:ascii="Arial" w:hAnsi="Arial"/>
              </w:rPr>
              <w:t xml:space="preserve"> Interruptions will be kept to a minimum and ideally be avoided completely. Telephone calls should not be made or accepted during a supervision session unless previously agreed by both parties and only for operational reasons.</w:t>
            </w:r>
          </w:p>
          <w:p>
            <w:pPr>
              <w:pStyle w:val="Normal"/>
              <w:spacing w:before="120" w:after="120"/>
              <w:rPr/>
            </w:pPr>
            <w:r>
              <w:rPr>
                <w:rFonts w:cs="Arial" w:ascii="Arial" w:hAnsi="Arial"/>
                <w:b/>
              </w:rPr>
              <w:t xml:space="preserve">Agenda – </w:t>
            </w:r>
            <w:r>
              <w:rPr>
                <w:rFonts w:cs="Arial" w:ascii="Arial" w:hAnsi="Arial"/>
              </w:rPr>
              <w:t>Any additional items for discussion should be tabled at the start of the supervision session. Supervision sessions should always cover the following: Caseload review, professional development, personal support, HR issues (pay, leave, sickness), issues of equality and diversity should be integral to all areas’ of supervision and not a standalone item.</w:t>
            </w:r>
          </w:p>
          <w:p>
            <w:pPr>
              <w:pStyle w:val="Normal"/>
              <w:spacing w:before="120" w:after="120"/>
              <w:rPr/>
            </w:pPr>
            <w:r>
              <w:rPr>
                <w:rFonts w:cs="Arial" w:ascii="Arial" w:hAnsi="Arial"/>
                <w:b/>
              </w:rPr>
              <w:t>Content</w:t>
            </w:r>
            <w:r>
              <w:rPr>
                <w:rFonts w:cs="Arial" w:ascii="Arial" w:hAnsi="Arial"/>
              </w:rPr>
              <w:t xml:space="preserve"> – Both participants are expected to contribute fully to Supervision sessions and should actively bring items/topics for discussion.</w:t>
            </w:r>
          </w:p>
          <w:p>
            <w:pPr>
              <w:pStyle w:val="Normal"/>
              <w:spacing w:before="120" w:after="120"/>
              <w:rPr/>
            </w:pPr>
            <w:r>
              <w:rPr>
                <w:rFonts w:cs="Arial" w:ascii="Arial" w:hAnsi="Arial"/>
                <w:b/>
              </w:rPr>
              <w:t>Accountability</w:t>
            </w:r>
            <w:r>
              <w:rPr>
                <w:rFonts w:cs="Arial" w:ascii="Arial" w:hAnsi="Arial"/>
              </w:rPr>
              <w:t xml:space="preserve"> – </w:t>
            </w:r>
            <w:r>
              <w:rPr>
                <w:rFonts w:cs="Arial" w:ascii="Arial" w:hAnsi="Arial"/>
                <w:b/>
                <w:color w:val="FF0000"/>
              </w:rPr>
              <w:t>[Supervisee]</w:t>
            </w:r>
            <w:r>
              <w:rPr>
                <w:rFonts w:cs="Arial" w:ascii="Arial" w:hAnsi="Arial"/>
              </w:rPr>
              <w:t xml:space="preserve"> is managed by </w:t>
            </w:r>
            <w:r>
              <w:rPr>
                <w:rFonts w:cs="Arial" w:ascii="Arial" w:hAnsi="Arial"/>
                <w:b/>
                <w:color w:val="FF0000"/>
              </w:rPr>
              <w:t>[Supervisor]</w:t>
            </w:r>
            <w:r>
              <w:rPr>
                <w:rFonts w:cs="Arial" w:ascii="Arial" w:hAnsi="Arial"/>
              </w:rPr>
              <w:t xml:space="preserve"> who in turn is managed by </w:t>
            </w:r>
            <w:r>
              <w:rPr>
                <w:rFonts w:cs="Arial" w:ascii="Arial" w:hAnsi="Arial"/>
                <w:b/>
                <w:color w:val="FF0000"/>
              </w:rPr>
              <w:t>[Supervisor’s Manager]</w:t>
            </w:r>
            <w:r>
              <w:rPr>
                <w:rFonts w:cs="Arial" w:ascii="Arial" w:hAnsi="Arial"/>
              </w:rPr>
              <w:t>.</w:t>
            </w:r>
          </w:p>
          <w:p>
            <w:pPr>
              <w:pStyle w:val="Normal"/>
              <w:spacing w:before="120" w:after="120"/>
              <w:rPr/>
            </w:pPr>
            <w:r>
              <w:rPr>
                <w:rFonts w:cs="Arial" w:ascii="Arial" w:hAnsi="Arial"/>
                <w:b/>
              </w:rPr>
              <w:t>Expectations</w:t>
            </w:r>
            <w:r>
              <w:rPr>
                <w:rFonts w:cs="Arial" w:ascii="Arial" w:hAnsi="Arial"/>
              </w:rPr>
              <w:t xml:space="preserve"> – for supervision to be effective it should take place in an open environment. Both </w:t>
            </w:r>
            <w:r>
              <w:rPr>
                <w:rFonts w:cs="Arial" w:ascii="Arial" w:hAnsi="Arial"/>
                <w:b/>
                <w:color w:val="FF0000"/>
              </w:rPr>
              <w:t xml:space="preserve">[Supervisor] </w:t>
            </w:r>
            <w:r>
              <w:rPr>
                <w:rFonts w:cs="Arial" w:ascii="Arial" w:hAnsi="Arial"/>
              </w:rPr>
              <w:t>and</w:t>
            </w:r>
            <w:r>
              <w:rPr>
                <w:rFonts w:cs="Arial" w:ascii="Arial" w:hAnsi="Arial"/>
                <w:b/>
                <w:color w:val="FF0000"/>
              </w:rPr>
              <w:t xml:space="preserve"> [Supervisee]</w:t>
            </w:r>
            <w:r>
              <w:rPr>
                <w:rFonts w:cs="Arial" w:ascii="Arial" w:hAnsi="Arial"/>
                <w:color w:val="FF0000"/>
              </w:rPr>
              <w:t xml:space="preserve"> </w:t>
            </w:r>
            <w:r>
              <w:rPr>
                <w:rFonts w:cs="Arial" w:ascii="Arial" w:hAnsi="Arial"/>
              </w:rPr>
              <w:t>are responsible for contributing to this.</w:t>
            </w:r>
          </w:p>
          <w:p>
            <w:pPr>
              <w:pStyle w:val="Normal"/>
              <w:spacing w:before="120" w:after="120"/>
              <w:rPr/>
            </w:pPr>
            <w:r>
              <w:rPr>
                <w:rFonts w:cs="Arial" w:ascii="Arial" w:hAnsi="Arial"/>
                <w:b/>
              </w:rPr>
              <w:t>Confidentiality</w:t>
            </w:r>
            <w:r>
              <w:rPr>
                <w:rFonts w:cs="Arial" w:ascii="Arial" w:hAnsi="Arial"/>
              </w:rPr>
              <w:t xml:space="preserve"> – Information relevant to service users is not confidential; it may need to be shared with a variety of other professionals, colleagues and service users. The supervisor will clarify whether other matters discussed during supervision are considered confidential. Where it is necessary to share information with others </w:t>
            </w:r>
            <w:r>
              <w:rPr>
                <w:rFonts w:cs="Arial" w:ascii="Arial" w:hAnsi="Arial"/>
                <w:b/>
                <w:color w:val="FF0000"/>
              </w:rPr>
              <w:t xml:space="preserve">[Supervisor] </w:t>
            </w:r>
            <w:r>
              <w:rPr>
                <w:rFonts w:cs="Arial" w:ascii="Arial" w:hAnsi="Arial"/>
              </w:rPr>
              <w:t>will discuss with</w:t>
            </w:r>
            <w:r>
              <w:rPr>
                <w:rFonts w:cs="Arial" w:ascii="Arial" w:hAnsi="Arial"/>
                <w:b/>
                <w:color w:val="FF0000"/>
              </w:rPr>
              <w:t xml:space="preserve"> [Supervisee]</w:t>
            </w:r>
            <w:r>
              <w:rPr>
                <w:rFonts w:cs="Arial" w:ascii="Arial" w:hAnsi="Arial"/>
              </w:rPr>
              <w:t xml:space="preserve"> before this happens.</w:t>
            </w:r>
          </w:p>
          <w:p>
            <w:pPr>
              <w:pStyle w:val="Normal"/>
              <w:spacing w:before="120" w:after="120"/>
              <w:rPr/>
            </w:pPr>
            <w:r>
              <w:rPr>
                <w:rFonts w:cs="Arial" w:ascii="Arial" w:hAnsi="Arial"/>
                <w:b/>
              </w:rPr>
              <w:t>Recording of Supervision Sessions</w:t>
            </w:r>
            <w:r>
              <w:rPr>
                <w:rFonts w:cs="Arial" w:ascii="Arial" w:hAnsi="Arial"/>
              </w:rPr>
              <w:t xml:space="preserve"> - </w:t>
            </w:r>
            <w:r>
              <w:rPr>
                <w:rFonts w:cs="Arial" w:ascii="Arial" w:hAnsi="Arial"/>
                <w:b/>
                <w:color w:val="FF0000"/>
              </w:rPr>
              <w:t xml:space="preserve">[Supervisor] </w:t>
            </w:r>
            <w:r>
              <w:rPr>
                <w:rFonts w:cs="Arial" w:ascii="Arial" w:hAnsi="Arial"/>
              </w:rPr>
              <w:t xml:space="preserve">will record the sessions and ensure that </w:t>
            </w:r>
            <w:r>
              <w:rPr>
                <w:rFonts w:cs="Arial" w:ascii="Arial" w:hAnsi="Arial"/>
                <w:b/>
                <w:color w:val="FF0000"/>
              </w:rPr>
              <w:t xml:space="preserve">[Supervisee] </w:t>
            </w:r>
            <w:r>
              <w:rPr>
                <w:rFonts w:cs="Arial" w:ascii="Arial" w:hAnsi="Arial"/>
              </w:rPr>
              <w:t>has a</w:t>
            </w:r>
            <w:r>
              <w:rPr>
                <w:rFonts w:cs="Arial" w:ascii="Arial" w:hAnsi="Arial"/>
                <w:color w:val="000000"/>
              </w:rPr>
              <w:t xml:space="preserve"> copy of the supervision notes.</w:t>
            </w:r>
          </w:p>
          <w:p>
            <w:pPr>
              <w:pStyle w:val="Normal"/>
              <w:spacing w:before="120" w:after="120"/>
              <w:rPr/>
            </w:pPr>
            <w:r>
              <w:rPr>
                <w:rFonts w:cs="Arial" w:ascii="Arial" w:hAnsi="Arial"/>
                <w:b/>
              </w:rPr>
              <w:t>Equality and Diversity</w:t>
            </w:r>
            <w:r>
              <w:rPr>
                <w:rFonts w:cs="Arial" w:ascii="Arial" w:hAnsi="Arial"/>
              </w:rPr>
              <w:t xml:space="preserve"> – Both </w:t>
            </w:r>
            <w:r>
              <w:rPr>
                <w:rFonts w:cs="Arial" w:ascii="Arial" w:hAnsi="Arial"/>
                <w:b/>
                <w:color w:val="FF0000"/>
              </w:rPr>
              <w:t>[Supervisor]</w:t>
            </w:r>
            <w:r>
              <w:rPr>
                <w:rFonts w:cs="Arial" w:ascii="Arial" w:hAnsi="Arial"/>
              </w:rPr>
              <w:t xml:space="preserve"> and </w:t>
            </w:r>
            <w:r>
              <w:rPr>
                <w:rFonts w:cs="Arial" w:ascii="Arial" w:hAnsi="Arial"/>
                <w:b/>
                <w:color w:val="FF0000"/>
              </w:rPr>
              <w:t>[Supervisee]</w:t>
            </w:r>
            <w:r>
              <w:rPr>
                <w:rFonts w:cs="Arial" w:ascii="Arial" w:hAnsi="Arial"/>
              </w:rPr>
              <w:t xml:space="preserve"> have responsibility for ensuring that their relationship enables the open and free discussion of any issue relating to equality and diversity. Consideration of these issues should be integral to all areas of discussion within supervision sessions.</w:t>
            </w:r>
          </w:p>
          <w:p>
            <w:pPr>
              <w:pStyle w:val="Normal"/>
              <w:spacing w:before="120" w:after="120"/>
              <w:rPr/>
            </w:pPr>
            <w:r>
              <w:rPr>
                <w:rFonts w:cs="Arial" w:ascii="Arial" w:hAnsi="Arial"/>
                <w:b/>
              </w:rPr>
              <w:t>Review/Evaluation</w:t>
            </w:r>
            <w:r>
              <w:rPr>
                <w:rFonts w:cs="Arial" w:ascii="Arial" w:hAnsi="Arial"/>
              </w:rPr>
              <w:t xml:space="preserve"> – This Supervision agreement should be reviewed annually at the very least. Also either party can request a review at any time should there be a need to do so (i.e. failure by one or other party to adhere to the provisions of the agreement; need to vary frequency of supervision sessions etc).</w:t>
            </w:r>
          </w:p>
        </w:tc>
      </w:tr>
      <w:tr>
        <w:trPr>
          <w:trHeight w:val="173" w:hRule="atLeast"/>
        </w:trPr>
        <w:tc>
          <w:tcPr>
            <w:tcW w:w="498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120" w:after="120"/>
              <w:rPr/>
            </w:pPr>
            <w:r>
              <w:rPr>
                <w:rFonts w:cs="Arial" w:ascii="Arial" w:hAnsi="Arial"/>
                <w:b/>
              </w:rPr>
              <w:t xml:space="preserve">Signed: </w:t>
            </w:r>
            <w:r>
              <w:rPr>
                <w:rFonts w:cs="Arial" w:ascii="Arial" w:hAnsi="Arial"/>
                <w:b/>
                <w:color w:val="FF0000"/>
              </w:rPr>
              <w:t>[Supervisee]</w:t>
            </w:r>
          </w:p>
        </w:tc>
        <w:tc>
          <w:tcPr>
            <w:tcW w:w="49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120" w:after="120"/>
              <w:rPr/>
            </w:pPr>
            <w:r>
              <w:rPr>
                <w:rFonts w:cs="Arial" w:ascii="Arial" w:hAnsi="Arial"/>
                <w:b/>
              </w:rPr>
              <w:t xml:space="preserve">Signed: </w:t>
            </w:r>
            <w:r>
              <w:rPr>
                <w:rFonts w:cs="Arial" w:ascii="Arial" w:hAnsi="Arial"/>
                <w:b/>
                <w:color w:val="FF0000"/>
              </w:rPr>
              <w:t>[Supervisor]</w:t>
            </w:r>
          </w:p>
        </w:tc>
      </w:tr>
      <w:tr>
        <w:trPr>
          <w:trHeight w:val="172" w:hRule="atLeast"/>
        </w:trPr>
        <w:tc>
          <w:tcPr>
            <w:tcW w:w="498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120" w:after="120"/>
              <w:rPr/>
            </w:pPr>
            <w:r>
              <w:rPr>
                <w:rFonts w:cs="Arial" w:ascii="Arial" w:hAnsi="Arial"/>
                <w:b/>
              </w:rPr>
              <w:t xml:space="preserve">Title: </w:t>
            </w:r>
            <w:r>
              <w:rPr>
                <w:rFonts w:cs="Arial" w:ascii="Arial" w:hAnsi="Arial"/>
                <w:b/>
                <w:color w:val="FF0000"/>
              </w:rPr>
              <w:t>[e.g. Social Worker]</w:t>
            </w:r>
          </w:p>
        </w:tc>
        <w:tc>
          <w:tcPr>
            <w:tcW w:w="49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120" w:after="120"/>
              <w:rPr/>
            </w:pPr>
            <w:r>
              <w:rPr>
                <w:rFonts w:cs="Arial" w:ascii="Arial" w:hAnsi="Arial"/>
                <w:b/>
              </w:rPr>
              <w:t xml:space="preserve">Title: </w:t>
            </w:r>
            <w:r>
              <w:rPr>
                <w:rFonts w:cs="Arial" w:ascii="Arial" w:hAnsi="Arial"/>
                <w:b/>
                <w:color w:val="FF0000"/>
              </w:rPr>
              <w:t>[e.g. Team Manager]</w:t>
            </w:r>
          </w:p>
        </w:tc>
      </w:tr>
      <w:tr>
        <w:trPr>
          <w:trHeight w:val="172" w:hRule="atLeast"/>
        </w:trPr>
        <w:tc>
          <w:tcPr>
            <w:tcW w:w="498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120" w:after="120"/>
              <w:rPr>
                <w:rFonts w:ascii="Arial" w:hAnsi="Arial" w:cs="Arial"/>
                <w:b/>
                <w:b/>
              </w:rPr>
            </w:pPr>
            <w:r>
              <w:rPr>
                <w:rFonts w:cs="Arial" w:ascii="Arial" w:hAnsi="Arial"/>
                <w:b/>
              </w:rPr>
              <w:t>Date:</w:t>
            </w:r>
          </w:p>
        </w:tc>
        <w:tc>
          <w:tcPr>
            <w:tcW w:w="49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120" w:after="120"/>
              <w:rPr>
                <w:rFonts w:ascii="Arial" w:hAnsi="Arial" w:cs="Arial"/>
                <w:b/>
                <w:b/>
              </w:rPr>
            </w:pPr>
            <w:r>
              <w:rPr>
                <w:rFonts w:cs="Arial" w:ascii="Arial" w:hAnsi="Arial"/>
                <w:b/>
              </w:rPr>
              <w:t>Date:</w:t>
            </w:r>
          </w:p>
        </w:tc>
      </w:tr>
    </w:tbl>
    <w:p>
      <w:pPr>
        <w:pStyle w:val="Normal"/>
        <w:jc w:val="center"/>
        <w:rPr/>
      </w:pPr>
      <w:r>
        <w:rPr>
          <w:rFonts w:cs="Arial" w:ascii="Arial" w:hAnsi="Arial"/>
          <w:b/>
        </w:rPr>
        <w:t>This agreement is to be reviewed 1 year from the date that it was signed.</w:t>
      </w:r>
    </w:p>
    <w:sectPr>
      <w:headerReference w:type="default" r:id="rId3"/>
      <w:footerReference w:type="default" r:id="rId4"/>
      <w:type w:val="nextPage"/>
      <w:pgSz w:w="11905" w:h="16837"/>
      <w:pgMar w:left="1080" w:right="1080" w:header="708" w:top="1080" w:footer="708" w:bottom="108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auto"/>
    <w:pitch w:val="default"/>
  </w:font>
  <w:font w:name="Arial-BoldMT">
    <w:charset w:val="0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left="0" w:right="360" w:hanging="0"/>
      <w:rPr/>
    </w:pPr>
    <w:r>
      <w:rPr/>
    </w:r>
    <w:r>
      <mc:AlternateContent>
        <mc:Choice Requires="wps">
          <w:drawing>
            <wp:anchor behindDoc="0" distT="0" distB="0" distL="0" distR="0" simplePos="0" locked="0" layoutInCell="1" allowOverlap="1" relativeHeight="4">
              <wp:simplePos x="0" y="0"/>
              <wp:positionH relativeFrom="margin">
                <wp:align>right</wp:align>
              </wp:positionH>
              <wp:positionV relativeFrom="paragraph">
                <wp:posOffset>635</wp:posOffset>
              </wp:positionV>
              <wp:extent cx="76835" cy="175260"/>
              <wp:effectExtent l="0" t="0" r="0" b="0"/>
              <wp:wrapSquare wrapText="largest"/>
              <wp:docPr id="2" name="Frame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Footer"/>
                            <w:rPr/>
                          </w:pPr>
                          <w:r>
                            <w:rPr>
                              <w:rStyle w:val="PageNumber"/>
                            </w:rPr>
                            <w:fldChar w:fldCharType="begin"/>
                          </w:r>
                          <w:r>
                            <w:instrText> PAGE </w:instrText>
                          </w:r>
                          <w:r>
                            <w:fldChar w:fldCharType="separate"/>
                          </w:r>
                          <w:r>
                            <w:t>2</w:t>
                          </w:r>
                          <w:r>
                            <w:fldChar w:fldCharType="end"/>
                          </w:r>
                        </w:p>
                      </w:txbxContent>
                    </wps:txbx>
                    <wps:bodyPr anchor="t">
                      <a:noAutofit/>
                    </wps:bodyPr>
                  </wps:wsp>
                </a:graphicData>
              </a:graphic>
            </wp:anchor>
          </w:drawing>
        </mc:Choice>
        <mc:Fallback>
          <w:pict>
            <v:rect fillcolor="#FFFFFF" style="position:absolute;rotation:0;width:6.05pt;height:13.8pt;margin-top:0.05pt;mso-position-vertical-relative:text;margin-left:481.2pt;mso-position-horizontal:right;mso-position-horizontal-relative:margin">
              <v:fill opacity="0f"/>
              <v:textbox>
                <w:txbxContent>
                  <w:p>
                    <w:pPr>
                      <w:pStyle w:val="Footer"/>
                      <w:rPr/>
                    </w:pPr>
                    <w:r>
                      <w:rPr>
                        <w:rStyle w:val="PageNumber"/>
                      </w:rPr>
                      <w:fldChar w:fldCharType="begin"/>
                    </w:r>
                    <w:r>
                      <w:instrText> PAGE </w:instrText>
                    </w:r>
                    <w:r>
                      <w:fldChar w:fldCharType="separate"/>
                    </w:r>
                    <w:r>
                      <w:t>2</w:t>
                    </w:r>
                    <w:r>
                      <w:fldChar w:fldCharType="end"/>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tabs>
          <w:tab w:val="num" w:pos="720"/>
        </w:tabs>
        <w:ind w:left="72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53"/>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Unicode MS" w:cs="Tahoma"/>
        <w:szCs w:val="24"/>
        <w:lang w:val="en-GB" w:eastAsia="zxx" w:bidi="zxx"/>
      </w:rPr>
    </w:rPrDefault>
    <w:pPrDefault>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4"/>
      <w:lang w:val="en-GB" w:bidi="ar-SA" w:eastAsia="zxx"/>
    </w:rPr>
  </w:style>
  <w:style w:type="character" w:styleId="DefaultParagraphFont">
    <w:name w:val="Default Paragraph Font"/>
    <w:qFormat/>
    <w:rPr/>
  </w:style>
  <w:style w:type="character" w:styleId="PageNumber">
    <w:name w:val="Page Number"/>
    <w:basedOn w:val="DefaultParagraphFont"/>
    <w:rPr/>
  </w:style>
  <w:style w:type="paragraph" w:styleId="Heading">
    <w:name w:val="Heading"/>
    <w:basedOn w:val="Normal"/>
    <w:next w:val="TextBody"/>
    <w:qFormat/>
    <w:pPr>
      <w:keepNext/>
      <w:spacing w:before="240" w:after="120"/>
    </w:pPr>
    <w:rPr>
      <w:rFonts w:ascii="Arial" w:hAnsi="Arial" w:eastAsia="MS Mincho" w:cs="Tahoma"/>
      <w:sz w:val="28"/>
      <w:szCs w:val="28"/>
    </w:rPr>
  </w:style>
  <w:style w:type="paragraph" w:styleId="TextBody">
    <w:name w:val="Body Text"/>
    <w:basedOn w:val="Normal"/>
    <w:pPr>
      <w:spacing w:before="0" w:after="120"/>
    </w:pPr>
    <w:rPr/>
  </w:style>
  <w:style w:type="paragraph" w:styleId="List">
    <w:name w:val="List"/>
    <w:basedOn w:val="TextBody"/>
    <w:pPr/>
    <w:rPr>
      <w:rFonts w:ascii="Arial" w:hAnsi="Arial" w:cs="Tahoma"/>
    </w:rPr>
  </w:style>
  <w:style w:type="paragraph" w:styleId="Caption">
    <w:name w:val="Caption"/>
    <w:basedOn w:val="Normal"/>
    <w:qFormat/>
    <w:pPr>
      <w:suppressLineNumbers/>
      <w:spacing w:before="120" w:after="120"/>
    </w:pPr>
    <w:rPr>
      <w:rFonts w:ascii="Arial" w:hAnsi="Arial" w:cs="Tahoma"/>
      <w:i/>
      <w:iCs/>
      <w:sz w:val="24"/>
      <w:szCs w:val="24"/>
    </w:rPr>
  </w:style>
  <w:style w:type="paragraph" w:styleId="Index">
    <w:name w:val="Index"/>
    <w:basedOn w:val="Normal"/>
    <w:qFormat/>
    <w:pPr>
      <w:suppressLineNumbers/>
    </w:pPr>
    <w:rPr>
      <w:rFonts w:ascii="Arial" w:hAnsi="Arial" w:cs="Tahoma"/>
    </w:rPr>
  </w:style>
  <w:style w:type="paragraph" w:styleId="Header">
    <w:name w:val="Header"/>
    <w:basedOn w:val="Normal"/>
    <w:pPr>
      <w:tabs>
        <w:tab w:val="center" w:pos="4153" w:leader="none"/>
        <w:tab w:val="right" w:pos="8306" w:leader="none"/>
      </w:tabs>
    </w:pPr>
    <w:rPr/>
  </w:style>
  <w:style w:type="paragraph" w:styleId="Footer">
    <w:name w:val="Footer"/>
    <w:basedOn w:val="Normal"/>
    <w:pPr>
      <w:tabs>
        <w:tab w:val="center" w:pos="4153" w:leader="none"/>
        <w:tab w:val="right" w:pos="8306" w:leader="none"/>
      </w:tabs>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TextBody"/>
    <w:qFormat/>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65</TotalTime>
  <Application>LibreOffice/5.2.3.3$Windows_x86 LibreOffice_project/d54a8868f08a7b39642414cf2c8ef2f228f780cf</Application>
  <Pages>2</Pages>
  <Words>501</Words>
  <CharactersWithSpaces>3450</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2011-03-10T13:30:00Z</dcterms:created>
  <dc:creator>Bristol City Council</dc:creator>
  <dc:description/>
  <dc:language>en-GB</dc:language>
  <cp:lastModifiedBy/>
  <dcterms:modified xsi:type="dcterms:W3CDTF">2011-04-04T10:50:13Z</dcterms:modified>
  <cp:revision>4</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