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82" w:rsidRDefault="000A6782" w:rsidP="000A6782">
      <w:pPr>
        <w:rPr>
          <w:rFonts w:ascii="Verdana" w:hAnsi="Verdana"/>
          <w:b/>
        </w:rPr>
      </w:pPr>
    </w:p>
    <w:p w:rsidR="000A6782" w:rsidRDefault="000A6782" w:rsidP="000A6782">
      <w:pPr>
        <w:jc w:val="center"/>
        <w:rPr>
          <w:sz w:val="36"/>
        </w:rPr>
      </w:pPr>
      <w:r>
        <w:rPr>
          <w:noProof/>
          <w:lang w:eastAsia="en-GB"/>
        </w:rPr>
        <w:drawing>
          <wp:anchor distT="0" distB="0" distL="114300" distR="114300" simplePos="0" relativeHeight="251658240" behindDoc="1" locked="0" layoutInCell="1" allowOverlap="1">
            <wp:simplePos x="0" y="0"/>
            <wp:positionH relativeFrom="column">
              <wp:posOffset>4690110</wp:posOffset>
            </wp:positionH>
            <wp:positionV relativeFrom="paragraph">
              <wp:posOffset>-427355</wp:posOffset>
            </wp:positionV>
            <wp:extent cx="1285875" cy="1200150"/>
            <wp:effectExtent l="0" t="0" r="9525"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10" name="Picture 10"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9" name="Picture 9"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8" name="Picture 8"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782" w:rsidRDefault="000A6782" w:rsidP="000A6782">
      <w:pPr>
        <w:ind w:right="-1499"/>
        <w:rPr>
          <w:rFonts w:ascii="Verdana" w:hAnsi="Verdana"/>
          <w:b/>
          <w:sz w:val="36"/>
        </w:rPr>
      </w:pPr>
    </w:p>
    <w:p w:rsidR="000A6782" w:rsidRDefault="000A6782" w:rsidP="000A6782">
      <w:pPr>
        <w:ind w:right="-1499"/>
        <w:jc w:val="center"/>
        <w:rPr>
          <w:rFonts w:ascii="Verdana" w:hAnsi="Verdana"/>
          <w:b/>
          <w:sz w:val="36"/>
        </w:rPr>
      </w:pPr>
      <w:r>
        <w:rPr>
          <w:noProof/>
          <w:lang w:eastAsia="en-GB"/>
        </w:rPr>
        <w:drawing>
          <wp:anchor distT="0" distB="0" distL="114300" distR="114300" simplePos="0" relativeHeight="251658240" behindDoc="1" locked="0" layoutInCell="1" allowOverlap="1">
            <wp:simplePos x="0" y="0"/>
            <wp:positionH relativeFrom="column">
              <wp:posOffset>1201420</wp:posOffset>
            </wp:positionH>
            <wp:positionV relativeFrom="paragraph">
              <wp:posOffset>80645</wp:posOffset>
            </wp:positionV>
            <wp:extent cx="3080385" cy="2910840"/>
            <wp:effectExtent l="0" t="0" r="5715" b="3810"/>
            <wp:wrapTight wrapText="bothSides">
              <wp:wrapPolygon edited="0">
                <wp:start x="0" y="0"/>
                <wp:lineTo x="0" y="21487"/>
                <wp:lineTo x="21506" y="21487"/>
                <wp:lineTo x="21506" y="0"/>
                <wp:lineTo x="0" y="0"/>
              </wp:wrapPolygon>
            </wp:wrapTight>
            <wp:docPr id="6" name="Picture 6"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782" w:rsidRPr="00196B86" w:rsidRDefault="000A6782" w:rsidP="000A6782">
      <w:pPr>
        <w:pStyle w:val="1bodycopy10pt"/>
        <w:rPr>
          <w:lang w:val="en-GB"/>
        </w:rPr>
      </w:pPr>
    </w:p>
    <w:p w:rsidR="000A6782" w:rsidRPr="00196B86" w:rsidRDefault="000A6782" w:rsidP="000A6782">
      <w:pPr>
        <w:pStyle w:val="1bodycopy10pt"/>
        <w:rPr>
          <w:lang w:val="en-GB"/>
        </w:rPr>
      </w:pPr>
    </w:p>
    <w:p w:rsidR="000A6782" w:rsidRPr="004F2EB1" w:rsidRDefault="000A6782" w:rsidP="000A6782"/>
    <w:p w:rsidR="000A6782" w:rsidRPr="004F2EB1" w:rsidRDefault="000A6782" w:rsidP="000A6782"/>
    <w:p w:rsidR="000A6782" w:rsidRPr="004F2EB1" w:rsidRDefault="000A6782" w:rsidP="000A6782"/>
    <w:p w:rsidR="000A6782" w:rsidRPr="004F2EB1" w:rsidRDefault="000A6782" w:rsidP="000A6782"/>
    <w:p w:rsidR="000A6782" w:rsidRPr="004F2EB1" w:rsidRDefault="000A6782" w:rsidP="000A6782"/>
    <w:p w:rsidR="000A6782" w:rsidRPr="004F2EB1" w:rsidRDefault="000A6782" w:rsidP="000A6782"/>
    <w:p w:rsidR="000A6782" w:rsidRPr="004F2EB1" w:rsidRDefault="000A6782" w:rsidP="000A6782"/>
    <w:p w:rsidR="000A6782" w:rsidRDefault="000A6782" w:rsidP="000A6782">
      <w:pPr>
        <w:jc w:val="center"/>
        <w:rPr>
          <w:sz w:val="36"/>
        </w:rPr>
      </w:pPr>
    </w:p>
    <w:p w:rsidR="000A6782" w:rsidRDefault="000A6782" w:rsidP="000A6782">
      <w:pPr>
        <w:tabs>
          <w:tab w:val="center" w:pos="4513"/>
        </w:tabs>
        <w:suppressAutoHyphens/>
        <w:jc w:val="both"/>
        <w:rPr>
          <w:rFonts w:ascii="Verdana" w:hAnsi="Verdana"/>
          <w:b/>
          <w:sz w:val="28"/>
        </w:rPr>
      </w:pPr>
    </w:p>
    <w:p w:rsidR="000A6782" w:rsidRDefault="000A6782" w:rsidP="000A6782">
      <w:pPr>
        <w:tabs>
          <w:tab w:val="center" w:pos="4513"/>
        </w:tabs>
        <w:suppressAutoHyphens/>
        <w:jc w:val="center"/>
        <w:rPr>
          <w:rFonts w:ascii="Verdana" w:hAnsi="Verdana"/>
          <w:i/>
          <w:szCs w:val="24"/>
        </w:rPr>
      </w:pPr>
    </w:p>
    <w:p w:rsidR="000A6782" w:rsidRDefault="000A6782" w:rsidP="000A6782">
      <w:pPr>
        <w:tabs>
          <w:tab w:val="center" w:pos="4513"/>
        </w:tabs>
        <w:suppressAutoHyphens/>
        <w:jc w:val="center"/>
        <w:rPr>
          <w:rFonts w:ascii="Verdana" w:hAnsi="Verdana"/>
          <w:i/>
          <w:szCs w:val="24"/>
        </w:rPr>
      </w:pPr>
    </w:p>
    <w:p w:rsidR="000A6782" w:rsidRDefault="000A6782" w:rsidP="000A6782">
      <w:pPr>
        <w:tabs>
          <w:tab w:val="center" w:pos="4513"/>
        </w:tabs>
        <w:suppressAutoHyphens/>
        <w:jc w:val="center"/>
        <w:rPr>
          <w:rFonts w:ascii="Verdana" w:hAnsi="Verdana"/>
          <w:i/>
          <w:szCs w:val="24"/>
        </w:rPr>
      </w:pPr>
    </w:p>
    <w:p w:rsidR="000A6782" w:rsidRDefault="000A6782" w:rsidP="000A6782">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148590</wp:posOffset>
                </wp:positionV>
                <wp:extent cx="5669280" cy="883920"/>
                <wp:effectExtent l="26670" t="27305"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883920"/>
                        </a:xfrm>
                        <a:prstGeom prst="rect">
                          <a:avLst/>
                        </a:prstGeom>
                        <a:solidFill>
                          <a:srgbClr val="FFFFFF"/>
                        </a:solidFill>
                        <a:ln w="38100">
                          <a:solidFill>
                            <a:srgbClr val="FF0000"/>
                          </a:solidFill>
                          <a:miter lim="800000"/>
                          <a:headEnd/>
                          <a:tailEnd/>
                        </a:ln>
                      </wps:spPr>
                      <wps:txbx>
                        <w:txbxContent>
                          <w:p w:rsidR="000A6782" w:rsidRPr="0038493E" w:rsidRDefault="000A6782" w:rsidP="000A6782">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Anti-Radicalisation</w:t>
                            </w:r>
                            <w:r>
                              <w:rPr>
                                <w:rFonts w:ascii="Arial Rounded MT Bold" w:hAnsi="Arial Rounded MT Bold" w:cs="Arial"/>
                                <w:b/>
                                <w:color w:val="00B0F0"/>
                                <w:sz w:val="44"/>
                                <w:szCs w:val="44"/>
                              </w:rPr>
                              <w:t xml:space="preserve"> Policy</w:t>
                            </w:r>
                          </w:p>
                          <w:p w:rsidR="000A6782" w:rsidRPr="0038493E" w:rsidRDefault="000A6782" w:rsidP="000A6782">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0A6782" w:rsidRDefault="000A6782" w:rsidP="000A6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4pt;margin-top:11.7pt;width:446.4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KQIAAEgEAAAOAAAAZHJzL2Uyb0RvYy54bWysVMGO0zAQvSPxD5bvNEm3LW3UdLXqUoS0&#10;wIqFD3AcJ7FwbDN2m5av37GTLS1wQuRgeTLjlzfvjbO+PXaKHAQ4aXRBs0lKidDcVFI3Bf32dfdm&#10;SYnzTFdMGS0KehKO3m5ev1r3NhdT0xpVCSAIol3e24K23ts8SRxvRcfcxFihMVkb6JjHEJqkAtYj&#10;eqeSaZoukt5AZcFw4Ry+vR+SdBPx61pw/7munfBEFRS5+bhCXMuwJps1yxtgtpV8pMH+gUXHpMaP&#10;nqHumWdkD/IPqE5yMM7UfsJNl5i6llzEHrCbLP2tm6eWWRF7QXGcPcvk/h8s/3R4BCKrgs4p0axD&#10;i76gaEw3SpB5kKe3LseqJ/sIoUFnHwz/7og22xarxB2A6VvBKiSVhfrk6kAIHB4lZf/RVIjO9t5E&#10;pY41dAEQNSDHaMjpbIg4esLx5XyxWE2X6BvH3HJ5s5pGxxKWv5y24Px7YToSNgUF5B7R2eHB+cCG&#10;5S8lkb1RstpJpWIATblVQA4Mh2MXn9gANnlZpjTpC3qzzNI0Ql8l3TVGis/fMDrpccyV7LCNUDMO&#10;XtDtna7iEHom1bBHzkqPQgbtBg/8sTyOdpSmOqGkYIZxxuuHm9bAT0p6HOWCuh97BoIS9UGjLats&#10;NguzH4PZ/C2KSOAyU15mmOYIVVBPybDd+uG+7C3IpsUvZVEGbe7QylpGlYPNA6uRN45rFH+8WuE+&#10;XMax6tcPYPMMAAD//wMAUEsDBBQABgAIAAAAIQDP2dtO2wAAAAoBAAAPAAAAZHJzL2Rvd25yZXYu&#10;eG1sTI9BTsMwEEX3SNzBGiR2rV2DQpTGqSokDkBb9k48xCmxndpuE27PsILlaJ7+f7/eLW5kN4xp&#10;CF7BZi2Aoe+CGXyv4HR8W5XAUtbe6DF4VPCNCXbN/V2tKxNm/463Q+4ZhfhUaQU256niPHUWnU7r&#10;MKGn32eITmc6Y89N1DOFu5FLIQru9OCpweoJXy12X4erU9DH9vIySxHwssfjeUZnP05OqceHZb8F&#10;lnHJfzD86pM6NOTUhqs3iY0KVhtB6lmBfHoGRkBZShrXElnIAnhT8/8Tmh8AAAD//wMAUEsBAi0A&#10;FAAGAAgAAAAhALaDOJL+AAAA4QEAABMAAAAAAAAAAAAAAAAAAAAAAFtDb250ZW50X1R5cGVzXS54&#10;bWxQSwECLQAUAAYACAAAACEAOP0h/9YAAACUAQAACwAAAAAAAAAAAAAAAAAvAQAAX3JlbHMvLnJl&#10;bHNQSwECLQAUAAYACAAAACEAW/vkrSkCAABIBAAADgAAAAAAAAAAAAAAAAAuAgAAZHJzL2Uyb0Rv&#10;Yy54bWxQSwECLQAUAAYACAAAACEAz9nbTtsAAAAKAQAADwAAAAAAAAAAAAAAAACDBAAAZHJzL2Rv&#10;d25yZXYueG1sUEsFBgAAAAAEAAQA8wAAAIsFAAAAAA==&#10;" strokecolor="red" strokeweight="3pt">
                <v:textbox>
                  <w:txbxContent>
                    <w:p w:rsidR="000A6782" w:rsidRPr="0038493E" w:rsidRDefault="000A6782" w:rsidP="000A6782">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Anti-Radicalisation</w:t>
                      </w:r>
                      <w:r>
                        <w:rPr>
                          <w:rFonts w:ascii="Arial Rounded MT Bold" w:hAnsi="Arial Rounded MT Bold" w:cs="Arial"/>
                          <w:b/>
                          <w:color w:val="00B0F0"/>
                          <w:sz w:val="44"/>
                          <w:szCs w:val="44"/>
                        </w:rPr>
                        <w:t xml:space="preserve"> Policy</w:t>
                      </w:r>
                    </w:p>
                    <w:p w:rsidR="000A6782" w:rsidRPr="0038493E" w:rsidRDefault="000A6782" w:rsidP="000A6782">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0A6782" w:rsidRDefault="000A6782" w:rsidP="000A6782"/>
                  </w:txbxContent>
                </v:textbox>
              </v:rect>
            </w:pict>
          </mc:Fallback>
        </mc:AlternateContent>
      </w:r>
    </w:p>
    <w:p w:rsidR="000A6782" w:rsidRPr="0038493E" w:rsidRDefault="000A6782" w:rsidP="000A6782">
      <w:pPr>
        <w:tabs>
          <w:tab w:val="center" w:pos="4513"/>
        </w:tabs>
        <w:suppressAutoHyphens/>
        <w:jc w:val="center"/>
        <w:rPr>
          <w:rFonts w:ascii="Verdana" w:hAnsi="Verdana"/>
          <w:i/>
          <w:color w:val="00B0F0"/>
          <w:szCs w:val="24"/>
        </w:rPr>
      </w:pPr>
    </w:p>
    <w:p w:rsidR="000A6782" w:rsidRPr="0038493E" w:rsidRDefault="000A6782" w:rsidP="000A6782">
      <w:pPr>
        <w:tabs>
          <w:tab w:val="center" w:pos="4513"/>
        </w:tabs>
        <w:suppressAutoHyphens/>
        <w:jc w:val="center"/>
        <w:rPr>
          <w:rFonts w:ascii="Verdana" w:hAnsi="Verdana"/>
          <w:i/>
          <w:color w:val="00B0F0"/>
          <w:szCs w:val="24"/>
        </w:rPr>
      </w:pPr>
    </w:p>
    <w:p w:rsidR="000A6782" w:rsidRPr="0038493E" w:rsidRDefault="000A6782" w:rsidP="000A6782">
      <w:pPr>
        <w:tabs>
          <w:tab w:val="center" w:pos="4513"/>
        </w:tabs>
        <w:suppressAutoHyphens/>
        <w:jc w:val="center"/>
        <w:rPr>
          <w:rFonts w:ascii="Verdana" w:hAnsi="Verdana"/>
          <w:i/>
          <w:color w:val="00B0F0"/>
          <w:szCs w:val="24"/>
        </w:rPr>
      </w:pPr>
    </w:p>
    <w:p w:rsidR="000A6782" w:rsidRPr="0038493E" w:rsidRDefault="000A6782" w:rsidP="000A6782">
      <w:pPr>
        <w:tabs>
          <w:tab w:val="center" w:pos="4513"/>
        </w:tabs>
        <w:suppressAutoHyphens/>
        <w:jc w:val="center"/>
        <w:rPr>
          <w:rFonts w:ascii="Verdana" w:hAnsi="Verdana"/>
          <w:i/>
          <w:color w:val="00B0F0"/>
          <w:szCs w:val="24"/>
        </w:rPr>
      </w:pPr>
    </w:p>
    <w:p w:rsidR="000A6782" w:rsidRPr="0038493E" w:rsidRDefault="000A6782" w:rsidP="000A6782">
      <w:pPr>
        <w:tabs>
          <w:tab w:val="center" w:pos="4513"/>
        </w:tabs>
        <w:suppressAutoHyphens/>
        <w:jc w:val="center"/>
        <w:rPr>
          <w:rFonts w:ascii="Verdana" w:hAnsi="Verdana"/>
          <w:i/>
          <w:color w:val="00B0F0"/>
          <w:szCs w:val="24"/>
        </w:rPr>
      </w:pPr>
    </w:p>
    <w:p w:rsidR="000A6782" w:rsidRPr="0038493E" w:rsidRDefault="000A6782" w:rsidP="000A6782">
      <w:pPr>
        <w:tabs>
          <w:tab w:val="center" w:pos="4513"/>
        </w:tabs>
        <w:suppressAutoHyphens/>
        <w:jc w:val="center"/>
        <w:rPr>
          <w:rFonts w:ascii="Verdana" w:hAnsi="Verdana"/>
          <w:i/>
          <w:color w:val="00B0F0"/>
          <w:szCs w:val="24"/>
        </w:rPr>
      </w:pPr>
    </w:p>
    <w:p w:rsidR="000A6782" w:rsidRDefault="000A6782" w:rsidP="000A6782">
      <w:pPr>
        <w:tabs>
          <w:tab w:val="center" w:pos="4513"/>
        </w:tabs>
        <w:suppressAutoHyphens/>
        <w:jc w:val="center"/>
        <w:rPr>
          <w:rFonts w:ascii="Verdana" w:hAnsi="Verdana"/>
          <w:i/>
          <w:szCs w:val="24"/>
        </w:rPr>
      </w:pPr>
    </w:p>
    <w:p w:rsidR="000A6782" w:rsidRDefault="000A6782" w:rsidP="000A6782">
      <w:pPr>
        <w:tabs>
          <w:tab w:val="center" w:pos="4513"/>
        </w:tabs>
        <w:suppressAutoHyphens/>
        <w:jc w:val="center"/>
        <w:rPr>
          <w:rFonts w:ascii="Verdana" w:hAnsi="Verdana"/>
          <w:i/>
          <w:szCs w:val="24"/>
        </w:rPr>
      </w:pPr>
    </w:p>
    <w:p w:rsidR="000A6782" w:rsidRDefault="000A6782" w:rsidP="000A6782">
      <w:pPr>
        <w:tabs>
          <w:tab w:val="center" w:pos="4513"/>
        </w:tabs>
        <w:suppressAutoHyphens/>
        <w:jc w:val="center"/>
        <w:rPr>
          <w:rFonts w:ascii="Verdana" w:hAnsi="Verdana"/>
          <w:i/>
          <w:szCs w:val="24"/>
        </w:rPr>
      </w:pPr>
    </w:p>
    <w:p w:rsidR="000A6782" w:rsidRDefault="000A6782" w:rsidP="000A6782">
      <w:pPr>
        <w:ind w:right="-1499"/>
        <w:jc w:val="center"/>
        <w:rPr>
          <w:rFonts w:ascii="Verdana" w:hAnsi="Verdana"/>
          <w:b/>
          <w:sz w:val="36"/>
        </w:rPr>
      </w:pP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1" name="Picture 1"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782" w:rsidRDefault="000A6782" w:rsidP="000A6782">
      <w:pPr>
        <w:ind w:right="-1499"/>
        <w:jc w:val="center"/>
        <w:rPr>
          <w:rFonts w:ascii="Verdana" w:hAnsi="Verdana"/>
          <w:b/>
          <w:sz w:val="36"/>
        </w:rPr>
      </w:pPr>
    </w:p>
    <w:p w:rsidR="000A6782" w:rsidRDefault="000A6782" w:rsidP="000A6782">
      <w:pPr>
        <w:ind w:right="-1499"/>
        <w:rPr>
          <w:rFonts w:ascii="Verdana" w:hAnsi="Verdana"/>
          <w:b/>
          <w:sz w:val="28"/>
        </w:rPr>
      </w:pPr>
    </w:p>
    <w:p w:rsidR="005F0DA0" w:rsidRDefault="005F0DA0" w:rsidP="005F0DA0">
      <w:pPr>
        <w:jc w:val="center"/>
        <w:rPr>
          <w:rFonts w:ascii="Verdana" w:hAnsi="Verdana"/>
          <w:b/>
          <w:sz w:val="36"/>
        </w:rPr>
      </w:pPr>
    </w:p>
    <w:p w:rsidR="00726DA4" w:rsidRDefault="00726DA4" w:rsidP="005F0DA0">
      <w:pPr>
        <w:jc w:val="both"/>
        <w:rPr>
          <w:rFonts w:ascii="Verdana" w:hAnsi="Verdana"/>
          <w:b/>
        </w:rPr>
      </w:pPr>
    </w:p>
    <w:p w:rsidR="00726DA4" w:rsidRDefault="00726DA4" w:rsidP="005F0DA0">
      <w:pPr>
        <w:jc w:val="both"/>
        <w:rPr>
          <w:rFonts w:ascii="Verdana" w:hAnsi="Verdana"/>
          <w:b/>
        </w:rPr>
      </w:pPr>
    </w:p>
    <w:p w:rsidR="00726DA4" w:rsidRDefault="00726DA4" w:rsidP="005F0DA0">
      <w:pPr>
        <w:jc w:val="both"/>
        <w:rPr>
          <w:rFonts w:ascii="Verdana" w:hAnsi="Verdana"/>
          <w:b/>
        </w:rPr>
      </w:pPr>
    </w:p>
    <w:p w:rsidR="005F0DA0" w:rsidRPr="005F0DA0" w:rsidRDefault="005F0DA0" w:rsidP="005F0DA0">
      <w:pPr>
        <w:jc w:val="both"/>
        <w:rPr>
          <w:rFonts w:ascii="Verdana" w:hAnsi="Verdana"/>
          <w:b/>
        </w:rPr>
      </w:pPr>
      <w:r>
        <w:rPr>
          <w:rFonts w:ascii="Verdana" w:hAnsi="Verdana"/>
          <w:b/>
        </w:rPr>
        <w:t>Anti-R</w:t>
      </w:r>
      <w:r w:rsidRPr="005F0DA0">
        <w:rPr>
          <w:rFonts w:ascii="Verdana" w:hAnsi="Verdana"/>
          <w:b/>
        </w:rPr>
        <w:t>adicalisation policy statement</w:t>
      </w:r>
    </w:p>
    <w:p w:rsidR="005F0DA0" w:rsidRDefault="005F0DA0" w:rsidP="005F0DA0">
      <w:pPr>
        <w:jc w:val="both"/>
        <w:rPr>
          <w:rFonts w:ascii="Verdana" w:hAnsi="Verdana"/>
        </w:rPr>
      </w:pPr>
    </w:p>
    <w:p w:rsidR="005F0DA0" w:rsidRDefault="005F0DA0" w:rsidP="005F0DA0">
      <w:pPr>
        <w:pStyle w:val="Heading4"/>
        <w:rPr>
          <w:rFonts w:ascii="Verdana" w:hAnsi="Verdana"/>
          <w:b w:val="0"/>
        </w:rPr>
      </w:pPr>
      <w:r>
        <w:rPr>
          <w:rFonts w:ascii="Verdana" w:hAnsi="Verdana"/>
          <w:b w:val="0"/>
        </w:rPr>
        <w:t>Greenfields School is fully committed to safeguarding and promoting the welfare of all its pupils. As a school we recognise that safeguarding against ra</w:t>
      </w:r>
      <w:r w:rsidR="00E871EC">
        <w:rPr>
          <w:rFonts w:ascii="Verdana" w:hAnsi="Verdana"/>
          <w:b w:val="0"/>
        </w:rPr>
        <w:t>dicalisation is no different fro</w:t>
      </w:r>
      <w:r>
        <w:rPr>
          <w:rFonts w:ascii="Verdana" w:hAnsi="Verdana"/>
          <w:b w:val="0"/>
        </w:rPr>
        <w:t xml:space="preserve">m safeguarding </w:t>
      </w:r>
      <w:r>
        <w:rPr>
          <w:rFonts w:ascii="Verdana" w:hAnsi="Verdana"/>
          <w:b w:val="0"/>
        </w:rPr>
        <w:lastRenderedPageBreak/>
        <w:t>against any other vulnerability. At Greenfields School all staff are expected to uphold and promote the fundamental principles of British values, including democracy, the rule of law, individual liberty and mutual respect, and tolerance of those with different faiths and beliefs.</w:t>
      </w:r>
    </w:p>
    <w:p w:rsidR="005F0DA0" w:rsidRDefault="005F0DA0" w:rsidP="005F0DA0"/>
    <w:p w:rsidR="00E871EC" w:rsidRDefault="00E871EC" w:rsidP="005F0DA0">
      <w:pPr>
        <w:rPr>
          <w:rFonts w:ascii="Verdana" w:hAnsi="Verdana"/>
          <w:b/>
        </w:rPr>
      </w:pPr>
      <w:r>
        <w:rPr>
          <w:rFonts w:ascii="Verdana" w:hAnsi="Verdana"/>
          <w:b/>
        </w:rPr>
        <w:t>Links to other documents</w:t>
      </w:r>
      <w:r w:rsidR="00D86525">
        <w:rPr>
          <w:rFonts w:ascii="Verdana" w:hAnsi="Verdana"/>
          <w:b/>
        </w:rPr>
        <w:t xml:space="preserve"> and policies</w:t>
      </w:r>
    </w:p>
    <w:p w:rsidR="00E871EC" w:rsidRDefault="00E871EC" w:rsidP="005F0DA0">
      <w:pPr>
        <w:rPr>
          <w:rFonts w:ascii="Verdana" w:hAnsi="Verdana"/>
        </w:rPr>
      </w:pPr>
    </w:p>
    <w:p w:rsidR="00E871EC" w:rsidRPr="00A73224" w:rsidRDefault="00D86525" w:rsidP="005F0DA0">
      <w:pPr>
        <w:rPr>
          <w:rFonts w:ascii="Verdana" w:hAnsi="Verdana"/>
        </w:rPr>
      </w:pPr>
      <w:r w:rsidRPr="00A73224">
        <w:rPr>
          <w:rFonts w:ascii="Verdana" w:hAnsi="Verdana"/>
        </w:rPr>
        <w:t>Greenfields School Anti-Radicalisation policy statement links to all Childhood First safeguarding policies and</w:t>
      </w:r>
      <w:r w:rsidR="00E871EC" w:rsidRPr="00A73224">
        <w:rPr>
          <w:rFonts w:ascii="Verdana" w:hAnsi="Verdana"/>
        </w:rPr>
        <w:t xml:space="preserve"> has been written using the following safeguarding legislation and guidance:</w:t>
      </w:r>
    </w:p>
    <w:p w:rsidR="00E871EC" w:rsidRPr="00A73224" w:rsidRDefault="00E871EC" w:rsidP="005F0DA0">
      <w:pPr>
        <w:rPr>
          <w:rFonts w:ascii="Verdana" w:hAnsi="Verdana"/>
        </w:rPr>
      </w:pPr>
    </w:p>
    <w:p w:rsidR="00E871EC" w:rsidRPr="00A73224" w:rsidRDefault="00E871EC" w:rsidP="00E871EC">
      <w:pPr>
        <w:pStyle w:val="ListParagraph"/>
        <w:numPr>
          <w:ilvl w:val="0"/>
          <w:numId w:val="5"/>
        </w:numPr>
        <w:rPr>
          <w:rFonts w:ascii="Verdana" w:hAnsi="Verdana"/>
        </w:rPr>
      </w:pPr>
      <w:proofErr w:type="spellStart"/>
      <w:r w:rsidRPr="00A73224">
        <w:rPr>
          <w:rFonts w:ascii="Verdana" w:hAnsi="Verdana"/>
        </w:rPr>
        <w:t>DfE</w:t>
      </w:r>
      <w:proofErr w:type="spellEnd"/>
      <w:r w:rsidRPr="00A73224">
        <w:rPr>
          <w:rFonts w:ascii="Verdana" w:hAnsi="Verdana"/>
        </w:rPr>
        <w:t xml:space="preserve"> guidance </w:t>
      </w:r>
      <w:r w:rsidRPr="00A73224">
        <w:rPr>
          <w:rFonts w:ascii="Verdana" w:hAnsi="Verdana"/>
          <w:i/>
        </w:rPr>
        <w:t>‘Keep</w:t>
      </w:r>
      <w:r w:rsidR="003878EE">
        <w:rPr>
          <w:rFonts w:ascii="Verdana" w:hAnsi="Verdana"/>
          <w:i/>
        </w:rPr>
        <w:t xml:space="preserve">ing Children Safe in Education’ </w:t>
      </w:r>
      <w:r w:rsidR="000A6782">
        <w:rPr>
          <w:rFonts w:ascii="Verdana" w:hAnsi="Verdana"/>
        </w:rPr>
        <w:t>(Sept 2024</w:t>
      </w:r>
      <w:r w:rsidRPr="00A73224">
        <w:rPr>
          <w:rFonts w:ascii="Verdana" w:hAnsi="Verdana"/>
        </w:rPr>
        <w:t>)</w:t>
      </w:r>
    </w:p>
    <w:p w:rsidR="00E871EC" w:rsidRPr="00A73224" w:rsidRDefault="00E871EC" w:rsidP="00E871EC">
      <w:pPr>
        <w:pStyle w:val="ListParagraph"/>
        <w:numPr>
          <w:ilvl w:val="0"/>
          <w:numId w:val="5"/>
        </w:numPr>
        <w:rPr>
          <w:rFonts w:ascii="Verdana" w:hAnsi="Verdana"/>
        </w:rPr>
      </w:pPr>
      <w:proofErr w:type="spellStart"/>
      <w:r w:rsidRPr="00A73224">
        <w:rPr>
          <w:rFonts w:ascii="Verdana" w:hAnsi="Verdana"/>
        </w:rPr>
        <w:t>DfE</w:t>
      </w:r>
      <w:proofErr w:type="spellEnd"/>
      <w:r w:rsidRPr="00A73224">
        <w:rPr>
          <w:rFonts w:ascii="Verdana" w:hAnsi="Verdana"/>
        </w:rPr>
        <w:t xml:space="preserve"> resources </w:t>
      </w:r>
      <w:r w:rsidRPr="00A73224">
        <w:rPr>
          <w:rFonts w:ascii="Verdana" w:hAnsi="Verdana"/>
          <w:i/>
        </w:rPr>
        <w:t>‘Learning Together to be Safe’, ‘Prevent: Resources Guide’, ‘Tackling Extremism</w:t>
      </w:r>
      <w:r w:rsidR="0060704C" w:rsidRPr="00A73224">
        <w:rPr>
          <w:rFonts w:ascii="Verdana" w:hAnsi="Verdana"/>
          <w:i/>
        </w:rPr>
        <w:t xml:space="preserve"> in the UK’</w:t>
      </w:r>
    </w:p>
    <w:p w:rsidR="0060704C" w:rsidRPr="00A73224" w:rsidRDefault="0060704C" w:rsidP="00E871EC">
      <w:pPr>
        <w:pStyle w:val="ListParagraph"/>
        <w:numPr>
          <w:ilvl w:val="0"/>
          <w:numId w:val="5"/>
        </w:numPr>
        <w:rPr>
          <w:rFonts w:ascii="Verdana" w:hAnsi="Verdana"/>
        </w:rPr>
      </w:pPr>
      <w:proofErr w:type="spellStart"/>
      <w:r w:rsidRPr="00A73224">
        <w:rPr>
          <w:rFonts w:ascii="Verdana" w:hAnsi="Verdana"/>
        </w:rPr>
        <w:t>DfE</w:t>
      </w:r>
      <w:proofErr w:type="spellEnd"/>
      <w:r w:rsidRPr="00A73224">
        <w:rPr>
          <w:rFonts w:ascii="Verdana" w:hAnsi="Verdana"/>
        </w:rPr>
        <w:t xml:space="preserve"> guidance </w:t>
      </w:r>
      <w:r w:rsidRPr="00A73224">
        <w:rPr>
          <w:rFonts w:ascii="Verdana" w:hAnsi="Verdana"/>
          <w:i/>
        </w:rPr>
        <w:t>‘Teaching Approaches that help Build Resilience to Extremism among Young People’</w:t>
      </w:r>
    </w:p>
    <w:p w:rsidR="0060704C" w:rsidRPr="00A73224" w:rsidRDefault="0060704C" w:rsidP="00E871EC">
      <w:pPr>
        <w:pStyle w:val="ListParagraph"/>
        <w:numPr>
          <w:ilvl w:val="0"/>
          <w:numId w:val="5"/>
        </w:numPr>
        <w:rPr>
          <w:rFonts w:ascii="Verdana" w:hAnsi="Verdana"/>
        </w:rPr>
      </w:pPr>
      <w:proofErr w:type="spellStart"/>
      <w:r w:rsidRPr="00A73224">
        <w:rPr>
          <w:rFonts w:ascii="Verdana" w:hAnsi="Verdana"/>
        </w:rPr>
        <w:t>DfE</w:t>
      </w:r>
      <w:proofErr w:type="spellEnd"/>
      <w:r w:rsidRPr="00A73224">
        <w:rPr>
          <w:rFonts w:ascii="Verdana" w:hAnsi="Verdana"/>
        </w:rPr>
        <w:t xml:space="preserve"> guidance </w:t>
      </w:r>
      <w:r w:rsidRPr="00A73224">
        <w:rPr>
          <w:rFonts w:ascii="Verdana" w:hAnsi="Verdana"/>
          <w:i/>
        </w:rPr>
        <w:t>‘The Prevent Duty departmental advice for schools and childcare providers’</w:t>
      </w:r>
      <w:r w:rsidR="000A6782">
        <w:rPr>
          <w:rFonts w:ascii="Verdana" w:hAnsi="Verdana"/>
          <w:i/>
        </w:rPr>
        <w:t xml:space="preserve"> ‘Safeguarding Learners Vulnerable to Radicalisation’</w:t>
      </w:r>
      <w:r w:rsidRPr="00A73224">
        <w:rPr>
          <w:rFonts w:ascii="Verdana" w:hAnsi="Verdana"/>
          <w:i/>
        </w:rPr>
        <w:t xml:space="preserve"> </w:t>
      </w:r>
      <w:r w:rsidRPr="00A73224">
        <w:rPr>
          <w:rFonts w:ascii="Verdana" w:hAnsi="Verdana"/>
        </w:rPr>
        <w:t>(</w:t>
      </w:r>
      <w:r w:rsidR="000A6782">
        <w:rPr>
          <w:rFonts w:ascii="Verdana" w:hAnsi="Verdana"/>
        </w:rPr>
        <w:t>2022 – updated September 2023</w:t>
      </w:r>
      <w:r w:rsidRPr="00A73224">
        <w:rPr>
          <w:rFonts w:ascii="Verdana" w:hAnsi="Verdana"/>
        </w:rPr>
        <w:t>)</w:t>
      </w:r>
    </w:p>
    <w:p w:rsidR="001966C9" w:rsidRDefault="001966C9" w:rsidP="001966C9">
      <w:pPr>
        <w:rPr>
          <w:rFonts w:ascii="Verdana" w:hAnsi="Verdana"/>
        </w:rPr>
      </w:pPr>
    </w:p>
    <w:p w:rsidR="001966C9" w:rsidRDefault="001966C9" w:rsidP="001966C9">
      <w:pPr>
        <w:rPr>
          <w:rFonts w:ascii="Verdana" w:hAnsi="Verdana"/>
          <w:b/>
        </w:rPr>
      </w:pPr>
      <w:r>
        <w:rPr>
          <w:rFonts w:ascii="Verdana" w:hAnsi="Verdana"/>
          <w:b/>
        </w:rPr>
        <w:t>Aims and Principles</w:t>
      </w:r>
    </w:p>
    <w:p w:rsidR="008B78D5" w:rsidRDefault="008B78D5" w:rsidP="001966C9">
      <w:pPr>
        <w:rPr>
          <w:rFonts w:ascii="Verdana" w:hAnsi="Verdana"/>
          <w:b/>
        </w:rPr>
      </w:pPr>
    </w:p>
    <w:p w:rsidR="001966C9" w:rsidRDefault="001966C9" w:rsidP="001966C9">
      <w:pPr>
        <w:rPr>
          <w:rFonts w:ascii="Verdana" w:hAnsi="Verdana"/>
        </w:rPr>
      </w:pPr>
      <w:r w:rsidRPr="00CB108C">
        <w:rPr>
          <w:rFonts w:ascii="Verdana" w:hAnsi="Verdana"/>
        </w:rPr>
        <w:t>The main aims of this policy statement are to ensure that staff are fully engaged in being vigilant about radicalisation; that they overcome professional disbelief that such issues will not happen here and ensure that we work alongside other professional bodies and agencies to ensure that our pupils are safe from harm.</w:t>
      </w:r>
    </w:p>
    <w:p w:rsidR="008B78D5" w:rsidRPr="00CB108C" w:rsidRDefault="008B78D5" w:rsidP="001966C9">
      <w:pPr>
        <w:rPr>
          <w:rFonts w:ascii="Verdana" w:hAnsi="Verdana"/>
        </w:rPr>
      </w:pPr>
    </w:p>
    <w:p w:rsidR="00A36659" w:rsidRDefault="00A36659" w:rsidP="001966C9">
      <w:pPr>
        <w:rPr>
          <w:rFonts w:ascii="Verdana" w:hAnsi="Verdana"/>
        </w:rPr>
      </w:pPr>
    </w:p>
    <w:p w:rsidR="001966C9" w:rsidRDefault="001966C9" w:rsidP="001966C9">
      <w:pPr>
        <w:rPr>
          <w:rFonts w:ascii="Verdana" w:hAnsi="Verdana"/>
        </w:rPr>
      </w:pPr>
      <w:r w:rsidRPr="00CB108C">
        <w:rPr>
          <w:rFonts w:ascii="Verdana" w:hAnsi="Verdana"/>
        </w:rPr>
        <w:t>The principle objectives are that:</w:t>
      </w:r>
    </w:p>
    <w:p w:rsidR="008B78D5" w:rsidRPr="00CB108C" w:rsidRDefault="008B78D5" w:rsidP="001966C9">
      <w:pPr>
        <w:rPr>
          <w:rFonts w:ascii="Verdana" w:hAnsi="Verdana"/>
        </w:rPr>
      </w:pPr>
    </w:p>
    <w:p w:rsidR="001966C9" w:rsidRDefault="001966C9" w:rsidP="001966C9">
      <w:pPr>
        <w:pStyle w:val="ListParagraph"/>
        <w:numPr>
          <w:ilvl w:val="0"/>
          <w:numId w:val="4"/>
        </w:numPr>
        <w:rPr>
          <w:rFonts w:ascii="Verdana" w:hAnsi="Verdana"/>
        </w:rPr>
      </w:pPr>
      <w:r w:rsidRPr="00CB108C">
        <w:rPr>
          <w:rFonts w:ascii="Verdana" w:hAnsi="Verdana"/>
        </w:rPr>
        <w:t>All staff, teachers, learning support assistants and non-teaching staff will have an understanding of what radicalisation and extremism are and why we need to be vigilant in school.</w:t>
      </w:r>
    </w:p>
    <w:p w:rsidR="005F0DA0" w:rsidRPr="00CB108C" w:rsidRDefault="001966C9" w:rsidP="001966C9">
      <w:pPr>
        <w:pStyle w:val="ListParagraph"/>
        <w:numPr>
          <w:ilvl w:val="0"/>
          <w:numId w:val="4"/>
        </w:numPr>
        <w:jc w:val="both"/>
        <w:rPr>
          <w:rFonts w:ascii="Verdana" w:hAnsi="Verdana"/>
        </w:rPr>
      </w:pPr>
      <w:r w:rsidRPr="00CB108C">
        <w:rPr>
          <w:rFonts w:ascii="Verdana" w:hAnsi="Verdana"/>
        </w:rPr>
        <w:lastRenderedPageBreak/>
        <w:t>All staff, teachers, learning support assistants and non-teaching staff will know what the school policy is on anti-radicalisation and extremism and will follow the policy when issues arise.</w:t>
      </w:r>
    </w:p>
    <w:p w:rsidR="001966C9" w:rsidRPr="00CB108C" w:rsidRDefault="00992CFF" w:rsidP="001966C9">
      <w:pPr>
        <w:pStyle w:val="ListParagraph"/>
        <w:numPr>
          <w:ilvl w:val="0"/>
          <w:numId w:val="4"/>
        </w:numPr>
        <w:jc w:val="both"/>
        <w:rPr>
          <w:rFonts w:ascii="Verdana" w:hAnsi="Verdana"/>
        </w:rPr>
      </w:pPr>
      <w:r w:rsidRPr="00CB108C">
        <w:rPr>
          <w:rFonts w:ascii="Verdana" w:hAnsi="Verdana"/>
        </w:rPr>
        <w:t>Local Authorities and pupils will know that the school has policies in place to keep pupils safe from harm and that the school regularly reviews its systems to ensure they are appropriate and effective.</w:t>
      </w:r>
      <w:r w:rsidR="00052439" w:rsidRPr="00CB108C">
        <w:rPr>
          <w:rFonts w:ascii="Verdana" w:hAnsi="Verdana"/>
        </w:rPr>
        <w:t xml:space="preserve"> </w:t>
      </w:r>
    </w:p>
    <w:p w:rsidR="00992CFF" w:rsidRDefault="00992CFF" w:rsidP="00992CFF">
      <w:pPr>
        <w:jc w:val="both"/>
        <w:rPr>
          <w:rFonts w:ascii="Verdana" w:hAnsi="Verdana"/>
        </w:rPr>
      </w:pPr>
    </w:p>
    <w:p w:rsidR="00992CFF" w:rsidRDefault="00992CFF" w:rsidP="00992CFF">
      <w:pPr>
        <w:jc w:val="both"/>
        <w:rPr>
          <w:rFonts w:ascii="Verdana" w:hAnsi="Verdana"/>
          <w:b/>
        </w:rPr>
      </w:pPr>
      <w:r>
        <w:rPr>
          <w:rFonts w:ascii="Verdana" w:hAnsi="Verdana"/>
          <w:b/>
        </w:rPr>
        <w:t>Definitions</w:t>
      </w:r>
      <w:r w:rsidR="008F13AF">
        <w:rPr>
          <w:rFonts w:ascii="Verdana" w:hAnsi="Verdana"/>
          <w:b/>
        </w:rPr>
        <w:t xml:space="preserve"> and Indicators</w:t>
      </w:r>
    </w:p>
    <w:p w:rsidR="008B78D5" w:rsidRDefault="008B78D5" w:rsidP="00992CFF">
      <w:pPr>
        <w:jc w:val="both"/>
        <w:rPr>
          <w:rFonts w:ascii="Verdana" w:hAnsi="Verdana"/>
          <w:b/>
        </w:rPr>
      </w:pPr>
    </w:p>
    <w:p w:rsidR="008F13AF" w:rsidRDefault="008F13AF" w:rsidP="00992CFF">
      <w:pPr>
        <w:jc w:val="both"/>
        <w:rPr>
          <w:rFonts w:ascii="Verdana" w:hAnsi="Verdana"/>
        </w:rPr>
      </w:pPr>
      <w:r>
        <w:rPr>
          <w:rFonts w:ascii="Verdana" w:hAnsi="Verdana"/>
        </w:rPr>
        <w:t>Radicalisation is defined as the act or process of making a person more radical or favouring of extreme or fundamental changes in political, economic or social conditions, institutions or habits of the mind.</w:t>
      </w:r>
    </w:p>
    <w:p w:rsidR="008B78D5" w:rsidRDefault="008B78D5" w:rsidP="00992CFF">
      <w:pPr>
        <w:jc w:val="both"/>
        <w:rPr>
          <w:rFonts w:ascii="Verdana" w:hAnsi="Verdana"/>
        </w:rPr>
      </w:pPr>
    </w:p>
    <w:p w:rsidR="008F13AF" w:rsidRDefault="008F13AF" w:rsidP="00992CFF">
      <w:pPr>
        <w:jc w:val="both"/>
        <w:rPr>
          <w:rFonts w:ascii="Verdana" w:hAnsi="Verdana"/>
        </w:rPr>
      </w:pPr>
      <w:r>
        <w:rPr>
          <w:rFonts w:ascii="Verdana" w:hAnsi="Verdana"/>
        </w:rPr>
        <w:t>Extremism is defined as the holding of extreme political or religious views.</w:t>
      </w:r>
    </w:p>
    <w:p w:rsidR="00625954" w:rsidRDefault="00625954" w:rsidP="00992CFF">
      <w:pPr>
        <w:jc w:val="both"/>
        <w:rPr>
          <w:rFonts w:ascii="Verdana" w:hAnsi="Verdana"/>
        </w:rPr>
      </w:pPr>
    </w:p>
    <w:p w:rsidR="00625954" w:rsidRPr="003878EE" w:rsidRDefault="00625954" w:rsidP="00992CFF">
      <w:pPr>
        <w:jc w:val="both"/>
        <w:rPr>
          <w:rFonts w:ascii="Verdana" w:hAnsi="Verdana"/>
          <w:b/>
        </w:rPr>
      </w:pPr>
      <w:r w:rsidRPr="003878EE">
        <w:rPr>
          <w:rFonts w:ascii="Verdana" w:hAnsi="Verdana"/>
          <w:b/>
        </w:rPr>
        <w:t>Roles and Responsibilities</w:t>
      </w:r>
    </w:p>
    <w:p w:rsidR="00625954" w:rsidRPr="00625954" w:rsidRDefault="00625954" w:rsidP="00992CFF">
      <w:pPr>
        <w:jc w:val="both"/>
        <w:rPr>
          <w:rFonts w:ascii="Verdana" w:hAnsi="Verdana"/>
          <w:b/>
          <w:highlight w:val="yellow"/>
        </w:rPr>
      </w:pPr>
    </w:p>
    <w:p w:rsidR="00625954" w:rsidRPr="00A73224" w:rsidRDefault="00A73224" w:rsidP="00992CFF">
      <w:pPr>
        <w:jc w:val="both"/>
        <w:rPr>
          <w:rFonts w:ascii="Verdana" w:hAnsi="Verdana"/>
        </w:rPr>
      </w:pPr>
      <w:r>
        <w:rPr>
          <w:rFonts w:ascii="Verdana" w:hAnsi="Verdana"/>
          <w:b/>
        </w:rPr>
        <w:t>The R</w:t>
      </w:r>
      <w:r w:rsidR="00625954" w:rsidRPr="00A73224">
        <w:rPr>
          <w:rFonts w:ascii="Verdana" w:hAnsi="Verdana"/>
          <w:b/>
        </w:rPr>
        <w:t>ole of the Governing Body</w:t>
      </w:r>
    </w:p>
    <w:p w:rsidR="00625954" w:rsidRPr="00A73224" w:rsidRDefault="00625954" w:rsidP="00992CFF">
      <w:pPr>
        <w:jc w:val="both"/>
        <w:rPr>
          <w:rFonts w:ascii="Verdana" w:hAnsi="Verdana"/>
        </w:rPr>
      </w:pPr>
    </w:p>
    <w:p w:rsidR="00625954" w:rsidRDefault="00625954" w:rsidP="00625954">
      <w:pPr>
        <w:pStyle w:val="ListParagraph"/>
        <w:numPr>
          <w:ilvl w:val="0"/>
          <w:numId w:val="6"/>
        </w:numPr>
        <w:jc w:val="both"/>
        <w:rPr>
          <w:rFonts w:ascii="Verdana" w:hAnsi="Verdana"/>
        </w:rPr>
      </w:pPr>
      <w:r w:rsidRPr="00A73224">
        <w:rPr>
          <w:rFonts w:ascii="Verdana" w:hAnsi="Verdana"/>
        </w:rPr>
        <w:t>To support the ethos and values of our school and support the school in tackling extremism and radicalisation.</w:t>
      </w:r>
    </w:p>
    <w:p w:rsidR="00602871" w:rsidRPr="003878EE" w:rsidRDefault="00602871" w:rsidP="00625954">
      <w:pPr>
        <w:pStyle w:val="ListParagraph"/>
        <w:numPr>
          <w:ilvl w:val="0"/>
          <w:numId w:val="6"/>
        </w:numPr>
        <w:jc w:val="both"/>
        <w:rPr>
          <w:rFonts w:ascii="Verdana" w:hAnsi="Verdana"/>
        </w:rPr>
      </w:pPr>
      <w:r w:rsidRPr="003878EE">
        <w:rPr>
          <w:rFonts w:ascii="Verdana" w:hAnsi="Verdana"/>
        </w:rPr>
        <w:t>To examine the efficacy of the policy within the overarching safeguarding policies and protocols.</w:t>
      </w:r>
    </w:p>
    <w:p w:rsidR="00625954" w:rsidRDefault="00625954" w:rsidP="00625954">
      <w:pPr>
        <w:pStyle w:val="ListParagraph"/>
        <w:numPr>
          <w:ilvl w:val="0"/>
          <w:numId w:val="6"/>
        </w:numPr>
        <w:jc w:val="both"/>
        <w:rPr>
          <w:rFonts w:ascii="Verdana" w:hAnsi="Verdana"/>
        </w:rPr>
      </w:pPr>
      <w:r w:rsidRPr="003878EE">
        <w:rPr>
          <w:rFonts w:ascii="Verdana" w:hAnsi="Verdana"/>
        </w:rPr>
        <w:t>To review this po</w:t>
      </w:r>
      <w:r w:rsidR="00602871" w:rsidRPr="003878EE">
        <w:rPr>
          <w:rFonts w:ascii="Verdana" w:hAnsi="Verdana"/>
        </w:rPr>
        <w:t>licy annually</w:t>
      </w:r>
      <w:r w:rsidRPr="003878EE">
        <w:rPr>
          <w:rFonts w:ascii="Verdana" w:hAnsi="Verdana"/>
        </w:rPr>
        <w:t xml:space="preserve"> and </w:t>
      </w:r>
      <w:r w:rsidR="00602871" w:rsidRPr="003878EE">
        <w:rPr>
          <w:rFonts w:ascii="Verdana" w:hAnsi="Verdana"/>
        </w:rPr>
        <w:t xml:space="preserve">support </w:t>
      </w:r>
      <w:r w:rsidRPr="003878EE">
        <w:rPr>
          <w:rFonts w:ascii="Verdana" w:hAnsi="Verdana"/>
        </w:rPr>
        <w:t>amend</w:t>
      </w:r>
      <w:r w:rsidR="00602871" w:rsidRPr="003878EE">
        <w:rPr>
          <w:rFonts w:ascii="Verdana" w:hAnsi="Verdana"/>
        </w:rPr>
        <w:t>ing</w:t>
      </w:r>
      <w:r w:rsidRPr="003878EE">
        <w:rPr>
          <w:rFonts w:ascii="Verdana" w:hAnsi="Verdana"/>
        </w:rPr>
        <w:t xml:space="preserve"> it outside of this timeframe</w:t>
      </w:r>
      <w:r w:rsidR="00602871" w:rsidRPr="003878EE">
        <w:rPr>
          <w:rFonts w:ascii="Verdana" w:hAnsi="Verdana"/>
        </w:rPr>
        <w:t xml:space="preserve"> (CHF</w:t>
      </w:r>
      <w:r w:rsidR="000A6782">
        <w:rPr>
          <w:rFonts w:ascii="Verdana" w:hAnsi="Verdana"/>
        </w:rPr>
        <w:t xml:space="preserve"> and Headteacher</w:t>
      </w:r>
      <w:r w:rsidR="00602871" w:rsidRPr="003878EE">
        <w:rPr>
          <w:rFonts w:ascii="Verdana" w:hAnsi="Verdana"/>
        </w:rPr>
        <w:t>)</w:t>
      </w:r>
      <w:r w:rsidRPr="003878EE">
        <w:rPr>
          <w:rFonts w:ascii="Verdana" w:hAnsi="Verdana"/>
        </w:rPr>
        <w:t xml:space="preserve"> in accordance with any new legislation or guidance or in response to any quality assurance recommendations pertaining to the delivery of this policy and the overall safeguarding arrangements at Greenfields School.</w:t>
      </w:r>
    </w:p>
    <w:p w:rsidR="000A6782" w:rsidRPr="003878EE" w:rsidRDefault="000A6782" w:rsidP="000A6782">
      <w:pPr>
        <w:pStyle w:val="ListParagraph"/>
        <w:jc w:val="both"/>
        <w:rPr>
          <w:rFonts w:ascii="Verdana" w:hAnsi="Verdana"/>
        </w:rPr>
      </w:pPr>
      <w:bookmarkStart w:id="0" w:name="_GoBack"/>
      <w:bookmarkEnd w:id="0"/>
    </w:p>
    <w:p w:rsidR="008F13AF" w:rsidRDefault="008F13AF" w:rsidP="00992CFF">
      <w:pPr>
        <w:jc w:val="both"/>
        <w:rPr>
          <w:rFonts w:ascii="Verdana" w:hAnsi="Verdana"/>
          <w:b/>
        </w:rPr>
      </w:pPr>
      <w:r>
        <w:rPr>
          <w:rFonts w:ascii="Verdana" w:hAnsi="Verdana"/>
          <w:b/>
        </w:rPr>
        <w:t>The Role of the Curriculum</w:t>
      </w:r>
    </w:p>
    <w:p w:rsidR="008B78D5" w:rsidRDefault="008B78D5" w:rsidP="00992CFF">
      <w:pPr>
        <w:jc w:val="both"/>
        <w:rPr>
          <w:rFonts w:ascii="Verdana" w:hAnsi="Verdana"/>
          <w:b/>
        </w:rPr>
      </w:pPr>
    </w:p>
    <w:p w:rsidR="008F13AF" w:rsidRDefault="008F13AF" w:rsidP="00992CFF">
      <w:pPr>
        <w:jc w:val="both"/>
        <w:rPr>
          <w:rFonts w:ascii="Verdana" w:hAnsi="Verdana"/>
        </w:rPr>
      </w:pPr>
      <w:r>
        <w:rPr>
          <w:rFonts w:ascii="Verdana" w:hAnsi="Verdana"/>
        </w:rPr>
        <w:t xml:space="preserve">Our curriculum promotes respect, tolerance and diversity. Children are encouraged to share their views and recognise that they are </w:t>
      </w:r>
      <w:r>
        <w:rPr>
          <w:rFonts w:ascii="Verdana" w:hAnsi="Verdana"/>
        </w:rPr>
        <w:lastRenderedPageBreak/>
        <w:t>entitled to have their own different beliefs which should not be used to influence others.</w:t>
      </w:r>
    </w:p>
    <w:p w:rsidR="008B78D5" w:rsidRDefault="008B78D5" w:rsidP="00992CFF">
      <w:pPr>
        <w:jc w:val="both"/>
        <w:rPr>
          <w:rFonts w:ascii="Verdana" w:hAnsi="Verdana"/>
        </w:rPr>
      </w:pPr>
    </w:p>
    <w:p w:rsidR="008F13AF" w:rsidRDefault="008F13AF" w:rsidP="00992CFF">
      <w:pPr>
        <w:jc w:val="both"/>
        <w:rPr>
          <w:rFonts w:ascii="Verdana" w:hAnsi="Verdana"/>
        </w:rPr>
      </w:pPr>
      <w:r>
        <w:rPr>
          <w:rFonts w:ascii="Verdana" w:hAnsi="Verdana"/>
        </w:rPr>
        <w:t>Our PSHE (Personal, Social and Health Education), Citizenship and SMSC (Spiritual, Moral, Social and Cultural) provision is embedded across the curriculum, and underpins the ethos of the school.</w:t>
      </w:r>
    </w:p>
    <w:p w:rsidR="008B78D5" w:rsidRDefault="008B78D5" w:rsidP="00992CFF">
      <w:pPr>
        <w:jc w:val="both"/>
        <w:rPr>
          <w:rFonts w:ascii="Verdana" w:hAnsi="Verdana"/>
        </w:rPr>
      </w:pPr>
    </w:p>
    <w:p w:rsidR="008F13AF" w:rsidRDefault="008F13AF" w:rsidP="00992CFF">
      <w:pPr>
        <w:jc w:val="both"/>
        <w:rPr>
          <w:rFonts w:ascii="Verdana" w:hAnsi="Verdana"/>
        </w:rPr>
      </w:pPr>
      <w:r>
        <w:rPr>
          <w:rFonts w:ascii="Verdana" w:hAnsi="Verdana"/>
        </w:rPr>
        <w:t>It is recognised that children with low aspirations are more vulnerable to radicalisation and therefore we strive to equip our pupils with confidence, self-belief, respect and tolerance as well as setting high standards and expectations for themselves.</w:t>
      </w:r>
    </w:p>
    <w:p w:rsidR="008B78D5" w:rsidRDefault="008B78D5" w:rsidP="00992CFF">
      <w:pPr>
        <w:jc w:val="both"/>
        <w:rPr>
          <w:rFonts w:ascii="Verdana" w:hAnsi="Verdana"/>
        </w:rPr>
      </w:pPr>
    </w:p>
    <w:p w:rsidR="00052439" w:rsidRDefault="008F13AF" w:rsidP="00992CFF">
      <w:pPr>
        <w:jc w:val="both"/>
        <w:rPr>
          <w:rFonts w:ascii="Verdana" w:hAnsi="Verdana"/>
        </w:rPr>
      </w:pPr>
      <w:r w:rsidRPr="00CB108C">
        <w:rPr>
          <w:rFonts w:ascii="Verdana" w:hAnsi="Verdana"/>
        </w:rPr>
        <w:t>Children are taught about how to stay safe when using the</w:t>
      </w:r>
      <w:r w:rsidR="00AC3236" w:rsidRPr="00CB108C">
        <w:rPr>
          <w:rFonts w:ascii="Verdana" w:hAnsi="Verdana"/>
        </w:rPr>
        <w:t xml:space="preserve"> Internet and are encouraged to recognise that people are not always who they say they are online. </w:t>
      </w:r>
      <w:r w:rsidR="00052439" w:rsidRPr="00CB108C">
        <w:rPr>
          <w:rFonts w:ascii="Verdana" w:hAnsi="Verdana"/>
        </w:rPr>
        <w:t>This will be further prom</w:t>
      </w:r>
      <w:r w:rsidR="00CB108C" w:rsidRPr="00CB108C">
        <w:rPr>
          <w:rFonts w:ascii="Verdana" w:hAnsi="Verdana"/>
        </w:rPr>
        <w:t>oted on an annual basis through</w:t>
      </w:r>
      <w:r w:rsidR="00052439" w:rsidRPr="00CB108C">
        <w:rPr>
          <w:rFonts w:ascii="Verdana" w:hAnsi="Verdana"/>
        </w:rPr>
        <w:t xml:space="preserve"> a 'Safer Internet Day' when the focus will include issues of radicalisation.</w:t>
      </w:r>
    </w:p>
    <w:p w:rsidR="008B78D5" w:rsidRPr="00CB108C" w:rsidRDefault="008B78D5" w:rsidP="00992CFF">
      <w:pPr>
        <w:jc w:val="both"/>
        <w:rPr>
          <w:rFonts w:ascii="Verdana" w:hAnsi="Verdana"/>
        </w:rPr>
      </w:pPr>
    </w:p>
    <w:p w:rsidR="008F13AF" w:rsidRDefault="00052439" w:rsidP="00992CFF">
      <w:pPr>
        <w:jc w:val="both"/>
        <w:rPr>
          <w:rFonts w:ascii="Verdana" w:hAnsi="Verdana"/>
        </w:rPr>
      </w:pPr>
      <w:r>
        <w:rPr>
          <w:rFonts w:ascii="Verdana" w:hAnsi="Verdana"/>
        </w:rPr>
        <w:t>Children</w:t>
      </w:r>
      <w:r w:rsidR="00AC3236">
        <w:rPr>
          <w:rFonts w:ascii="Verdana" w:hAnsi="Verdana"/>
        </w:rPr>
        <w:t xml:space="preserve"> are taught to seek adult help if they are upset or concerned about anything they read or see on the Internet.</w:t>
      </w:r>
    </w:p>
    <w:p w:rsidR="00247388" w:rsidRDefault="00247388" w:rsidP="00992CFF">
      <w:pPr>
        <w:jc w:val="both"/>
        <w:rPr>
          <w:rFonts w:ascii="Verdana" w:hAnsi="Verdana"/>
        </w:rPr>
      </w:pPr>
    </w:p>
    <w:p w:rsidR="00AC3236" w:rsidRDefault="00AC3236" w:rsidP="00992CFF">
      <w:pPr>
        <w:jc w:val="both"/>
        <w:rPr>
          <w:rFonts w:ascii="Verdana" w:hAnsi="Verdana"/>
          <w:b/>
        </w:rPr>
      </w:pPr>
      <w:r>
        <w:rPr>
          <w:rFonts w:ascii="Verdana" w:hAnsi="Verdana"/>
          <w:b/>
        </w:rPr>
        <w:t>Staff Training</w:t>
      </w:r>
    </w:p>
    <w:p w:rsidR="008B78D5" w:rsidRDefault="008B78D5" w:rsidP="00992CFF">
      <w:pPr>
        <w:jc w:val="both"/>
        <w:rPr>
          <w:rFonts w:ascii="Verdana" w:hAnsi="Verdana"/>
          <w:b/>
        </w:rPr>
      </w:pPr>
    </w:p>
    <w:p w:rsidR="00AC3236" w:rsidRDefault="00AC3236" w:rsidP="00992CFF">
      <w:pPr>
        <w:jc w:val="both"/>
        <w:rPr>
          <w:rFonts w:ascii="Verdana" w:hAnsi="Verdana"/>
        </w:rPr>
      </w:pPr>
      <w:r>
        <w:rPr>
          <w:rFonts w:ascii="Verdana" w:hAnsi="Verdana"/>
        </w:rPr>
        <w:t>Through INSET opportunities in school, we will ensur</w:t>
      </w:r>
      <w:r w:rsidR="00CB108C">
        <w:rPr>
          <w:rFonts w:ascii="Verdana" w:hAnsi="Verdana"/>
        </w:rPr>
        <w:t xml:space="preserve">e that our staff are fully </w:t>
      </w:r>
      <w:r w:rsidR="00052439">
        <w:rPr>
          <w:rFonts w:ascii="Verdana" w:hAnsi="Verdana"/>
        </w:rPr>
        <w:t>cognisant</w:t>
      </w:r>
      <w:r>
        <w:rPr>
          <w:rFonts w:ascii="Verdana" w:hAnsi="Verdana"/>
        </w:rPr>
        <w:t xml:space="preserve"> of the threats, risks and vulnerabilities that are lin</w:t>
      </w:r>
      <w:r w:rsidR="00052439">
        <w:rPr>
          <w:rFonts w:ascii="Verdana" w:hAnsi="Verdana"/>
        </w:rPr>
        <w:t>ked to radicalisation; have an awareness</w:t>
      </w:r>
      <w:r>
        <w:rPr>
          <w:rFonts w:ascii="Verdana" w:hAnsi="Verdana"/>
        </w:rPr>
        <w:t xml:space="preserve"> of the process of radicalisation and how this might be identified early on.</w:t>
      </w:r>
    </w:p>
    <w:p w:rsidR="00602871" w:rsidRDefault="00602871" w:rsidP="00992CFF">
      <w:pPr>
        <w:jc w:val="both"/>
        <w:rPr>
          <w:rFonts w:ascii="Verdana" w:hAnsi="Verdana"/>
        </w:rPr>
      </w:pPr>
    </w:p>
    <w:p w:rsidR="00602871" w:rsidRDefault="00602871" w:rsidP="00992CFF">
      <w:pPr>
        <w:jc w:val="both"/>
        <w:rPr>
          <w:rFonts w:ascii="Verdana" w:hAnsi="Verdana"/>
        </w:rPr>
      </w:pPr>
    </w:p>
    <w:p w:rsidR="00AC3236" w:rsidRDefault="00AC3236" w:rsidP="00992CFF">
      <w:pPr>
        <w:jc w:val="both"/>
        <w:rPr>
          <w:rFonts w:ascii="Verdana" w:hAnsi="Verdana"/>
          <w:b/>
        </w:rPr>
      </w:pPr>
      <w:r>
        <w:rPr>
          <w:rFonts w:ascii="Verdana" w:hAnsi="Verdana"/>
          <w:b/>
        </w:rPr>
        <w:t>Policy Review</w:t>
      </w:r>
    </w:p>
    <w:p w:rsidR="008B78D5" w:rsidRDefault="008B78D5" w:rsidP="00992CFF">
      <w:pPr>
        <w:jc w:val="both"/>
        <w:rPr>
          <w:rFonts w:ascii="Verdana" w:hAnsi="Verdana"/>
          <w:b/>
        </w:rPr>
      </w:pPr>
    </w:p>
    <w:p w:rsidR="00AC3236" w:rsidRDefault="00AC3236" w:rsidP="00992CFF">
      <w:pPr>
        <w:jc w:val="both"/>
        <w:rPr>
          <w:rFonts w:ascii="Verdana" w:hAnsi="Verdana"/>
        </w:rPr>
      </w:pPr>
      <w:r w:rsidRPr="00602871">
        <w:rPr>
          <w:rFonts w:ascii="Verdana" w:hAnsi="Verdana"/>
        </w:rPr>
        <w:t xml:space="preserve">The Anti-Radicalisation policy statement will be reviewed annually </w:t>
      </w:r>
      <w:r w:rsidR="00602871" w:rsidRPr="003878EE">
        <w:rPr>
          <w:rFonts w:ascii="Verdana" w:hAnsi="Verdana"/>
        </w:rPr>
        <w:t>within the school setting</w:t>
      </w:r>
      <w:r w:rsidR="00602871">
        <w:rPr>
          <w:rFonts w:ascii="Verdana" w:hAnsi="Verdana"/>
          <w:color w:val="FF0000"/>
        </w:rPr>
        <w:t xml:space="preserve"> </w:t>
      </w:r>
      <w:r w:rsidRPr="00602871">
        <w:rPr>
          <w:rFonts w:ascii="Verdana" w:hAnsi="Verdana"/>
        </w:rPr>
        <w:t>as part of the overal</w:t>
      </w:r>
      <w:r w:rsidR="00D6429E" w:rsidRPr="00602871">
        <w:rPr>
          <w:rFonts w:ascii="Verdana" w:hAnsi="Verdana"/>
        </w:rPr>
        <w:t>l Safeguarding policy review.</w:t>
      </w:r>
      <w:r w:rsidR="00A73224">
        <w:rPr>
          <w:rFonts w:ascii="Verdana" w:hAnsi="Verdana"/>
        </w:rPr>
        <w:t xml:space="preserve"> </w:t>
      </w:r>
    </w:p>
    <w:p w:rsidR="00A73224" w:rsidRDefault="00A73224" w:rsidP="00992CFF">
      <w:pPr>
        <w:jc w:val="both"/>
        <w:rPr>
          <w:rFonts w:ascii="Verdana" w:hAnsi="Verdana"/>
        </w:rPr>
      </w:pPr>
    </w:p>
    <w:p w:rsidR="008F13AF" w:rsidRPr="008F13AF" w:rsidRDefault="008F13AF" w:rsidP="00992CFF">
      <w:pPr>
        <w:jc w:val="both"/>
        <w:rPr>
          <w:rFonts w:ascii="Verdana" w:hAnsi="Verdana"/>
          <w:b/>
        </w:rPr>
      </w:pPr>
    </w:p>
    <w:p w:rsidR="00992CFF" w:rsidRDefault="00992CFF" w:rsidP="00992CFF">
      <w:pPr>
        <w:pStyle w:val="ListParagraph"/>
        <w:jc w:val="both"/>
        <w:rPr>
          <w:rFonts w:ascii="Verdana" w:hAnsi="Verdana"/>
        </w:rPr>
      </w:pPr>
    </w:p>
    <w:p w:rsidR="00992CFF" w:rsidRPr="001966C9" w:rsidRDefault="00992CFF" w:rsidP="00992CFF">
      <w:pPr>
        <w:pStyle w:val="ListParagraph"/>
        <w:jc w:val="both"/>
        <w:rPr>
          <w:rFonts w:ascii="Verdana" w:hAnsi="Verdana"/>
        </w:rPr>
      </w:pPr>
    </w:p>
    <w:p w:rsidR="00E76614" w:rsidRDefault="00E76614"/>
    <w:sectPr w:rsidR="00E76614" w:rsidSect="00DB0ECC">
      <w:footerReference w:type="even" r:id="rId10"/>
      <w:footerReference w:type="default" r:id="rId11"/>
      <w:footerReference w:type="first" r:id="rId12"/>
      <w:pgSz w:w="12240" w:h="15840"/>
      <w:pgMar w:top="1440" w:right="2175"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9C" w:rsidRDefault="00D95A9C" w:rsidP="00DF4344">
      <w:r>
        <w:separator/>
      </w:r>
    </w:p>
  </w:endnote>
  <w:endnote w:type="continuationSeparator" w:id="0">
    <w:p w:rsidR="00D95A9C" w:rsidRDefault="00D95A9C" w:rsidP="00DF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A4" w:rsidRDefault="00406328">
    <w:pPr>
      <w:pStyle w:val="Footer"/>
      <w:framePr w:wrap="around" w:vAnchor="text" w:hAnchor="margin" w:xAlign="center" w:y="1"/>
      <w:rPr>
        <w:rStyle w:val="PageNumber"/>
      </w:rPr>
    </w:pPr>
    <w:r>
      <w:rPr>
        <w:rStyle w:val="PageNumber"/>
      </w:rPr>
      <w:fldChar w:fldCharType="begin"/>
    </w:r>
    <w:r w:rsidR="00726DA4">
      <w:rPr>
        <w:rStyle w:val="PageNumber"/>
      </w:rPr>
      <w:instrText xml:space="preserve">PAGE  </w:instrText>
    </w:r>
    <w:r>
      <w:rPr>
        <w:rStyle w:val="PageNumber"/>
      </w:rPr>
      <w:fldChar w:fldCharType="end"/>
    </w:r>
  </w:p>
  <w:p w:rsidR="00726DA4" w:rsidRDefault="00726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1F" w:rsidRDefault="00B11D1F" w:rsidP="00B11D1F">
    <w:pPr>
      <w:pStyle w:val="Header"/>
    </w:pPr>
  </w:p>
  <w:p w:rsidR="00B11D1F" w:rsidRDefault="00B11D1F" w:rsidP="00B11D1F"/>
  <w:p w:rsidR="00B11D1F" w:rsidRDefault="00B11D1F" w:rsidP="00B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11D1F" w:rsidRDefault="00B11D1F" w:rsidP="00B11D1F">
    <w:pPr>
      <w:pStyle w:val="Footer"/>
    </w:pPr>
  </w:p>
  <w:p w:rsidR="00B11D1F" w:rsidRDefault="00B11D1F" w:rsidP="00B11D1F"/>
  <w:p w:rsidR="00B11D1F" w:rsidRPr="00F97ED7" w:rsidRDefault="00B11D1F" w:rsidP="00B11D1F">
    <w:pPr>
      <w:jc w:val="right"/>
      <w:rPr>
        <w:rFonts w:ascii="Verdana" w:hAnsi="Verdana"/>
        <w:sz w:val="22"/>
        <w:szCs w:val="22"/>
      </w:rPr>
    </w:pPr>
    <w:r w:rsidRPr="00F97ED7">
      <w:rPr>
        <w:rFonts w:ascii="Verdana" w:hAnsi="Verdana"/>
        <w:sz w:val="22"/>
        <w:szCs w:val="22"/>
      </w:rPr>
      <w:t>Greenfields School\Policies</w:t>
    </w:r>
  </w:p>
  <w:p w:rsidR="00B11D1F" w:rsidRPr="00F97ED7" w:rsidRDefault="00B11D1F" w:rsidP="00B11D1F">
    <w:pPr>
      <w:jc w:val="right"/>
      <w:rPr>
        <w:rFonts w:ascii="Verdana" w:hAnsi="Verdana"/>
        <w:sz w:val="22"/>
        <w:szCs w:val="22"/>
      </w:rPr>
    </w:pPr>
    <w:r>
      <w:rPr>
        <w:rFonts w:ascii="Verdana" w:hAnsi="Verdana"/>
        <w:sz w:val="22"/>
        <w:szCs w:val="22"/>
      </w:rPr>
      <w:t>Reviewed November 2024</w:t>
    </w:r>
  </w:p>
  <w:p w:rsidR="00B11D1F" w:rsidRDefault="00B11D1F" w:rsidP="00B11D1F">
    <w:pPr>
      <w:pStyle w:val="Footer"/>
      <w:jc w:val="right"/>
    </w:pPr>
  </w:p>
  <w:p w:rsidR="00726DA4" w:rsidRDefault="00726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A4" w:rsidRDefault="00726DA4">
    <w:pPr>
      <w:pStyle w:val="Footer"/>
    </w:pPr>
    <w:r>
      <w:t xml:space="preserve">Greenfields School/Policies                                           </w:t>
    </w:r>
    <w:r w:rsidR="00CA0F58">
      <w:t xml:space="preserve">          Reviewed </w:t>
    </w:r>
    <w:r w:rsidR="009F2B63">
      <w:t>July 2021</w:t>
    </w:r>
  </w:p>
  <w:p w:rsidR="00726DA4" w:rsidRDefault="0072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9C" w:rsidRDefault="00D95A9C" w:rsidP="00DF4344">
      <w:r>
        <w:separator/>
      </w:r>
    </w:p>
  </w:footnote>
  <w:footnote w:type="continuationSeparator" w:id="0">
    <w:p w:rsidR="00D95A9C" w:rsidRDefault="00D95A9C" w:rsidP="00DF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906"/>
    <w:multiLevelType w:val="hybridMultilevel"/>
    <w:tmpl w:val="A94430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0416C"/>
    <w:multiLevelType w:val="hybridMultilevel"/>
    <w:tmpl w:val="96F6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2236B"/>
    <w:multiLevelType w:val="hybridMultilevel"/>
    <w:tmpl w:val="EBCC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37963"/>
    <w:multiLevelType w:val="hybridMultilevel"/>
    <w:tmpl w:val="1556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E29B9"/>
    <w:multiLevelType w:val="hybridMultilevel"/>
    <w:tmpl w:val="9B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168FE"/>
    <w:multiLevelType w:val="hybridMultilevel"/>
    <w:tmpl w:val="3F10B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0"/>
    <w:rsid w:val="000123FB"/>
    <w:rsid w:val="00052439"/>
    <w:rsid w:val="00090EFF"/>
    <w:rsid w:val="000A6782"/>
    <w:rsid w:val="00106E9D"/>
    <w:rsid w:val="00156A90"/>
    <w:rsid w:val="001966C9"/>
    <w:rsid w:val="001E11C7"/>
    <w:rsid w:val="001E6B8C"/>
    <w:rsid w:val="00247388"/>
    <w:rsid w:val="002910DD"/>
    <w:rsid w:val="002A257A"/>
    <w:rsid w:val="002A474E"/>
    <w:rsid w:val="003878EE"/>
    <w:rsid w:val="003A0B99"/>
    <w:rsid w:val="0040454F"/>
    <w:rsid w:val="00406328"/>
    <w:rsid w:val="004446D4"/>
    <w:rsid w:val="00457D63"/>
    <w:rsid w:val="00464736"/>
    <w:rsid w:val="004E1B88"/>
    <w:rsid w:val="00507B24"/>
    <w:rsid w:val="005A2D22"/>
    <w:rsid w:val="005C1E91"/>
    <w:rsid w:val="005E3237"/>
    <w:rsid w:val="005F0DA0"/>
    <w:rsid w:val="00602871"/>
    <w:rsid w:val="0060704C"/>
    <w:rsid w:val="00625954"/>
    <w:rsid w:val="006660FA"/>
    <w:rsid w:val="006D45E1"/>
    <w:rsid w:val="00726DA4"/>
    <w:rsid w:val="007D46BD"/>
    <w:rsid w:val="008274D9"/>
    <w:rsid w:val="008B78D5"/>
    <w:rsid w:val="008F13AF"/>
    <w:rsid w:val="00952ABF"/>
    <w:rsid w:val="00992CFF"/>
    <w:rsid w:val="009A4690"/>
    <w:rsid w:val="009B29D5"/>
    <w:rsid w:val="009D1AB9"/>
    <w:rsid w:val="009F2B63"/>
    <w:rsid w:val="00A36659"/>
    <w:rsid w:val="00A73224"/>
    <w:rsid w:val="00AC3236"/>
    <w:rsid w:val="00B11D1F"/>
    <w:rsid w:val="00B86FF6"/>
    <w:rsid w:val="00BF2E14"/>
    <w:rsid w:val="00C137AC"/>
    <w:rsid w:val="00CA0F58"/>
    <w:rsid w:val="00CB108C"/>
    <w:rsid w:val="00CD1E1B"/>
    <w:rsid w:val="00CE4D34"/>
    <w:rsid w:val="00CE6B70"/>
    <w:rsid w:val="00D47F5F"/>
    <w:rsid w:val="00D6429E"/>
    <w:rsid w:val="00D86525"/>
    <w:rsid w:val="00D95A9C"/>
    <w:rsid w:val="00D96ECA"/>
    <w:rsid w:val="00DA78C8"/>
    <w:rsid w:val="00DB0ECC"/>
    <w:rsid w:val="00DB6257"/>
    <w:rsid w:val="00DB71DB"/>
    <w:rsid w:val="00DD500A"/>
    <w:rsid w:val="00DF4344"/>
    <w:rsid w:val="00E14039"/>
    <w:rsid w:val="00E523A9"/>
    <w:rsid w:val="00E54736"/>
    <w:rsid w:val="00E76614"/>
    <w:rsid w:val="00E871EC"/>
    <w:rsid w:val="00F00FC8"/>
    <w:rsid w:val="00F6477A"/>
    <w:rsid w:val="00FB6AA3"/>
    <w:rsid w:val="00FC4CA4"/>
    <w:rsid w:val="00FF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0587D21"/>
  <w15:docId w15:val="{B217A6AC-0586-4D68-A5BF-951DF356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A0"/>
    <w:pPr>
      <w:spacing w:after="0" w:line="240" w:lineRule="auto"/>
    </w:pPr>
    <w:rPr>
      <w:rFonts w:ascii="Times New Roman" w:eastAsia="Times New Roman" w:hAnsi="Times New Roman"/>
      <w:sz w:val="24"/>
      <w:szCs w:val="20"/>
    </w:rPr>
  </w:style>
  <w:style w:type="paragraph" w:styleId="Heading1">
    <w:name w:val="heading 1"/>
    <w:basedOn w:val="Normal"/>
    <w:next w:val="Normal"/>
    <w:link w:val="Heading1Char"/>
    <w:qFormat/>
    <w:rsid w:val="005F0DA0"/>
    <w:pPr>
      <w:keepNext/>
      <w:jc w:val="center"/>
      <w:outlineLvl w:val="0"/>
    </w:pPr>
    <w:rPr>
      <w:i/>
      <w:sz w:val="36"/>
    </w:rPr>
  </w:style>
  <w:style w:type="paragraph" w:styleId="Heading2">
    <w:name w:val="heading 2"/>
    <w:basedOn w:val="Normal"/>
    <w:next w:val="Normal"/>
    <w:link w:val="Heading2Char"/>
    <w:qFormat/>
    <w:rsid w:val="005F0DA0"/>
    <w:pPr>
      <w:keepNext/>
      <w:jc w:val="center"/>
      <w:outlineLvl w:val="1"/>
    </w:pPr>
    <w:rPr>
      <w:b/>
      <w:sz w:val="36"/>
    </w:rPr>
  </w:style>
  <w:style w:type="paragraph" w:styleId="Heading4">
    <w:name w:val="heading 4"/>
    <w:basedOn w:val="Normal"/>
    <w:next w:val="Normal"/>
    <w:link w:val="Heading4Char"/>
    <w:qFormat/>
    <w:rsid w:val="005F0DA0"/>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A0"/>
    <w:rPr>
      <w:rFonts w:ascii="Times New Roman" w:eastAsia="Times New Roman" w:hAnsi="Times New Roman"/>
      <w:i/>
      <w:sz w:val="36"/>
      <w:szCs w:val="20"/>
    </w:rPr>
  </w:style>
  <w:style w:type="character" w:customStyle="1" w:styleId="Heading2Char">
    <w:name w:val="Heading 2 Char"/>
    <w:basedOn w:val="DefaultParagraphFont"/>
    <w:link w:val="Heading2"/>
    <w:rsid w:val="005F0DA0"/>
    <w:rPr>
      <w:rFonts w:ascii="Times New Roman" w:eastAsia="Times New Roman" w:hAnsi="Times New Roman"/>
      <w:b/>
      <w:sz w:val="36"/>
      <w:szCs w:val="20"/>
    </w:rPr>
  </w:style>
  <w:style w:type="character" w:customStyle="1" w:styleId="Heading4Char">
    <w:name w:val="Heading 4 Char"/>
    <w:basedOn w:val="DefaultParagraphFont"/>
    <w:link w:val="Heading4"/>
    <w:rsid w:val="005F0DA0"/>
    <w:rPr>
      <w:rFonts w:ascii="Times New Roman" w:eastAsia="Times New Roman" w:hAnsi="Times New Roman"/>
      <w:b/>
      <w:bCs/>
      <w:sz w:val="24"/>
      <w:szCs w:val="20"/>
    </w:rPr>
  </w:style>
  <w:style w:type="paragraph" w:styleId="BodyText">
    <w:name w:val="Body Text"/>
    <w:basedOn w:val="Normal"/>
    <w:link w:val="BodyTextChar"/>
    <w:semiHidden/>
    <w:rsid w:val="005F0DA0"/>
    <w:pPr>
      <w:jc w:val="both"/>
    </w:pPr>
  </w:style>
  <w:style w:type="character" w:customStyle="1" w:styleId="BodyTextChar">
    <w:name w:val="Body Text Char"/>
    <w:basedOn w:val="DefaultParagraphFont"/>
    <w:link w:val="BodyText"/>
    <w:semiHidden/>
    <w:rsid w:val="005F0DA0"/>
    <w:rPr>
      <w:rFonts w:ascii="Times New Roman" w:eastAsia="Times New Roman" w:hAnsi="Times New Roman"/>
      <w:sz w:val="24"/>
      <w:szCs w:val="20"/>
    </w:rPr>
  </w:style>
  <w:style w:type="paragraph" w:styleId="Footer">
    <w:name w:val="footer"/>
    <w:basedOn w:val="Normal"/>
    <w:link w:val="FooterChar"/>
    <w:uiPriority w:val="99"/>
    <w:rsid w:val="005F0DA0"/>
    <w:pPr>
      <w:tabs>
        <w:tab w:val="center" w:pos="4153"/>
        <w:tab w:val="right" w:pos="8306"/>
      </w:tabs>
    </w:pPr>
  </w:style>
  <w:style w:type="character" w:customStyle="1" w:styleId="FooterChar">
    <w:name w:val="Footer Char"/>
    <w:basedOn w:val="DefaultParagraphFont"/>
    <w:link w:val="Footer"/>
    <w:uiPriority w:val="99"/>
    <w:rsid w:val="005F0DA0"/>
    <w:rPr>
      <w:rFonts w:ascii="Times New Roman" w:eastAsia="Times New Roman" w:hAnsi="Times New Roman"/>
      <w:sz w:val="24"/>
      <w:szCs w:val="20"/>
    </w:rPr>
  </w:style>
  <w:style w:type="character" w:styleId="PageNumber">
    <w:name w:val="page number"/>
    <w:basedOn w:val="DefaultParagraphFont"/>
    <w:semiHidden/>
    <w:rsid w:val="005F0DA0"/>
  </w:style>
  <w:style w:type="paragraph" w:styleId="ListParagraph">
    <w:name w:val="List Paragraph"/>
    <w:basedOn w:val="Normal"/>
    <w:uiPriority w:val="34"/>
    <w:qFormat/>
    <w:rsid w:val="005F0DA0"/>
    <w:pPr>
      <w:ind w:left="720"/>
      <w:contextualSpacing/>
    </w:pPr>
  </w:style>
  <w:style w:type="paragraph" w:styleId="BalloonText">
    <w:name w:val="Balloon Text"/>
    <w:basedOn w:val="Normal"/>
    <w:link w:val="BalloonTextChar"/>
    <w:uiPriority w:val="99"/>
    <w:semiHidden/>
    <w:unhideWhenUsed/>
    <w:rsid w:val="008B78D5"/>
    <w:rPr>
      <w:rFonts w:ascii="Tahoma" w:hAnsi="Tahoma" w:cs="Tahoma"/>
      <w:sz w:val="16"/>
      <w:szCs w:val="16"/>
    </w:rPr>
  </w:style>
  <w:style w:type="character" w:customStyle="1" w:styleId="BalloonTextChar">
    <w:name w:val="Balloon Text Char"/>
    <w:basedOn w:val="DefaultParagraphFont"/>
    <w:link w:val="BalloonText"/>
    <w:uiPriority w:val="99"/>
    <w:semiHidden/>
    <w:rsid w:val="008B78D5"/>
    <w:rPr>
      <w:rFonts w:ascii="Tahoma" w:eastAsia="Times New Roman" w:hAnsi="Tahoma" w:cs="Tahoma"/>
      <w:sz w:val="16"/>
      <w:szCs w:val="16"/>
    </w:rPr>
  </w:style>
  <w:style w:type="paragraph" w:styleId="Header">
    <w:name w:val="header"/>
    <w:basedOn w:val="Normal"/>
    <w:link w:val="HeaderChar"/>
    <w:unhideWhenUsed/>
    <w:rsid w:val="008B78D5"/>
    <w:pPr>
      <w:tabs>
        <w:tab w:val="center" w:pos="4513"/>
        <w:tab w:val="right" w:pos="9026"/>
      </w:tabs>
    </w:pPr>
  </w:style>
  <w:style w:type="character" w:customStyle="1" w:styleId="HeaderChar">
    <w:name w:val="Header Char"/>
    <w:basedOn w:val="DefaultParagraphFont"/>
    <w:link w:val="Header"/>
    <w:uiPriority w:val="99"/>
    <w:rsid w:val="008B78D5"/>
    <w:rPr>
      <w:rFonts w:ascii="Times New Roman" w:eastAsia="Times New Roman" w:hAnsi="Times New Roman"/>
      <w:sz w:val="24"/>
      <w:szCs w:val="20"/>
    </w:rPr>
  </w:style>
  <w:style w:type="paragraph" w:customStyle="1" w:styleId="1bodycopy10pt">
    <w:name w:val="1 body copy 10pt"/>
    <w:basedOn w:val="Normal"/>
    <w:link w:val="1bodycopy10ptChar"/>
    <w:qFormat/>
    <w:rsid w:val="000A6782"/>
    <w:pPr>
      <w:spacing w:after="120"/>
    </w:pPr>
    <w:rPr>
      <w:rFonts w:ascii="Arial" w:eastAsia="MS Mincho" w:hAnsi="Arial"/>
      <w:sz w:val="20"/>
      <w:szCs w:val="24"/>
      <w:lang w:val="en-US"/>
    </w:rPr>
  </w:style>
  <w:style w:type="character" w:customStyle="1" w:styleId="1bodycopy10ptChar">
    <w:name w:val="1 body copy 10pt Char"/>
    <w:link w:val="1bodycopy10pt"/>
    <w:rsid w:val="000A6782"/>
    <w:rPr>
      <w:rFonts w:ascii="Arial" w:eastAsia="MS Mincho"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5930">
      <w:bodyDiv w:val="1"/>
      <w:marLeft w:val="0"/>
      <w:marRight w:val="0"/>
      <w:marTop w:val="0"/>
      <w:marBottom w:val="0"/>
      <w:divBdr>
        <w:top w:val="none" w:sz="0" w:space="0" w:color="auto"/>
        <w:left w:val="none" w:sz="0" w:space="0" w:color="auto"/>
        <w:bottom w:val="none" w:sz="0" w:space="0" w:color="auto"/>
        <w:right w:val="none" w:sz="0" w:space="0" w:color="auto"/>
      </w:divBdr>
    </w:div>
    <w:div w:id="7475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6042B.4AF40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ccox</dc:creator>
  <cp:lastModifiedBy>Kelly Cartwright</cp:lastModifiedBy>
  <cp:revision>2</cp:revision>
  <dcterms:created xsi:type="dcterms:W3CDTF">2024-12-09T23:13:00Z</dcterms:created>
  <dcterms:modified xsi:type="dcterms:W3CDTF">2024-12-09T23:13:00Z</dcterms:modified>
</cp:coreProperties>
</file>