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32" w:rsidRPr="00143D72" w:rsidRDefault="00734932" w:rsidP="009400A5">
      <w:pPr>
        <w:jc w:val="center"/>
        <w:rPr>
          <w:rFonts w:ascii="Arial" w:eastAsiaTheme="majorEastAsia" w:hAnsi="Arial" w:cs="Arial"/>
          <w:b/>
          <w:bCs/>
          <w:color w:val="00B050"/>
          <w:sz w:val="28"/>
          <w:szCs w:val="28"/>
        </w:rPr>
      </w:pPr>
      <w:r w:rsidRPr="00143D72">
        <w:rPr>
          <w:rFonts w:ascii="Arial" w:eastAsiaTheme="majorEastAsia" w:hAnsi="Arial" w:cs="Arial"/>
          <w:b/>
          <w:bCs/>
          <w:color w:val="00B050"/>
          <w:sz w:val="28"/>
          <w:szCs w:val="28"/>
        </w:rPr>
        <w:t xml:space="preserve">Buckinghamshire County Council </w:t>
      </w:r>
    </w:p>
    <w:p w:rsidR="00D220E1" w:rsidRPr="00143D72" w:rsidRDefault="00734932" w:rsidP="009400A5">
      <w:pPr>
        <w:jc w:val="center"/>
        <w:rPr>
          <w:rFonts w:ascii="Arial" w:eastAsiaTheme="majorEastAsia" w:hAnsi="Arial" w:cs="Arial"/>
          <w:b/>
          <w:bCs/>
          <w:color w:val="00B050"/>
          <w:sz w:val="28"/>
          <w:szCs w:val="28"/>
        </w:rPr>
      </w:pPr>
      <w:r w:rsidRPr="00143D72">
        <w:rPr>
          <w:rFonts w:ascii="Arial" w:eastAsiaTheme="majorEastAsia" w:hAnsi="Arial" w:cs="Arial"/>
          <w:b/>
          <w:bCs/>
          <w:color w:val="00B050"/>
          <w:sz w:val="28"/>
          <w:szCs w:val="28"/>
        </w:rPr>
        <w:t>Checklist for Children Looked After Returning H</w:t>
      </w:r>
      <w:r w:rsidR="00D220E1" w:rsidRPr="00143D72">
        <w:rPr>
          <w:rFonts w:ascii="Arial" w:eastAsiaTheme="majorEastAsia" w:hAnsi="Arial" w:cs="Arial"/>
          <w:b/>
          <w:bCs/>
          <w:color w:val="00B050"/>
          <w:sz w:val="28"/>
          <w:szCs w:val="28"/>
        </w:rPr>
        <w:t>ome</w:t>
      </w:r>
    </w:p>
    <w:p w:rsidR="004F0A40" w:rsidRPr="00143D72" w:rsidRDefault="004F0A40" w:rsidP="009400A5">
      <w:pPr>
        <w:jc w:val="center"/>
        <w:rPr>
          <w:rFonts w:ascii="Arial" w:eastAsiaTheme="majorEastAsia" w:hAnsi="Arial" w:cs="Arial"/>
          <w:b/>
          <w:bCs/>
          <w:color w:val="365F91" w:themeColor="accent1" w:themeShade="BF"/>
          <w:sz w:val="28"/>
          <w:szCs w:val="28"/>
        </w:rPr>
      </w:pPr>
    </w:p>
    <w:p w:rsidR="006D1080" w:rsidRPr="00143D72" w:rsidRDefault="006D1080" w:rsidP="006D1080">
      <w:pPr>
        <w:pStyle w:val="Default"/>
        <w:jc w:val="both"/>
        <w:rPr>
          <w:rFonts w:ascii="Arial" w:eastAsiaTheme="majorEastAsia" w:hAnsi="Arial" w:cs="Arial"/>
          <w:b/>
          <w:bCs/>
          <w:color w:val="365F91" w:themeColor="accent1" w:themeShade="BF"/>
          <w:sz w:val="28"/>
          <w:szCs w:val="28"/>
          <w:lang w:eastAsia="en-US"/>
        </w:rPr>
      </w:pPr>
      <w:r w:rsidRPr="00143D72">
        <w:rPr>
          <w:rFonts w:ascii="Arial" w:eastAsiaTheme="majorEastAsia" w:hAnsi="Arial" w:cs="Arial"/>
          <w:b/>
          <w:bCs/>
          <w:color w:val="365F91" w:themeColor="accent1" w:themeShade="BF"/>
          <w:sz w:val="28"/>
          <w:szCs w:val="28"/>
          <w:lang w:eastAsia="en-US"/>
        </w:rPr>
        <w:t>Care Planning Regulations (2015)</w:t>
      </w:r>
    </w:p>
    <w:p w:rsidR="006D1080" w:rsidRPr="00143D72" w:rsidRDefault="006D1080" w:rsidP="006D1080">
      <w:pPr>
        <w:pStyle w:val="Default"/>
        <w:jc w:val="both"/>
        <w:rPr>
          <w:rFonts w:ascii="Arial" w:hAnsi="Arial" w:cs="Arial"/>
        </w:rPr>
      </w:pPr>
    </w:p>
    <w:p w:rsidR="006D1080" w:rsidRPr="00143D72" w:rsidRDefault="001D60A5" w:rsidP="006D1080">
      <w:pPr>
        <w:pStyle w:val="Default"/>
        <w:jc w:val="both"/>
        <w:rPr>
          <w:rFonts w:ascii="Arial" w:hAnsi="Arial" w:cs="Arial"/>
        </w:rPr>
      </w:pPr>
      <w:r w:rsidRPr="00143D72">
        <w:rPr>
          <w:rFonts w:ascii="Arial" w:hAnsi="Arial" w:cs="Arial"/>
        </w:rPr>
        <w:t xml:space="preserve">On 6th March 2015, changes made to the Care Planning Regulations (2010) were laid before the parliament and they came into force on 1st April 2015. There were corresponding changes to the statutory guidance and the new guidance “Permanence, long-term foster placements and ceasing to look after a child” was published in March 2015. The new regulations amend the Care Planning, Placement and Case Review Regulations 2010 with respect to the assessment and planning arrangements where the responsible authority is considering ceasing to look after a child. </w:t>
      </w:r>
      <w:r w:rsidR="006D1080" w:rsidRPr="00143D72">
        <w:rPr>
          <w:rFonts w:ascii="Arial" w:hAnsi="Arial" w:cs="Arial"/>
        </w:rPr>
        <w:t xml:space="preserve">When making a decision about ceasing to look after a child the local authority must: </w:t>
      </w:r>
    </w:p>
    <w:p w:rsidR="006D1080" w:rsidRPr="00143D72" w:rsidRDefault="006D1080" w:rsidP="006D1080">
      <w:pPr>
        <w:pStyle w:val="ListParagraph"/>
        <w:numPr>
          <w:ilvl w:val="0"/>
          <w:numId w:val="10"/>
        </w:numPr>
        <w:autoSpaceDE w:val="0"/>
        <w:autoSpaceDN w:val="0"/>
        <w:adjustRightInd w:val="0"/>
        <w:spacing w:after="37" w:line="240" w:lineRule="auto"/>
        <w:rPr>
          <w:rFonts w:ascii="Arial" w:eastAsia="Times New Roman" w:hAnsi="Arial" w:cs="Arial"/>
          <w:color w:val="000000"/>
          <w:sz w:val="24"/>
          <w:szCs w:val="24"/>
          <w:lang w:eastAsia="en-GB"/>
        </w:rPr>
      </w:pPr>
      <w:r w:rsidRPr="00143D72">
        <w:rPr>
          <w:rFonts w:ascii="Arial" w:eastAsia="Times New Roman" w:hAnsi="Arial" w:cs="Arial"/>
          <w:color w:val="000000"/>
          <w:sz w:val="24"/>
          <w:szCs w:val="24"/>
          <w:lang w:eastAsia="en-GB"/>
        </w:rPr>
        <w:t xml:space="preserve">carry out an assessment of the suitability of the proposed arrangements for the child’s accommodation and maintenance </w:t>
      </w:r>
    </w:p>
    <w:p w:rsidR="006D1080" w:rsidRPr="00143D72" w:rsidRDefault="006D1080" w:rsidP="006D1080">
      <w:pPr>
        <w:pStyle w:val="ListParagraph"/>
        <w:numPr>
          <w:ilvl w:val="0"/>
          <w:numId w:val="10"/>
        </w:numPr>
        <w:autoSpaceDE w:val="0"/>
        <w:autoSpaceDN w:val="0"/>
        <w:adjustRightInd w:val="0"/>
        <w:spacing w:after="37" w:line="240" w:lineRule="auto"/>
        <w:rPr>
          <w:rFonts w:ascii="Arial" w:eastAsia="Times New Roman" w:hAnsi="Arial" w:cs="Arial"/>
          <w:color w:val="000000"/>
          <w:sz w:val="24"/>
          <w:szCs w:val="24"/>
          <w:lang w:eastAsia="en-GB"/>
        </w:rPr>
      </w:pPr>
      <w:r w:rsidRPr="00143D72">
        <w:rPr>
          <w:rFonts w:ascii="Arial" w:eastAsia="Times New Roman" w:hAnsi="Arial" w:cs="Arial"/>
          <w:color w:val="000000"/>
          <w:sz w:val="24"/>
          <w:szCs w:val="24"/>
          <w:lang w:eastAsia="en-GB"/>
        </w:rPr>
        <w:t xml:space="preserve">assess what services and support the child and, where applicable, their parents might need </w:t>
      </w:r>
    </w:p>
    <w:p w:rsidR="006D1080" w:rsidRPr="00143D72" w:rsidRDefault="006D1080" w:rsidP="006D1080">
      <w:pPr>
        <w:pStyle w:val="ListParagraph"/>
        <w:numPr>
          <w:ilvl w:val="0"/>
          <w:numId w:val="10"/>
        </w:numPr>
        <w:autoSpaceDE w:val="0"/>
        <w:autoSpaceDN w:val="0"/>
        <w:adjustRightInd w:val="0"/>
        <w:spacing w:after="37" w:line="240" w:lineRule="auto"/>
        <w:rPr>
          <w:rFonts w:ascii="Arial" w:eastAsia="Times New Roman" w:hAnsi="Arial" w:cs="Arial"/>
          <w:color w:val="000000"/>
          <w:sz w:val="24"/>
          <w:szCs w:val="24"/>
          <w:lang w:eastAsia="en-GB"/>
        </w:rPr>
      </w:pPr>
      <w:r w:rsidRPr="00143D72">
        <w:rPr>
          <w:rFonts w:ascii="Arial" w:eastAsia="Times New Roman" w:hAnsi="Arial" w:cs="Arial"/>
          <w:color w:val="000000"/>
          <w:sz w:val="24"/>
          <w:szCs w:val="24"/>
          <w:lang w:eastAsia="en-GB"/>
        </w:rPr>
        <w:t xml:space="preserve">ensure that the child’s wishes and feelings have been given due consideration, and </w:t>
      </w:r>
    </w:p>
    <w:p w:rsidR="006D1080" w:rsidRPr="00143D72" w:rsidRDefault="006D1080" w:rsidP="006D1080">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143D72">
        <w:rPr>
          <w:rFonts w:ascii="Arial" w:eastAsia="Times New Roman" w:hAnsi="Arial" w:cs="Arial"/>
          <w:color w:val="000000"/>
          <w:sz w:val="24"/>
          <w:szCs w:val="24"/>
          <w:lang w:eastAsia="en-GB"/>
        </w:rPr>
        <w:t>consider</w:t>
      </w:r>
      <w:proofErr w:type="gramEnd"/>
      <w:r w:rsidRPr="00143D72">
        <w:rPr>
          <w:rFonts w:ascii="Arial" w:eastAsia="Times New Roman" w:hAnsi="Arial" w:cs="Arial"/>
          <w:color w:val="000000"/>
          <w:sz w:val="24"/>
          <w:szCs w:val="24"/>
          <w:lang w:eastAsia="en-GB"/>
        </w:rPr>
        <w:t xml:space="preserve"> whether, in all the circumstances, ceasing to look after the child will safeguard and promote their welfare. </w:t>
      </w:r>
    </w:p>
    <w:p w:rsidR="006D1080" w:rsidRPr="00143D72" w:rsidRDefault="006D1080" w:rsidP="001D60A5">
      <w:pPr>
        <w:pStyle w:val="Default"/>
        <w:jc w:val="both"/>
        <w:rPr>
          <w:rFonts w:ascii="Arial" w:hAnsi="Arial" w:cs="Arial"/>
        </w:rPr>
      </w:pPr>
    </w:p>
    <w:p w:rsidR="006D1080" w:rsidRPr="00143D72" w:rsidRDefault="006D1080">
      <w:pPr>
        <w:rPr>
          <w:rFonts w:ascii="Arial" w:eastAsiaTheme="majorEastAsia" w:hAnsi="Arial" w:cs="Arial"/>
          <w:b/>
          <w:bCs/>
          <w:color w:val="365F91" w:themeColor="accent1" w:themeShade="BF"/>
          <w:sz w:val="28"/>
          <w:szCs w:val="28"/>
        </w:rPr>
      </w:pPr>
    </w:p>
    <w:p w:rsidR="00C034E9" w:rsidRPr="00143D72" w:rsidRDefault="001B76AE">
      <w:pPr>
        <w:rPr>
          <w:rFonts w:ascii="Arial" w:hAnsi="Arial" w:cs="Arial"/>
          <w:sz w:val="24"/>
          <w:szCs w:val="24"/>
        </w:rPr>
      </w:pPr>
      <w:r w:rsidRPr="00143D72">
        <w:rPr>
          <w:rFonts w:ascii="Arial" w:eastAsiaTheme="majorEastAsia" w:hAnsi="Arial" w:cs="Arial"/>
          <w:b/>
          <w:bCs/>
          <w:color w:val="365F91" w:themeColor="accent1" w:themeShade="BF"/>
          <w:sz w:val="28"/>
          <w:szCs w:val="28"/>
        </w:rPr>
        <w:t xml:space="preserve">Purpose of this </w:t>
      </w:r>
      <w:r w:rsidR="00530F3C" w:rsidRPr="00143D72">
        <w:rPr>
          <w:rFonts w:ascii="Arial" w:eastAsiaTheme="majorEastAsia" w:hAnsi="Arial" w:cs="Arial"/>
          <w:b/>
          <w:bCs/>
          <w:color w:val="365F91" w:themeColor="accent1" w:themeShade="BF"/>
          <w:sz w:val="28"/>
          <w:szCs w:val="28"/>
        </w:rPr>
        <w:t>checklist:</w:t>
      </w:r>
      <w:r w:rsidR="001150C2" w:rsidRPr="00143D72">
        <w:rPr>
          <w:rFonts w:ascii="Arial" w:hAnsi="Arial" w:cs="Arial"/>
          <w:sz w:val="24"/>
          <w:szCs w:val="24"/>
        </w:rPr>
        <w:t xml:space="preserve"> </w:t>
      </w:r>
    </w:p>
    <w:p w:rsidR="00530F3C" w:rsidRPr="00143D72" w:rsidRDefault="001150C2">
      <w:pPr>
        <w:rPr>
          <w:rFonts w:ascii="Arial" w:hAnsi="Arial" w:cs="Arial"/>
          <w:sz w:val="24"/>
          <w:szCs w:val="24"/>
        </w:rPr>
      </w:pPr>
      <w:r w:rsidRPr="00143D72">
        <w:rPr>
          <w:rFonts w:ascii="Arial" w:hAnsi="Arial" w:cs="Arial"/>
          <w:sz w:val="24"/>
          <w:szCs w:val="24"/>
        </w:rPr>
        <w:t>I</w:t>
      </w:r>
      <w:r w:rsidR="00530F3C" w:rsidRPr="00143D72">
        <w:rPr>
          <w:rFonts w:ascii="Arial" w:hAnsi="Arial" w:cs="Arial"/>
          <w:sz w:val="24"/>
          <w:szCs w:val="24"/>
        </w:rPr>
        <w:t>n order to achieve good outcomes for children returning home from care</w:t>
      </w:r>
      <w:r w:rsidRPr="00143D72">
        <w:rPr>
          <w:rFonts w:ascii="Arial" w:hAnsi="Arial" w:cs="Arial"/>
          <w:sz w:val="24"/>
          <w:szCs w:val="24"/>
        </w:rPr>
        <w:t xml:space="preserve"> the gate-keeping of the exit from care needs to match the quality and vigilance of gate-keeping that guards entry into care. </w:t>
      </w:r>
      <w:r w:rsidR="00530F3C" w:rsidRPr="00143D72">
        <w:rPr>
          <w:rFonts w:ascii="Arial" w:hAnsi="Arial" w:cs="Arial"/>
          <w:sz w:val="24"/>
          <w:szCs w:val="24"/>
        </w:rPr>
        <w:t xml:space="preserve"> </w:t>
      </w:r>
    </w:p>
    <w:p w:rsidR="006D1080" w:rsidRPr="00143D72" w:rsidRDefault="006D1080">
      <w:pPr>
        <w:rPr>
          <w:rFonts w:ascii="Arial" w:eastAsiaTheme="majorEastAsia" w:hAnsi="Arial" w:cs="Arial"/>
          <w:b/>
          <w:bCs/>
          <w:color w:val="365F91" w:themeColor="accent1" w:themeShade="BF"/>
          <w:sz w:val="28"/>
          <w:szCs w:val="28"/>
        </w:rPr>
      </w:pPr>
    </w:p>
    <w:p w:rsidR="00C034E9" w:rsidRPr="00143D72" w:rsidRDefault="00530F3C">
      <w:pPr>
        <w:rPr>
          <w:rFonts w:ascii="Arial" w:hAnsi="Arial" w:cs="Arial"/>
          <w:sz w:val="24"/>
          <w:szCs w:val="24"/>
        </w:rPr>
      </w:pPr>
      <w:r w:rsidRPr="00143D72">
        <w:rPr>
          <w:rFonts w:ascii="Arial" w:eastAsiaTheme="majorEastAsia" w:hAnsi="Arial" w:cs="Arial"/>
          <w:b/>
          <w:bCs/>
          <w:color w:val="365F91" w:themeColor="accent1" w:themeShade="BF"/>
          <w:sz w:val="28"/>
          <w:szCs w:val="28"/>
        </w:rPr>
        <w:t>What stage in the child’s journey is this to be</w:t>
      </w:r>
      <w:r w:rsidR="009400A5" w:rsidRPr="00143D72">
        <w:rPr>
          <w:rFonts w:ascii="Arial" w:eastAsiaTheme="majorEastAsia" w:hAnsi="Arial" w:cs="Arial"/>
          <w:b/>
          <w:bCs/>
          <w:color w:val="365F91" w:themeColor="accent1" w:themeShade="BF"/>
          <w:sz w:val="28"/>
          <w:szCs w:val="28"/>
        </w:rPr>
        <w:t xml:space="preserve"> used</w:t>
      </w:r>
      <w:r w:rsidR="006D1080" w:rsidRPr="00143D72">
        <w:rPr>
          <w:rFonts w:ascii="Arial" w:eastAsiaTheme="majorEastAsia" w:hAnsi="Arial" w:cs="Arial"/>
          <w:b/>
          <w:bCs/>
          <w:color w:val="365F91" w:themeColor="accent1" w:themeShade="BF"/>
          <w:sz w:val="28"/>
          <w:szCs w:val="28"/>
        </w:rPr>
        <w:t>?</w:t>
      </w:r>
      <w:r w:rsidR="001150C2" w:rsidRPr="00143D72">
        <w:rPr>
          <w:rFonts w:ascii="Arial" w:hAnsi="Arial" w:cs="Arial"/>
          <w:sz w:val="24"/>
          <w:szCs w:val="24"/>
        </w:rPr>
        <w:t xml:space="preserve"> </w:t>
      </w:r>
    </w:p>
    <w:p w:rsidR="00530F3C" w:rsidRPr="00143D72" w:rsidRDefault="00F069AD">
      <w:pPr>
        <w:rPr>
          <w:rFonts w:ascii="Arial" w:hAnsi="Arial" w:cs="Arial"/>
          <w:sz w:val="24"/>
          <w:szCs w:val="24"/>
        </w:rPr>
      </w:pPr>
      <w:r w:rsidRPr="00143D72">
        <w:rPr>
          <w:rFonts w:ascii="Arial" w:hAnsi="Arial" w:cs="Arial"/>
          <w:sz w:val="24"/>
          <w:szCs w:val="24"/>
        </w:rPr>
        <w:t xml:space="preserve">This checklist needs to be used at that stage in the child’s journey when consideration is being given to the child returning home. Success is unlikely if the decision for the child to return home is made because </w:t>
      </w:r>
      <w:r w:rsidRPr="00143D72">
        <w:rPr>
          <w:rFonts w:ascii="Arial" w:hAnsi="Arial" w:cs="Arial"/>
          <w:i/>
          <w:sz w:val="24"/>
          <w:szCs w:val="24"/>
        </w:rPr>
        <w:t>it seems to be the only decision available</w:t>
      </w:r>
      <w:r w:rsidRPr="00143D72">
        <w:rPr>
          <w:rFonts w:ascii="Arial" w:hAnsi="Arial" w:cs="Arial"/>
          <w:sz w:val="24"/>
          <w:szCs w:val="24"/>
        </w:rPr>
        <w:t xml:space="preserve">.  </w:t>
      </w:r>
      <w:r w:rsidR="001150C2" w:rsidRPr="00143D72">
        <w:rPr>
          <w:rFonts w:ascii="Arial" w:hAnsi="Arial" w:cs="Arial"/>
          <w:sz w:val="24"/>
          <w:szCs w:val="24"/>
        </w:rPr>
        <w:t xml:space="preserve">The audit findings tell us that good outcomes for children returning home from care can be achieved if this decision is based on careful planning underpinned by an assessment that looks at the original reasons for the child coming into care, addresses historical issues, analyses current concerns and predicts any likely future issues and risks. </w:t>
      </w:r>
    </w:p>
    <w:p w:rsidR="006D1080" w:rsidRPr="00143D72" w:rsidRDefault="006D1080">
      <w:pPr>
        <w:rPr>
          <w:rFonts w:ascii="Arial" w:eastAsiaTheme="majorEastAsia" w:hAnsi="Arial" w:cs="Arial"/>
          <w:b/>
          <w:bCs/>
          <w:color w:val="365F91" w:themeColor="accent1" w:themeShade="BF"/>
          <w:sz w:val="28"/>
          <w:szCs w:val="28"/>
        </w:rPr>
      </w:pPr>
    </w:p>
    <w:p w:rsidR="00C034E9" w:rsidRPr="00143D72" w:rsidRDefault="006D1080">
      <w:pPr>
        <w:rPr>
          <w:rFonts w:ascii="Arial" w:eastAsiaTheme="majorEastAsia" w:hAnsi="Arial" w:cs="Arial"/>
          <w:b/>
          <w:bCs/>
          <w:color w:val="365F91" w:themeColor="accent1" w:themeShade="BF"/>
          <w:sz w:val="28"/>
          <w:szCs w:val="28"/>
        </w:rPr>
      </w:pPr>
      <w:r w:rsidRPr="00143D72">
        <w:rPr>
          <w:rFonts w:ascii="Arial" w:eastAsiaTheme="majorEastAsia" w:hAnsi="Arial" w:cs="Arial"/>
          <w:b/>
          <w:bCs/>
          <w:color w:val="365F91" w:themeColor="accent1" w:themeShade="BF"/>
          <w:sz w:val="28"/>
          <w:szCs w:val="28"/>
        </w:rPr>
        <w:br w:type="page"/>
      </w:r>
      <w:r w:rsidR="00F069AD" w:rsidRPr="00143D72">
        <w:rPr>
          <w:rFonts w:ascii="Arial" w:eastAsiaTheme="majorEastAsia" w:hAnsi="Arial" w:cs="Arial"/>
          <w:b/>
          <w:bCs/>
          <w:color w:val="365F91" w:themeColor="accent1" w:themeShade="BF"/>
          <w:sz w:val="28"/>
          <w:szCs w:val="28"/>
        </w:rPr>
        <w:lastRenderedPageBreak/>
        <w:t>Who completes the checklist</w:t>
      </w:r>
      <w:r w:rsidRPr="00143D72">
        <w:rPr>
          <w:rFonts w:ascii="Arial" w:eastAsiaTheme="majorEastAsia" w:hAnsi="Arial" w:cs="Arial"/>
          <w:b/>
          <w:bCs/>
          <w:color w:val="365F91" w:themeColor="accent1" w:themeShade="BF"/>
          <w:sz w:val="28"/>
          <w:szCs w:val="28"/>
        </w:rPr>
        <w:t>?</w:t>
      </w:r>
    </w:p>
    <w:p w:rsidR="00F069AD" w:rsidRPr="00143D72" w:rsidRDefault="00F069AD">
      <w:pPr>
        <w:rPr>
          <w:rFonts w:ascii="Arial" w:hAnsi="Arial" w:cs="Arial"/>
          <w:sz w:val="24"/>
          <w:szCs w:val="24"/>
        </w:rPr>
      </w:pPr>
      <w:r w:rsidRPr="00143D72">
        <w:rPr>
          <w:rFonts w:ascii="Arial" w:hAnsi="Arial" w:cs="Arial"/>
          <w:sz w:val="24"/>
          <w:szCs w:val="24"/>
        </w:rPr>
        <w:t>A LAC review needs to be convened when consideration is given for the child to return home</w:t>
      </w:r>
      <w:r w:rsidR="009400A5" w:rsidRPr="00143D72">
        <w:rPr>
          <w:rFonts w:ascii="Arial" w:hAnsi="Arial" w:cs="Arial"/>
          <w:sz w:val="24"/>
          <w:szCs w:val="24"/>
        </w:rPr>
        <w:t>. T</w:t>
      </w:r>
      <w:r w:rsidRPr="00143D72">
        <w:rPr>
          <w:rFonts w:ascii="Arial" w:hAnsi="Arial" w:cs="Arial"/>
          <w:sz w:val="24"/>
          <w:szCs w:val="24"/>
        </w:rPr>
        <w:t xml:space="preserve">his checklist should be </w:t>
      </w:r>
      <w:r w:rsidR="008C3D07" w:rsidRPr="00143D72">
        <w:rPr>
          <w:rFonts w:ascii="Arial" w:hAnsi="Arial" w:cs="Arial"/>
          <w:sz w:val="24"/>
          <w:szCs w:val="24"/>
        </w:rPr>
        <w:t xml:space="preserve">used </w:t>
      </w:r>
      <w:r w:rsidRPr="00143D72">
        <w:rPr>
          <w:rFonts w:ascii="Arial" w:hAnsi="Arial" w:cs="Arial"/>
          <w:sz w:val="24"/>
          <w:szCs w:val="24"/>
        </w:rPr>
        <w:t>by the IRO at the time of this LAC review. If in exceptional circumstances the decision</w:t>
      </w:r>
      <w:r w:rsidR="001B76AE" w:rsidRPr="00143D72">
        <w:rPr>
          <w:rFonts w:ascii="Arial" w:hAnsi="Arial" w:cs="Arial"/>
          <w:sz w:val="24"/>
          <w:szCs w:val="24"/>
        </w:rPr>
        <w:t xml:space="preserve"> needs to be made quickly, such as when </w:t>
      </w:r>
      <w:r w:rsidR="00C034E9" w:rsidRPr="00143D72">
        <w:rPr>
          <w:rFonts w:ascii="Arial" w:hAnsi="Arial" w:cs="Arial"/>
          <w:sz w:val="24"/>
          <w:szCs w:val="24"/>
        </w:rPr>
        <w:t xml:space="preserve">parents withdraw their </w:t>
      </w:r>
      <w:r w:rsidR="001B76AE" w:rsidRPr="00143D72">
        <w:rPr>
          <w:rFonts w:ascii="Arial" w:hAnsi="Arial" w:cs="Arial"/>
          <w:sz w:val="24"/>
          <w:szCs w:val="24"/>
        </w:rPr>
        <w:t xml:space="preserve">consent to Section 20 </w:t>
      </w:r>
      <w:r w:rsidRPr="00143D72">
        <w:rPr>
          <w:rFonts w:ascii="Arial" w:hAnsi="Arial" w:cs="Arial"/>
          <w:sz w:val="24"/>
          <w:szCs w:val="24"/>
        </w:rPr>
        <w:t>and there is no time to convene a LAC Review then this checklist should be completed by the Team Manager</w:t>
      </w:r>
      <w:r w:rsidR="00C034E9" w:rsidRPr="00143D72">
        <w:rPr>
          <w:rFonts w:ascii="Arial" w:hAnsi="Arial" w:cs="Arial"/>
          <w:sz w:val="24"/>
          <w:szCs w:val="24"/>
        </w:rPr>
        <w:t xml:space="preserve"> and Social Worker in consultation with the IRO</w:t>
      </w:r>
      <w:r w:rsidRPr="00143D72">
        <w:rPr>
          <w:rFonts w:ascii="Arial" w:hAnsi="Arial" w:cs="Arial"/>
          <w:sz w:val="24"/>
          <w:szCs w:val="24"/>
        </w:rPr>
        <w:t xml:space="preserve">. </w:t>
      </w:r>
    </w:p>
    <w:p w:rsidR="006D1080" w:rsidRPr="00143D72" w:rsidRDefault="006D1080" w:rsidP="00C034E9">
      <w:pPr>
        <w:rPr>
          <w:rFonts w:ascii="Arial" w:eastAsiaTheme="majorEastAsia" w:hAnsi="Arial" w:cs="Arial"/>
          <w:b/>
          <w:bCs/>
          <w:color w:val="365F91" w:themeColor="accent1" w:themeShade="BF"/>
          <w:sz w:val="28"/>
          <w:szCs w:val="28"/>
        </w:rPr>
      </w:pPr>
    </w:p>
    <w:p w:rsidR="007247CB" w:rsidRPr="00143D72" w:rsidRDefault="007247CB" w:rsidP="007247CB">
      <w:pPr>
        <w:rPr>
          <w:rFonts w:ascii="Arial" w:eastAsiaTheme="majorEastAsia" w:hAnsi="Arial" w:cs="Arial"/>
          <w:b/>
          <w:bCs/>
          <w:color w:val="365F91" w:themeColor="accent1" w:themeShade="BF"/>
          <w:sz w:val="28"/>
          <w:szCs w:val="28"/>
        </w:rPr>
      </w:pPr>
      <w:r w:rsidRPr="00143D72">
        <w:rPr>
          <w:rFonts w:ascii="Arial" w:eastAsiaTheme="majorEastAsia" w:hAnsi="Arial" w:cs="Arial"/>
          <w:b/>
          <w:bCs/>
          <w:color w:val="365F91" w:themeColor="accent1" w:themeShade="BF"/>
          <w:sz w:val="28"/>
          <w:szCs w:val="28"/>
        </w:rPr>
        <w:t>Some points to guide our thinking wh</w:t>
      </w:r>
      <w:r w:rsidR="00143D72" w:rsidRPr="00143D72">
        <w:rPr>
          <w:rFonts w:ascii="Arial" w:eastAsiaTheme="majorEastAsia" w:hAnsi="Arial" w:cs="Arial"/>
          <w:b/>
          <w:bCs/>
          <w:color w:val="365F91" w:themeColor="accent1" w:themeShade="BF"/>
          <w:sz w:val="28"/>
          <w:szCs w:val="28"/>
        </w:rPr>
        <w:t>en ceasing to look after a child:</w:t>
      </w:r>
    </w:p>
    <w:p w:rsidR="007247CB" w:rsidRPr="00143D72" w:rsidRDefault="007247CB" w:rsidP="007247CB">
      <w:pPr>
        <w:rPr>
          <w:rFonts w:ascii="Arial" w:hAnsi="Arial" w:cs="Arial"/>
          <w:sz w:val="24"/>
          <w:szCs w:val="24"/>
        </w:rPr>
      </w:pPr>
      <w:r w:rsidRPr="00143D72">
        <w:rPr>
          <w:rFonts w:ascii="Arial" w:hAnsi="Arial" w:cs="Arial"/>
          <w:sz w:val="24"/>
          <w:szCs w:val="24"/>
        </w:rPr>
        <w:t>Are we accepting levels of parental behaviour above the thresholds that brought the child into care?</w:t>
      </w:r>
    </w:p>
    <w:p w:rsidR="007247CB" w:rsidRPr="00143D72" w:rsidRDefault="007247CB" w:rsidP="007247CB">
      <w:pPr>
        <w:rPr>
          <w:rFonts w:ascii="Arial" w:hAnsi="Arial" w:cs="Arial"/>
          <w:sz w:val="24"/>
          <w:szCs w:val="24"/>
        </w:rPr>
      </w:pPr>
      <w:r w:rsidRPr="00143D72">
        <w:rPr>
          <w:rFonts w:ascii="Arial" w:hAnsi="Arial" w:cs="Arial"/>
          <w:sz w:val="24"/>
          <w:szCs w:val="24"/>
        </w:rPr>
        <w:t>Do we think that this time somehow things will somehow be better so let’s give it a try?</w:t>
      </w:r>
    </w:p>
    <w:p w:rsidR="007247CB" w:rsidRPr="00143D72" w:rsidRDefault="007247CB" w:rsidP="007247CB">
      <w:pPr>
        <w:rPr>
          <w:rFonts w:ascii="Arial" w:hAnsi="Arial" w:cs="Arial"/>
          <w:sz w:val="24"/>
          <w:szCs w:val="24"/>
        </w:rPr>
      </w:pPr>
      <w:r w:rsidRPr="00143D72">
        <w:rPr>
          <w:rFonts w:ascii="Arial" w:hAnsi="Arial" w:cs="Arial"/>
          <w:sz w:val="24"/>
          <w:szCs w:val="24"/>
        </w:rPr>
        <w:t>What does the child want? And what do the parents want?</w:t>
      </w:r>
    </w:p>
    <w:p w:rsidR="007247CB" w:rsidRPr="00143D72" w:rsidRDefault="007247CB" w:rsidP="007247CB">
      <w:pPr>
        <w:rPr>
          <w:rFonts w:ascii="Arial" w:hAnsi="Arial" w:cs="Arial"/>
          <w:sz w:val="24"/>
          <w:szCs w:val="24"/>
        </w:rPr>
      </w:pPr>
      <w:r w:rsidRPr="00143D72">
        <w:rPr>
          <w:rFonts w:ascii="Arial" w:hAnsi="Arial" w:cs="Arial"/>
          <w:sz w:val="24"/>
          <w:szCs w:val="24"/>
        </w:rPr>
        <w:t>The NSPCC report suggests the framework below for classifying the risk of reunification</w:t>
      </w:r>
    </w:p>
    <w:p w:rsidR="007247CB" w:rsidRPr="00143D72" w:rsidRDefault="007247CB" w:rsidP="007247CB">
      <w:pPr>
        <w:rPr>
          <w:rFonts w:ascii="Arial" w:hAnsi="Arial" w:cs="Arial"/>
          <w:color w:val="000000" w:themeColor="text1"/>
        </w:rPr>
      </w:pPr>
      <w:r w:rsidRPr="00143D72">
        <w:rPr>
          <w:rFonts w:ascii="Arial" w:hAnsi="Arial" w:cs="Arial"/>
          <w:color w:val="000000" w:themeColor="text1"/>
        </w:rPr>
        <w:t>Classifying the risk of reunification - a tool to support decision making about children returning home from care, adapted from Safeguarding Babies and Very Young Children from Abuse and Neglect (Ward Brown and Westlake, 2012)</w:t>
      </w:r>
    </w:p>
    <w:p w:rsidR="007247CB" w:rsidRPr="00143D72" w:rsidRDefault="007247CB" w:rsidP="007247CB">
      <w:pPr>
        <w:rPr>
          <w:rFonts w:ascii="Arial" w:hAnsi="Arial" w:cs="Arial"/>
          <w:b/>
          <w:i/>
          <w:color w:val="000000" w:themeColor="text1"/>
        </w:rPr>
      </w:pPr>
      <w:r w:rsidRPr="00143D72">
        <w:rPr>
          <w:rFonts w:ascii="Arial" w:hAnsi="Arial" w:cs="Arial"/>
          <w:b/>
          <w:i/>
          <w:color w:val="000000" w:themeColor="text1"/>
        </w:rPr>
        <w:t>Severe Risk</w:t>
      </w:r>
    </w:p>
    <w:p w:rsidR="007247CB" w:rsidRPr="00143D72" w:rsidRDefault="007247CB" w:rsidP="007247CB">
      <w:pPr>
        <w:pStyle w:val="ListParagraph"/>
        <w:numPr>
          <w:ilvl w:val="0"/>
          <w:numId w:val="4"/>
        </w:numPr>
        <w:suppressAutoHyphens/>
        <w:spacing w:after="0"/>
        <w:rPr>
          <w:rFonts w:ascii="Arial" w:hAnsi="Arial" w:cs="Arial"/>
          <w:i/>
          <w:color w:val="000000" w:themeColor="text1"/>
        </w:rPr>
      </w:pPr>
      <w:r w:rsidRPr="00143D72">
        <w:rPr>
          <w:rFonts w:ascii="Arial" w:hAnsi="Arial" w:cs="Arial"/>
          <w:i/>
          <w:color w:val="000000" w:themeColor="text1"/>
        </w:rPr>
        <w:t>Risk factors apparent and not being addressed, no protective factors apparent</w:t>
      </w:r>
    </w:p>
    <w:p w:rsidR="007247CB" w:rsidRPr="00143D72" w:rsidRDefault="007247CB" w:rsidP="007247CB">
      <w:pPr>
        <w:pStyle w:val="ListParagraph"/>
        <w:numPr>
          <w:ilvl w:val="0"/>
          <w:numId w:val="4"/>
        </w:numPr>
        <w:suppressAutoHyphens/>
        <w:spacing w:after="0"/>
        <w:rPr>
          <w:rFonts w:ascii="Arial" w:hAnsi="Arial" w:cs="Arial"/>
          <w:i/>
          <w:color w:val="000000" w:themeColor="text1"/>
        </w:rPr>
      </w:pPr>
      <w:r w:rsidRPr="00143D72">
        <w:rPr>
          <w:rFonts w:ascii="Arial" w:hAnsi="Arial" w:cs="Arial"/>
          <w:i/>
          <w:color w:val="000000" w:themeColor="text1"/>
        </w:rPr>
        <w:t>No evidence of parental capacity to change and ambivalence or opposition to return home by child or parent</w:t>
      </w:r>
    </w:p>
    <w:p w:rsidR="007247CB" w:rsidRPr="00143D72" w:rsidRDefault="007247CB" w:rsidP="007247CB">
      <w:pPr>
        <w:rPr>
          <w:rFonts w:ascii="Arial" w:hAnsi="Arial" w:cs="Arial"/>
          <w:i/>
          <w:color w:val="000000" w:themeColor="text1"/>
        </w:rPr>
      </w:pPr>
    </w:p>
    <w:p w:rsidR="007247CB" w:rsidRPr="00143D72" w:rsidRDefault="007247CB" w:rsidP="007247CB">
      <w:pPr>
        <w:rPr>
          <w:rFonts w:ascii="Arial" w:hAnsi="Arial" w:cs="Arial"/>
          <w:i/>
          <w:color w:val="000000" w:themeColor="text1"/>
        </w:rPr>
      </w:pPr>
      <w:r w:rsidRPr="00143D72">
        <w:rPr>
          <w:rFonts w:ascii="Arial" w:hAnsi="Arial" w:cs="Arial"/>
          <w:b/>
          <w:i/>
          <w:color w:val="000000" w:themeColor="text1"/>
        </w:rPr>
        <w:t>High Risk</w:t>
      </w:r>
    </w:p>
    <w:p w:rsidR="007247CB" w:rsidRPr="00143D72" w:rsidRDefault="007247CB" w:rsidP="007247CB">
      <w:pPr>
        <w:pStyle w:val="ListParagraph"/>
        <w:numPr>
          <w:ilvl w:val="0"/>
          <w:numId w:val="5"/>
        </w:numPr>
        <w:suppressAutoHyphens/>
        <w:spacing w:after="0"/>
        <w:rPr>
          <w:rFonts w:ascii="Arial" w:hAnsi="Arial" w:cs="Arial"/>
          <w:i/>
          <w:color w:val="000000" w:themeColor="text1"/>
        </w:rPr>
      </w:pPr>
      <w:r w:rsidRPr="00143D72">
        <w:rPr>
          <w:rFonts w:ascii="Arial" w:hAnsi="Arial" w:cs="Arial"/>
          <w:i/>
          <w:color w:val="000000" w:themeColor="text1"/>
        </w:rPr>
        <w:t>Risk factors apparent and not being addressed. At least one protective factor apparent</w:t>
      </w:r>
    </w:p>
    <w:p w:rsidR="007247CB" w:rsidRPr="00143D72" w:rsidRDefault="007247CB" w:rsidP="007247CB">
      <w:pPr>
        <w:pStyle w:val="ListParagraph"/>
        <w:numPr>
          <w:ilvl w:val="0"/>
          <w:numId w:val="5"/>
        </w:numPr>
        <w:suppressAutoHyphens/>
        <w:spacing w:after="0"/>
        <w:rPr>
          <w:rFonts w:ascii="Arial" w:hAnsi="Arial" w:cs="Arial"/>
          <w:i/>
          <w:color w:val="000000" w:themeColor="text1"/>
        </w:rPr>
      </w:pPr>
      <w:r w:rsidRPr="00143D72">
        <w:rPr>
          <w:rFonts w:ascii="Arial" w:hAnsi="Arial" w:cs="Arial"/>
          <w:i/>
          <w:color w:val="000000" w:themeColor="text1"/>
        </w:rPr>
        <w:t>No or limited evidence of parental capacity to change and ambivalence or opposition to return home by child or parent</w:t>
      </w:r>
    </w:p>
    <w:p w:rsidR="007247CB" w:rsidRPr="00143D72" w:rsidRDefault="007247CB" w:rsidP="007247CB">
      <w:pPr>
        <w:rPr>
          <w:rFonts w:ascii="Arial" w:hAnsi="Arial" w:cs="Arial"/>
          <w:b/>
          <w:i/>
          <w:color w:val="000000" w:themeColor="text1"/>
        </w:rPr>
      </w:pPr>
    </w:p>
    <w:p w:rsidR="007247CB" w:rsidRPr="00143D72" w:rsidRDefault="007247CB" w:rsidP="007247CB">
      <w:pPr>
        <w:rPr>
          <w:rFonts w:ascii="Arial" w:hAnsi="Arial" w:cs="Arial"/>
          <w:b/>
          <w:i/>
          <w:color w:val="000000" w:themeColor="text1"/>
        </w:rPr>
      </w:pPr>
      <w:r w:rsidRPr="00143D72">
        <w:rPr>
          <w:rFonts w:ascii="Arial" w:hAnsi="Arial" w:cs="Arial"/>
          <w:b/>
          <w:i/>
          <w:color w:val="000000" w:themeColor="text1"/>
        </w:rPr>
        <w:t>Medium Risk</w:t>
      </w:r>
    </w:p>
    <w:p w:rsidR="007247CB" w:rsidRPr="00143D72" w:rsidRDefault="007247CB" w:rsidP="007247CB">
      <w:pPr>
        <w:pStyle w:val="ListParagraph"/>
        <w:numPr>
          <w:ilvl w:val="0"/>
          <w:numId w:val="6"/>
        </w:numPr>
        <w:suppressAutoHyphens/>
        <w:spacing w:after="0"/>
        <w:rPr>
          <w:rFonts w:ascii="Arial" w:hAnsi="Arial" w:cs="Arial"/>
          <w:i/>
          <w:color w:val="000000" w:themeColor="text1"/>
        </w:rPr>
      </w:pPr>
      <w:r w:rsidRPr="00143D72">
        <w:rPr>
          <w:rFonts w:ascii="Arial" w:hAnsi="Arial" w:cs="Arial"/>
          <w:i/>
          <w:color w:val="000000" w:themeColor="text1"/>
        </w:rPr>
        <w:t>Risk factors apparent or not all risk factors addressed. At least one protective factor apparent</w:t>
      </w:r>
    </w:p>
    <w:p w:rsidR="007247CB" w:rsidRPr="00143D72" w:rsidRDefault="007247CB" w:rsidP="007247CB">
      <w:pPr>
        <w:pStyle w:val="ListParagraph"/>
        <w:numPr>
          <w:ilvl w:val="0"/>
          <w:numId w:val="5"/>
        </w:numPr>
        <w:suppressAutoHyphens/>
        <w:spacing w:after="0"/>
        <w:rPr>
          <w:rFonts w:ascii="Arial" w:hAnsi="Arial" w:cs="Arial"/>
          <w:i/>
          <w:color w:val="000000" w:themeColor="text1"/>
        </w:rPr>
      </w:pPr>
      <w:r w:rsidRPr="00143D72">
        <w:rPr>
          <w:rFonts w:ascii="Arial" w:hAnsi="Arial" w:cs="Arial"/>
          <w:i/>
          <w:color w:val="000000" w:themeColor="text1"/>
        </w:rPr>
        <w:lastRenderedPageBreak/>
        <w:t>Evidence of parental capacity to sustain change. Parents and child both want return home to take place</w:t>
      </w:r>
    </w:p>
    <w:p w:rsidR="007247CB" w:rsidRPr="00143D72" w:rsidRDefault="007247CB" w:rsidP="007247CB">
      <w:pPr>
        <w:rPr>
          <w:rFonts w:ascii="Arial" w:hAnsi="Arial" w:cs="Arial"/>
          <w:b/>
          <w:i/>
          <w:color w:val="000000" w:themeColor="text1"/>
        </w:rPr>
      </w:pPr>
    </w:p>
    <w:p w:rsidR="007247CB" w:rsidRPr="00143D72" w:rsidRDefault="007247CB" w:rsidP="007247CB">
      <w:pPr>
        <w:rPr>
          <w:rFonts w:ascii="Arial" w:hAnsi="Arial" w:cs="Arial"/>
          <w:b/>
          <w:i/>
          <w:color w:val="000000" w:themeColor="text1"/>
        </w:rPr>
      </w:pPr>
      <w:r w:rsidRPr="00143D72">
        <w:rPr>
          <w:rFonts w:ascii="Arial" w:hAnsi="Arial" w:cs="Arial"/>
          <w:b/>
          <w:i/>
          <w:color w:val="000000" w:themeColor="text1"/>
        </w:rPr>
        <w:t>Low Risk</w:t>
      </w:r>
    </w:p>
    <w:p w:rsidR="007247CB" w:rsidRPr="00143D72" w:rsidRDefault="007247CB" w:rsidP="007247CB">
      <w:pPr>
        <w:pStyle w:val="ListParagraph"/>
        <w:numPr>
          <w:ilvl w:val="0"/>
          <w:numId w:val="5"/>
        </w:numPr>
        <w:suppressAutoHyphens/>
        <w:spacing w:after="0"/>
        <w:rPr>
          <w:rFonts w:ascii="Arial" w:hAnsi="Arial" w:cs="Arial"/>
          <w:i/>
          <w:color w:val="000000" w:themeColor="text1"/>
        </w:rPr>
      </w:pPr>
      <w:r w:rsidRPr="00143D72">
        <w:rPr>
          <w:rFonts w:ascii="Arial" w:hAnsi="Arial" w:cs="Arial"/>
          <w:i/>
          <w:color w:val="000000" w:themeColor="text1"/>
        </w:rPr>
        <w:t>No risk factors apparent or previous risk factors fully addressed and protective factors apparent</w:t>
      </w:r>
    </w:p>
    <w:p w:rsidR="007247CB" w:rsidRPr="00143D72" w:rsidRDefault="007247CB" w:rsidP="007247CB">
      <w:pPr>
        <w:pStyle w:val="ListParagraph"/>
        <w:numPr>
          <w:ilvl w:val="0"/>
          <w:numId w:val="5"/>
        </w:numPr>
        <w:suppressAutoHyphens/>
        <w:spacing w:after="0"/>
        <w:rPr>
          <w:rFonts w:ascii="Arial" w:hAnsi="Arial" w:cs="Arial"/>
          <w:color w:val="000000" w:themeColor="text1"/>
        </w:rPr>
      </w:pPr>
      <w:r w:rsidRPr="00143D72">
        <w:rPr>
          <w:rFonts w:ascii="Arial" w:hAnsi="Arial" w:cs="Arial"/>
          <w:i/>
          <w:color w:val="000000" w:themeColor="text1"/>
        </w:rPr>
        <w:t>Evidence of parental capacity to sustain change. Parents and child both want return home to take place.</w:t>
      </w:r>
    </w:p>
    <w:p w:rsidR="007247CB" w:rsidRPr="00143D72" w:rsidRDefault="007247CB" w:rsidP="00C034E9">
      <w:pPr>
        <w:rPr>
          <w:rFonts w:ascii="Arial" w:eastAsiaTheme="majorEastAsia" w:hAnsi="Arial" w:cs="Arial"/>
          <w:b/>
          <w:bCs/>
          <w:color w:val="365F91" w:themeColor="accent1" w:themeShade="BF"/>
          <w:sz w:val="28"/>
          <w:szCs w:val="28"/>
        </w:rPr>
      </w:pPr>
    </w:p>
    <w:p w:rsidR="00C034E9" w:rsidRPr="00143D72" w:rsidRDefault="006F4EAC" w:rsidP="00C034E9">
      <w:pPr>
        <w:rPr>
          <w:rFonts w:ascii="Arial" w:eastAsiaTheme="majorEastAsia" w:hAnsi="Arial" w:cs="Arial"/>
          <w:b/>
          <w:bCs/>
          <w:color w:val="365F91" w:themeColor="accent1" w:themeShade="BF"/>
          <w:sz w:val="28"/>
          <w:szCs w:val="28"/>
        </w:rPr>
      </w:pPr>
      <w:r w:rsidRPr="00143D72">
        <w:rPr>
          <w:rFonts w:ascii="Arial" w:eastAsiaTheme="majorEastAsia" w:hAnsi="Arial" w:cs="Arial"/>
          <w:b/>
          <w:bCs/>
          <w:color w:val="365F91" w:themeColor="accent1" w:themeShade="BF"/>
          <w:sz w:val="28"/>
          <w:szCs w:val="28"/>
        </w:rPr>
        <w:t xml:space="preserve">The </w:t>
      </w:r>
      <w:r w:rsidR="00C034E9" w:rsidRPr="00143D72">
        <w:rPr>
          <w:rFonts w:ascii="Arial" w:eastAsiaTheme="majorEastAsia" w:hAnsi="Arial" w:cs="Arial"/>
          <w:b/>
          <w:bCs/>
          <w:color w:val="365F91" w:themeColor="accent1" w:themeShade="BF"/>
          <w:sz w:val="28"/>
          <w:szCs w:val="28"/>
        </w:rPr>
        <w:t>Checklist</w:t>
      </w:r>
    </w:p>
    <w:p w:rsidR="00342114" w:rsidRPr="00143D72" w:rsidRDefault="00342114" w:rsidP="00C034E9">
      <w:pPr>
        <w:pStyle w:val="ListParagraph"/>
        <w:numPr>
          <w:ilvl w:val="0"/>
          <w:numId w:val="2"/>
        </w:numPr>
        <w:spacing w:before="240"/>
        <w:rPr>
          <w:rFonts w:ascii="Arial" w:hAnsi="Arial" w:cs="Arial"/>
          <w:sz w:val="24"/>
          <w:szCs w:val="24"/>
        </w:rPr>
      </w:pPr>
      <w:r w:rsidRPr="00143D72">
        <w:rPr>
          <w:rFonts w:ascii="Arial" w:hAnsi="Arial" w:cs="Arial"/>
          <w:sz w:val="24"/>
          <w:szCs w:val="24"/>
        </w:rPr>
        <w:t xml:space="preserve">Head of Service agreement with the return home plan is recorded as management oversight case note. </w:t>
      </w:r>
    </w:p>
    <w:p w:rsidR="00C70AF1" w:rsidRPr="00143D72" w:rsidRDefault="00C70AF1" w:rsidP="00C034E9">
      <w:pPr>
        <w:pStyle w:val="ListParagraph"/>
        <w:numPr>
          <w:ilvl w:val="0"/>
          <w:numId w:val="2"/>
        </w:numPr>
        <w:spacing w:before="240"/>
        <w:rPr>
          <w:rFonts w:ascii="Arial" w:hAnsi="Arial" w:cs="Arial"/>
          <w:sz w:val="24"/>
          <w:szCs w:val="24"/>
        </w:rPr>
      </w:pPr>
      <w:r w:rsidRPr="00143D72">
        <w:rPr>
          <w:rFonts w:ascii="Arial" w:hAnsi="Arial" w:cs="Arial"/>
          <w:sz w:val="24"/>
          <w:szCs w:val="24"/>
        </w:rPr>
        <w:t>There is an up to date chronology.</w:t>
      </w:r>
    </w:p>
    <w:p w:rsidR="00C034E9" w:rsidRPr="00143D72" w:rsidRDefault="00C034E9" w:rsidP="00C034E9">
      <w:pPr>
        <w:pStyle w:val="ListParagraph"/>
        <w:spacing w:before="240"/>
        <w:ind w:left="360"/>
        <w:rPr>
          <w:rFonts w:ascii="Arial" w:hAnsi="Arial" w:cs="Arial"/>
          <w:sz w:val="24"/>
          <w:szCs w:val="24"/>
        </w:rPr>
      </w:pPr>
    </w:p>
    <w:p w:rsidR="00C70AF1" w:rsidRPr="00143D72" w:rsidRDefault="00C70AF1" w:rsidP="00C034E9">
      <w:pPr>
        <w:pStyle w:val="ListParagraph"/>
        <w:numPr>
          <w:ilvl w:val="0"/>
          <w:numId w:val="2"/>
        </w:numPr>
        <w:spacing w:before="240"/>
        <w:rPr>
          <w:rFonts w:ascii="Arial" w:hAnsi="Arial" w:cs="Arial"/>
          <w:sz w:val="24"/>
          <w:szCs w:val="24"/>
        </w:rPr>
      </w:pPr>
      <w:r w:rsidRPr="00143D72">
        <w:rPr>
          <w:rFonts w:ascii="Arial" w:hAnsi="Arial" w:cs="Arial"/>
          <w:sz w:val="24"/>
          <w:szCs w:val="24"/>
        </w:rPr>
        <w:t xml:space="preserve">There is an Updated Assessment </w:t>
      </w:r>
      <w:r w:rsidR="004502F3" w:rsidRPr="00143D72">
        <w:rPr>
          <w:rFonts w:ascii="Arial" w:hAnsi="Arial" w:cs="Arial"/>
          <w:sz w:val="24"/>
          <w:szCs w:val="24"/>
        </w:rPr>
        <w:t xml:space="preserve">that </w:t>
      </w:r>
      <w:r w:rsidRPr="00143D72">
        <w:rPr>
          <w:rFonts w:ascii="Arial" w:hAnsi="Arial" w:cs="Arial"/>
          <w:sz w:val="24"/>
          <w:szCs w:val="24"/>
        </w:rPr>
        <w:t xml:space="preserve">takes into account and analyses: </w:t>
      </w:r>
    </w:p>
    <w:p w:rsidR="00C70AF1" w:rsidRPr="00143D72" w:rsidRDefault="00C70AF1" w:rsidP="00C034E9">
      <w:pPr>
        <w:pStyle w:val="ListParagraph"/>
        <w:numPr>
          <w:ilvl w:val="0"/>
          <w:numId w:val="1"/>
        </w:numPr>
        <w:spacing w:before="240"/>
        <w:rPr>
          <w:rFonts w:ascii="Arial" w:hAnsi="Arial" w:cs="Arial"/>
          <w:sz w:val="24"/>
          <w:szCs w:val="24"/>
        </w:rPr>
      </w:pPr>
      <w:r w:rsidRPr="00143D72">
        <w:rPr>
          <w:rFonts w:ascii="Arial" w:hAnsi="Arial" w:cs="Arial"/>
          <w:sz w:val="24"/>
          <w:szCs w:val="24"/>
        </w:rPr>
        <w:t>Information in the chronology</w:t>
      </w:r>
    </w:p>
    <w:p w:rsidR="004502F3" w:rsidRPr="00143D72" w:rsidRDefault="004502F3" w:rsidP="00C034E9">
      <w:pPr>
        <w:pStyle w:val="ListParagraph"/>
        <w:numPr>
          <w:ilvl w:val="0"/>
          <w:numId w:val="1"/>
        </w:numPr>
        <w:spacing w:before="240"/>
        <w:rPr>
          <w:rFonts w:ascii="Arial" w:hAnsi="Arial" w:cs="Arial"/>
          <w:sz w:val="24"/>
          <w:szCs w:val="24"/>
        </w:rPr>
      </w:pPr>
      <w:r w:rsidRPr="00143D72">
        <w:rPr>
          <w:rFonts w:ascii="Arial" w:hAnsi="Arial" w:cs="Arial"/>
          <w:sz w:val="24"/>
          <w:szCs w:val="24"/>
        </w:rPr>
        <w:t>The child’s journey and not just the ‘here and now’</w:t>
      </w:r>
    </w:p>
    <w:p w:rsidR="00C70AF1" w:rsidRPr="00143D72" w:rsidRDefault="00C70AF1" w:rsidP="00C034E9">
      <w:pPr>
        <w:pStyle w:val="ListParagraph"/>
        <w:numPr>
          <w:ilvl w:val="0"/>
          <w:numId w:val="1"/>
        </w:numPr>
        <w:spacing w:before="240"/>
        <w:rPr>
          <w:rFonts w:ascii="Arial" w:hAnsi="Arial" w:cs="Arial"/>
          <w:sz w:val="24"/>
          <w:szCs w:val="24"/>
        </w:rPr>
      </w:pPr>
      <w:r w:rsidRPr="00143D72">
        <w:rPr>
          <w:rFonts w:ascii="Arial" w:hAnsi="Arial" w:cs="Arial"/>
          <w:sz w:val="24"/>
          <w:szCs w:val="24"/>
        </w:rPr>
        <w:t>Reasons why the child came into care</w:t>
      </w:r>
    </w:p>
    <w:p w:rsidR="00C70AF1" w:rsidRPr="00143D72" w:rsidRDefault="00C70AF1" w:rsidP="00C034E9">
      <w:pPr>
        <w:pStyle w:val="ListParagraph"/>
        <w:numPr>
          <w:ilvl w:val="0"/>
          <w:numId w:val="1"/>
        </w:numPr>
        <w:spacing w:before="240"/>
        <w:rPr>
          <w:rFonts w:ascii="Arial" w:hAnsi="Arial" w:cs="Arial"/>
          <w:sz w:val="24"/>
          <w:szCs w:val="24"/>
        </w:rPr>
      </w:pPr>
      <w:r w:rsidRPr="00143D72">
        <w:rPr>
          <w:rFonts w:ascii="Arial" w:hAnsi="Arial" w:cs="Arial"/>
          <w:sz w:val="24"/>
          <w:szCs w:val="24"/>
        </w:rPr>
        <w:t>Evidence of change in parenting capacity and parent/s’ capacity to sustain this change</w:t>
      </w:r>
    </w:p>
    <w:p w:rsidR="0069115E" w:rsidRPr="00143D72" w:rsidRDefault="0069115E" w:rsidP="00C034E9">
      <w:pPr>
        <w:pStyle w:val="ListParagraph"/>
        <w:numPr>
          <w:ilvl w:val="0"/>
          <w:numId w:val="1"/>
        </w:numPr>
        <w:spacing w:before="240"/>
        <w:rPr>
          <w:rFonts w:ascii="Arial" w:hAnsi="Arial" w:cs="Arial"/>
          <w:sz w:val="24"/>
          <w:szCs w:val="24"/>
        </w:rPr>
      </w:pPr>
      <w:r w:rsidRPr="00143D72">
        <w:rPr>
          <w:rFonts w:ascii="Arial" w:hAnsi="Arial" w:cs="Arial"/>
          <w:sz w:val="24"/>
          <w:szCs w:val="24"/>
        </w:rPr>
        <w:t>Involvement of fathers and / or parent’s partner in suitable depth</w:t>
      </w:r>
    </w:p>
    <w:p w:rsidR="00C70AF1" w:rsidRPr="00143D72" w:rsidRDefault="00C70AF1" w:rsidP="00C034E9">
      <w:pPr>
        <w:pStyle w:val="ListParagraph"/>
        <w:numPr>
          <w:ilvl w:val="0"/>
          <w:numId w:val="1"/>
        </w:numPr>
        <w:spacing w:before="240"/>
        <w:rPr>
          <w:rFonts w:ascii="Arial" w:hAnsi="Arial" w:cs="Arial"/>
          <w:sz w:val="24"/>
          <w:szCs w:val="24"/>
        </w:rPr>
      </w:pPr>
      <w:r w:rsidRPr="00143D72">
        <w:rPr>
          <w:rFonts w:ascii="Arial" w:hAnsi="Arial" w:cs="Arial"/>
          <w:sz w:val="24"/>
          <w:szCs w:val="24"/>
        </w:rPr>
        <w:t xml:space="preserve">Information from relevant partner agencies, including agencies working with adults such as Housing, Mental Health, Probation etc. </w:t>
      </w:r>
    </w:p>
    <w:p w:rsidR="0069115E" w:rsidRPr="00143D72" w:rsidRDefault="0069115E" w:rsidP="00C034E9">
      <w:pPr>
        <w:pStyle w:val="ListParagraph"/>
        <w:numPr>
          <w:ilvl w:val="0"/>
          <w:numId w:val="1"/>
        </w:numPr>
        <w:spacing w:before="240"/>
        <w:rPr>
          <w:rFonts w:ascii="Arial" w:hAnsi="Arial" w:cs="Arial"/>
          <w:sz w:val="24"/>
          <w:szCs w:val="24"/>
        </w:rPr>
      </w:pPr>
      <w:r w:rsidRPr="00143D72">
        <w:rPr>
          <w:rFonts w:ascii="Arial" w:hAnsi="Arial" w:cs="Arial"/>
          <w:sz w:val="24"/>
          <w:szCs w:val="24"/>
        </w:rPr>
        <w:t>Stresses in the family such as illness, debt, housing, etc.</w:t>
      </w:r>
    </w:p>
    <w:p w:rsidR="00C034E9" w:rsidRPr="00143D72" w:rsidRDefault="00C034E9" w:rsidP="00C034E9">
      <w:pPr>
        <w:pStyle w:val="ListParagraph"/>
        <w:spacing w:before="240"/>
        <w:rPr>
          <w:rFonts w:ascii="Arial" w:hAnsi="Arial" w:cs="Arial"/>
          <w:sz w:val="24"/>
          <w:szCs w:val="24"/>
        </w:rPr>
      </w:pPr>
    </w:p>
    <w:p w:rsidR="0069115E" w:rsidRPr="00143D72" w:rsidRDefault="0069115E" w:rsidP="00C034E9">
      <w:pPr>
        <w:pStyle w:val="ListParagraph"/>
        <w:numPr>
          <w:ilvl w:val="0"/>
          <w:numId w:val="3"/>
        </w:numPr>
        <w:spacing w:before="240"/>
        <w:rPr>
          <w:rFonts w:ascii="Arial" w:hAnsi="Arial" w:cs="Arial"/>
          <w:sz w:val="24"/>
          <w:szCs w:val="24"/>
        </w:rPr>
      </w:pPr>
      <w:r w:rsidRPr="00143D72">
        <w:rPr>
          <w:rFonts w:ascii="Arial" w:hAnsi="Arial" w:cs="Arial"/>
          <w:sz w:val="24"/>
          <w:szCs w:val="24"/>
        </w:rPr>
        <w:t>The</w:t>
      </w:r>
      <w:r w:rsidR="00F5174C" w:rsidRPr="00143D72">
        <w:rPr>
          <w:rFonts w:ascii="Arial" w:hAnsi="Arial" w:cs="Arial"/>
          <w:sz w:val="24"/>
          <w:szCs w:val="24"/>
        </w:rPr>
        <w:t xml:space="preserve"> assessment forms the basis of the plan</w:t>
      </w:r>
      <w:r w:rsidR="007247CB" w:rsidRPr="00143D72">
        <w:rPr>
          <w:rFonts w:ascii="Arial" w:hAnsi="Arial" w:cs="Arial"/>
          <w:sz w:val="24"/>
          <w:szCs w:val="24"/>
        </w:rPr>
        <w:t xml:space="preserve">ning. </w:t>
      </w:r>
      <w:r w:rsidR="00F5174C" w:rsidRPr="00143D72">
        <w:rPr>
          <w:rFonts w:ascii="Arial" w:hAnsi="Arial" w:cs="Arial"/>
          <w:sz w:val="24"/>
          <w:szCs w:val="24"/>
        </w:rPr>
        <w:t xml:space="preserve">It is recommended that the planning uses the SOSW model so that all parties have a clear understanding of the dangers / risks, desired outcomes / goals and actions that are required to achieve these. </w:t>
      </w:r>
      <w:r w:rsidR="007247CB" w:rsidRPr="00143D72">
        <w:rPr>
          <w:rFonts w:ascii="Arial" w:hAnsi="Arial" w:cs="Arial"/>
          <w:sz w:val="24"/>
          <w:szCs w:val="24"/>
        </w:rPr>
        <w:t>The planning includes the following:</w:t>
      </w:r>
    </w:p>
    <w:p w:rsidR="007247CB" w:rsidRPr="00143D72" w:rsidRDefault="007247CB" w:rsidP="007247CB">
      <w:pPr>
        <w:pStyle w:val="ListParagraph"/>
        <w:numPr>
          <w:ilvl w:val="0"/>
          <w:numId w:val="1"/>
        </w:numPr>
        <w:spacing w:before="240"/>
        <w:rPr>
          <w:rFonts w:ascii="Arial" w:hAnsi="Arial" w:cs="Arial"/>
          <w:sz w:val="24"/>
          <w:szCs w:val="24"/>
        </w:rPr>
      </w:pPr>
      <w:r w:rsidRPr="00143D72">
        <w:rPr>
          <w:rFonts w:ascii="Arial" w:hAnsi="Arial" w:cs="Arial"/>
          <w:sz w:val="24"/>
          <w:szCs w:val="24"/>
        </w:rPr>
        <w:t>Participation of the child (takes into account the child’s wishes)</w:t>
      </w:r>
      <w:proofErr w:type="gramStart"/>
      <w:r w:rsidRPr="00143D72">
        <w:rPr>
          <w:rFonts w:ascii="Arial" w:hAnsi="Arial" w:cs="Arial"/>
          <w:sz w:val="24"/>
          <w:szCs w:val="24"/>
        </w:rPr>
        <w:t>,</w:t>
      </w:r>
      <w:proofErr w:type="gramEnd"/>
      <w:r w:rsidRPr="00143D72">
        <w:rPr>
          <w:rFonts w:ascii="Arial" w:hAnsi="Arial" w:cs="Arial"/>
          <w:sz w:val="24"/>
          <w:szCs w:val="24"/>
        </w:rPr>
        <w:t xml:space="preserve"> family and relevant partner agencies to draw up the plan.   </w:t>
      </w:r>
    </w:p>
    <w:p w:rsidR="007247CB" w:rsidRPr="00143D72" w:rsidRDefault="007247CB" w:rsidP="00F5174C">
      <w:pPr>
        <w:pStyle w:val="ListParagraph"/>
        <w:numPr>
          <w:ilvl w:val="0"/>
          <w:numId w:val="1"/>
        </w:numPr>
        <w:spacing w:before="240"/>
        <w:rPr>
          <w:rFonts w:ascii="Arial" w:hAnsi="Arial" w:cs="Arial"/>
          <w:sz w:val="24"/>
          <w:szCs w:val="24"/>
        </w:rPr>
      </w:pPr>
      <w:r w:rsidRPr="00143D72">
        <w:rPr>
          <w:rFonts w:ascii="Arial" w:hAnsi="Arial" w:cs="Arial"/>
          <w:sz w:val="24"/>
          <w:szCs w:val="24"/>
        </w:rPr>
        <w:t xml:space="preserve">The plan </w:t>
      </w:r>
      <w:r w:rsidR="0069115E" w:rsidRPr="00143D72">
        <w:rPr>
          <w:rFonts w:ascii="Arial" w:hAnsi="Arial" w:cs="Arial"/>
          <w:sz w:val="24"/>
          <w:szCs w:val="24"/>
        </w:rPr>
        <w:t>is agreed and owned by the child, family and relevant partner agencies.</w:t>
      </w:r>
    </w:p>
    <w:p w:rsidR="00C034E9" w:rsidRPr="00143D72" w:rsidRDefault="007247CB" w:rsidP="00F5174C">
      <w:pPr>
        <w:pStyle w:val="ListParagraph"/>
        <w:numPr>
          <w:ilvl w:val="0"/>
          <w:numId w:val="1"/>
        </w:numPr>
        <w:spacing w:before="240"/>
        <w:rPr>
          <w:rFonts w:ascii="Arial" w:hAnsi="Arial" w:cs="Arial"/>
          <w:sz w:val="24"/>
          <w:szCs w:val="24"/>
        </w:rPr>
      </w:pPr>
      <w:r w:rsidRPr="00143D72">
        <w:rPr>
          <w:rFonts w:ascii="Arial" w:hAnsi="Arial" w:cs="Arial"/>
          <w:sz w:val="24"/>
          <w:szCs w:val="24"/>
        </w:rPr>
        <w:t>The plan is clear and everyone</w:t>
      </w:r>
      <w:r w:rsidR="004502F3" w:rsidRPr="00143D72">
        <w:rPr>
          <w:rFonts w:ascii="Arial" w:hAnsi="Arial" w:cs="Arial"/>
          <w:sz w:val="24"/>
          <w:szCs w:val="24"/>
        </w:rPr>
        <w:t xml:space="preserve"> </w:t>
      </w:r>
      <w:r w:rsidRPr="00143D72">
        <w:rPr>
          <w:rFonts w:ascii="Arial" w:hAnsi="Arial" w:cs="Arial"/>
          <w:sz w:val="24"/>
          <w:szCs w:val="24"/>
        </w:rPr>
        <w:t>involved understands what they need to do to achieve the outcomes.</w:t>
      </w:r>
    </w:p>
    <w:p w:rsidR="007247CB" w:rsidRPr="00143D72" w:rsidRDefault="007247CB" w:rsidP="00F5174C">
      <w:pPr>
        <w:pStyle w:val="ListParagraph"/>
        <w:numPr>
          <w:ilvl w:val="0"/>
          <w:numId w:val="1"/>
        </w:numPr>
        <w:spacing w:before="240"/>
        <w:rPr>
          <w:rFonts w:ascii="Arial" w:hAnsi="Arial" w:cs="Arial"/>
          <w:sz w:val="24"/>
          <w:szCs w:val="24"/>
        </w:rPr>
      </w:pPr>
      <w:r w:rsidRPr="00143D72">
        <w:rPr>
          <w:rFonts w:ascii="Arial" w:hAnsi="Arial" w:cs="Arial"/>
          <w:sz w:val="24"/>
          <w:szCs w:val="24"/>
        </w:rPr>
        <w:t>There is a robust contingency plan.</w:t>
      </w:r>
    </w:p>
    <w:p w:rsidR="007247CB" w:rsidRPr="00143D72" w:rsidRDefault="007247CB" w:rsidP="007247CB">
      <w:pPr>
        <w:pStyle w:val="ListParagraph"/>
        <w:numPr>
          <w:ilvl w:val="0"/>
          <w:numId w:val="1"/>
        </w:numPr>
        <w:spacing w:before="240"/>
        <w:rPr>
          <w:rFonts w:ascii="Arial" w:hAnsi="Arial" w:cs="Arial"/>
          <w:sz w:val="24"/>
          <w:szCs w:val="24"/>
        </w:rPr>
      </w:pPr>
      <w:r w:rsidRPr="00143D72">
        <w:rPr>
          <w:rFonts w:ascii="Arial" w:hAnsi="Arial" w:cs="Arial"/>
          <w:sz w:val="24"/>
          <w:szCs w:val="24"/>
        </w:rPr>
        <w:t>The plan is clearly records how the parental support network is involved and successfully supporting the family whilst the professional network is gradually withdrawing.</w:t>
      </w:r>
    </w:p>
    <w:p w:rsidR="007247CB" w:rsidRPr="00143D72" w:rsidRDefault="007247CB" w:rsidP="00F5174C">
      <w:pPr>
        <w:pStyle w:val="ListParagraph"/>
        <w:numPr>
          <w:ilvl w:val="0"/>
          <w:numId w:val="1"/>
        </w:numPr>
        <w:spacing w:before="240"/>
        <w:rPr>
          <w:rFonts w:ascii="Arial" w:hAnsi="Arial" w:cs="Arial"/>
          <w:sz w:val="24"/>
          <w:szCs w:val="24"/>
        </w:rPr>
      </w:pPr>
      <w:r w:rsidRPr="00143D72">
        <w:rPr>
          <w:rFonts w:ascii="Arial" w:hAnsi="Arial" w:cs="Arial"/>
          <w:sz w:val="24"/>
          <w:szCs w:val="24"/>
        </w:rPr>
        <w:t xml:space="preserve">There is a transition plan from leaving care and returning home. </w:t>
      </w:r>
    </w:p>
    <w:p w:rsidR="007247CB" w:rsidRPr="00143D72" w:rsidRDefault="007247CB" w:rsidP="00F5174C">
      <w:pPr>
        <w:pStyle w:val="ListParagraph"/>
        <w:numPr>
          <w:ilvl w:val="0"/>
          <w:numId w:val="1"/>
        </w:numPr>
        <w:spacing w:before="240"/>
        <w:rPr>
          <w:rFonts w:ascii="Arial" w:hAnsi="Arial" w:cs="Arial"/>
          <w:sz w:val="24"/>
          <w:szCs w:val="24"/>
        </w:rPr>
      </w:pPr>
      <w:r w:rsidRPr="00143D72">
        <w:rPr>
          <w:rFonts w:ascii="Arial" w:hAnsi="Arial" w:cs="Arial"/>
          <w:sz w:val="24"/>
          <w:szCs w:val="24"/>
        </w:rPr>
        <w:lastRenderedPageBreak/>
        <w:t xml:space="preserve">The case is not closed immediately after the child returns home and there is a phased withdrawal of professional support. </w:t>
      </w:r>
    </w:p>
    <w:p w:rsidR="00C034E9" w:rsidRPr="00143D72" w:rsidRDefault="00C034E9" w:rsidP="00C034E9">
      <w:pPr>
        <w:pStyle w:val="ListParagraph"/>
        <w:spacing w:before="240"/>
        <w:ind w:left="360"/>
        <w:rPr>
          <w:rFonts w:ascii="Arial" w:hAnsi="Arial" w:cs="Arial"/>
          <w:sz w:val="24"/>
          <w:szCs w:val="24"/>
        </w:rPr>
      </w:pPr>
    </w:p>
    <w:p w:rsidR="007247CB" w:rsidRPr="00143D72" w:rsidRDefault="007247CB" w:rsidP="007247CB">
      <w:pPr>
        <w:pStyle w:val="ListParagraph"/>
        <w:numPr>
          <w:ilvl w:val="0"/>
          <w:numId w:val="3"/>
        </w:numPr>
        <w:spacing w:before="240"/>
        <w:rPr>
          <w:rFonts w:ascii="Arial" w:hAnsi="Arial" w:cs="Arial"/>
          <w:sz w:val="24"/>
          <w:szCs w:val="24"/>
        </w:rPr>
      </w:pPr>
      <w:r w:rsidRPr="00143D72">
        <w:rPr>
          <w:rFonts w:ascii="Arial" w:hAnsi="Arial" w:cs="Arial"/>
          <w:sz w:val="24"/>
          <w:szCs w:val="24"/>
        </w:rPr>
        <w:t xml:space="preserve">Direct work continues with children after returning home. In cases where the concern is about parental mental health, domestic violence or substance misuse the direct work includes helping children understand the concern, identify warning signs and have appropriate strategies of what to do if they see these signs (safety plans). In cases of parental mental ill-health the direct work is aimed at helping children deal with worries about their own potential for mental ill-health. This work can be carried out by a mentor or young carer’s project but they may need support and insights from relevant partner agencies.  </w:t>
      </w:r>
    </w:p>
    <w:p w:rsidR="007247CB" w:rsidRPr="00143D72" w:rsidRDefault="007247CB" w:rsidP="007247CB">
      <w:pPr>
        <w:pStyle w:val="ListParagraph"/>
        <w:spacing w:before="240"/>
        <w:ind w:left="360"/>
        <w:rPr>
          <w:rFonts w:ascii="Arial" w:hAnsi="Arial" w:cs="Arial"/>
          <w:sz w:val="24"/>
          <w:szCs w:val="24"/>
        </w:rPr>
      </w:pPr>
    </w:p>
    <w:p w:rsidR="007247CB" w:rsidRPr="00143D72" w:rsidRDefault="007247CB" w:rsidP="007247CB">
      <w:pPr>
        <w:pStyle w:val="ListParagraph"/>
        <w:numPr>
          <w:ilvl w:val="0"/>
          <w:numId w:val="3"/>
        </w:numPr>
        <w:spacing w:before="240"/>
        <w:rPr>
          <w:rFonts w:ascii="Arial" w:hAnsi="Arial" w:cs="Arial"/>
          <w:sz w:val="24"/>
          <w:szCs w:val="24"/>
        </w:rPr>
      </w:pPr>
      <w:r w:rsidRPr="00143D72">
        <w:rPr>
          <w:rFonts w:ascii="Arial" w:hAnsi="Arial" w:cs="Arial"/>
          <w:sz w:val="24"/>
          <w:szCs w:val="24"/>
        </w:rPr>
        <w:t>Life story work is completed with children who have been in care for over a year and they have a later life letter from their social worker.</w:t>
      </w:r>
    </w:p>
    <w:p w:rsidR="007247CB" w:rsidRPr="00143D72" w:rsidRDefault="007247CB" w:rsidP="007247CB">
      <w:pPr>
        <w:pStyle w:val="ListParagraph"/>
        <w:rPr>
          <w:rFonts w:ascii="Arial" w:hAnsi="Arial" w:cs="Arial"/>
          <w:sz w:val="24"/>
          <w:szCs w:val="24"/>
        </w:rPr>
      </w:pPr>
    </w:p>
    <w:p w:rsidR="004502F3" w:rsidRPr="00143D72" w:rsidRDefault="004502F3" w:rsidP="007247CB">
      <w:pPr>
        <w:pStyle w:val="ListParagraph"/>
        <w:numPr>
          <w:ilvl w:val="0"/>
          <w:numId w:val="3"/>
        </w:numPr>
        <w:spacing w:before="240"/>
        <w:rPr>
          <w:rFonts w:ascii="Arial" w:hAnsi="Arial" w:cs="Arial"/>
          <w:sz w:val="24"/>
          <w:szCs w:val="24"/>
        </w:rPr>
      </w:pPr>
      <w:r w:rsidRPr="00143D72">
        <w:rPr>
          <w:rFonts w:ascii="Arial" w:hAnsi="Arial" w:cs="Arial"/>
          <w:sz w:val="24"/>
          <w:szCs w:val="24"/>
        </w:rPr>
        <w:t xml:space="preserve">All relevant agencies, including GP, Housing, </w:t>
      </w:r>
      <w:proofErr w:type="gramStart"/>
      <w:r w:rsidRPr="00143D72">
        <w:rPr>
          <w:rFonts w:ascii="Arial" w:hAnsi="Arial" w:cs="Arial"/>
          <w:sz w:val="24"/>
          <w:szCs w:val="24"/>
        </w:rPr>
        <w:t>Adult</w:t>
      </w:r>
      <w:proofErr w:type="gramEnd"/>
      <w:r w:rsidRPr="00143D72">
        <w:rPr>
          <w:rFonts w:ascii="Arial" w:hAnsi="Arial" w:cs="Arial"/>
          <w:sz w:val="24"/>
          <w:szCs w:val="24"/>
        </w:rPr>
        <w:t xml:space="preserve"> Mental Health (if relevant) are informed that the child is returning home and the plan is shared with them. </w:t>
      </w:r>
    </w:p>
    <w:p w:rsidR="00C034E9" w:rsidRPr="00143D72" w:rsidRDefault="00C034E9" w:rsidP="00C034E9">
      <w:pPr>
        <w:pStyle w:val="ListParagraph"/>
        <w:spacing w:before="240"/>
        <w:ind w:left="360"/>
        <w:rPr>
          <w:rFonts w:ascii="Arial" w:hAnsi="Arial" w:cs="Arial"/>
          <w:sz w:val="24"/>
          <w:szCs w:val="24"/>
        </w:rPr>
      </w:pPr>
    </w:p>
    <w:p w:rsidR="00C034E9" w:rsidRPr="00143D72" w:rsidRDefault="004502F3" w:rsidP="007247CB">
      <w:pPr>
        <w:pStyle w:val="ListParagraph"/>
        <w:numPr>
          <w:ilvl w:val="0"/>
          <w:numId w:val="3"/>
        </w:numPr>
        <w:spacing w:before="240"/>
        <w:rPr>
          <w:rFonts w:ascii="Arial" w:hAnsi="Arial" w:cs="Arial"/>
          <w:sz w:val="24"/>
          <w:szCs w:val="24"/>
        </w:rPr>
      </w:pPr>
      <w:r w:rsidRPr="00143D72">
        <w:rPr>
          <w:rFonts w:ascii="Arial" w:hAnsi="Arial" w:cs="Arial"/>
          <w:sz w:val="24"/>
          <w:szCs w:val="24"/>
        </w:rPr>
        <w:t>All significant documents, including court documents are uploaded on the child’s record.</w:t>
      </w:r>
    </w:p>
    <w:p w:rsidR="007247CB" w:rsidRPr="00143D72" w:rsidRDefault="007247CB" w:rsidP="007247CB">
      <w:pPr>
        <w:pStyle w:val="ListParagraph"/>
        <w:rPr>
          <w:rFonts w:ascii="Arial" w:hAnsi="Arial" w:cs="Arial"/>
          <w:sz w:val="24"/>
          <w:szCs w:val="24"/>
        </w:rPr>
      </w:pPr>
    </w:p>
    <w:p w:rsidR="001B76AE" w:rsidRPr="00143D72" w:rsidRDefault="001B76AE" w:rsidP="00C034E9">
      <w:pPr>
        <w:pStyle w:val="ListParagraph"/>
        <w:numPr>
          <w:ilvl w:val="0"/>
          <w:numId w:val="3"/>
        </w:numPr>
        <w:spacing w:before="240"/>
        <w:rPr>
          <w:rFonts w:ascii="Arial" w:hAnsi="Arial" w:cs="Arial"/>
          <w:sz w:val="24"/>
          <w:szCs w:val="24"/>
        </w:rPr>
      </w:pPr>
      <w:r w:rsidRPr="00143D72">
        <w:rPr>
          <w:rFonts w:ascii="Arial" w:hAnsi="Arial" w:cs="Arial"/>
          <w:sz w:val="24"/>
          <w:szCs w:val="24"/>
        </w:rPr>
        <w:t>Children (and parents) are informed of their rights as eligible / relevant and former relevant children and their right to access their records.</w:t>
      </w:r>
    </w:p>
    <w:p w:rsidR="00C034E9" w:rsidRPr="00143D72" w:rsidRDefault="00C034E9" w:rsidP="00C034E9">
      <w:pPr>
        <w:pStyle w:val="ListParagraph"/>
        <w:spacing w:before="240"/>
        <w:ind w:left="360"/>
        <w:rPr>
          <w:rFonts w:ascii="Arial" w:hAnsi="Arial" w:cs="Arial"/>
          <w:sz w:val="24"/>
          <w:szCs w:val="24"/>
        </w:rPr>
      </w:pPr>
    </w:p>
    <w:p w:rsidR="00101A5E" w:rsidRPr="002D0B4E" w:rsidRDefault="001B76AE" w:rsidP="006012C3">
      <w:pPr>
        <w:pStyle w:val="ListParagraph"/>
        <w:numPr>
          <w:ilvl w:val="0"/>
          <w:numId w:val="3"/>
        </w:numPr>
        <w:spacing w:before="240"/>
        <w:rPr>
          <w:rFonts w:ascii="Arial" w:hAnsi="Arial" w:cs="Arial"/>
          <w:sz w:val="24"/>
          <w:szCs w:val="24"/>
        </w:rPr>
      </w:pPr>
      <w:r w:rsidRPr="00143D72">
        <w:rPr>
          <w:rFonts w:ascii="Arial" w:hAnsi="Arial" w:cs="Arial"/>
          <w:sz w:val="24"/>
          <w:szCs w:val="24"/>
        </w:rPr>
        <w:t>Children are given their health passport and savings for the durati</w:t>
      </w:r>
      <w:r w:rsidRPr="006012C3">
        <w:rPr>
          <w:rFonts w:ascii="Arial Narrow" w:hAnsi="Arial Narrow"/>
          <w:sz w:val="24"/>
          <w:szCs w:val="24"/>
        </w:rPr>
        <w:t xml:space="preserve">on </w:t>
      </w:r>
      <w:r w:rsidRPr="002D0B4E">
        <w:rPr>
          <w:rFonts w:ascii="Arial" w:hAnsi="Arial" w:cs="Arial"/>
          <w:sz w:val="24"/>
          <w:szCs w:val="24"/>
        </w:rPr>
        <w:t>they were in care.</w:t>
      </w:r>
      <w:bookmarkStart w:id="0" w:name="_GoBack"/>
      <w:bookmarkEnd w:id="0"/>
    </w:p>
    <w:sectPr w:rsidR="00101A5E" w:rsidRPr="002D0B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8D" w:rsidRDefault="0052228D" w:rsidP="005825F4">
      <w:pPr>
        <w:spacing w:after="0" w:line="240" w:lineRule="auto"/>
      </w:pPr>
      <w:r>
        <w:separator/>
      </w:r>
    </w:p>
  </w:endnote>
  <w:endnote w:type="continuationSeparator" w:id="0">
    <w:p w:rsidR="0052228D" w:rsidRDefault="0052228D" w:rsidP="0058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4C" w:rsidRDefault="00734932">
    <w:pPr>
      <w:pStyle w:val="Footer"/>
    </w:pPr>
    <w:r w:rsidRPr="005E4063">
      <w:rPr>
        <w:b/>
        <w:noProof/>
        <w:lang w:eastAsia="en-GB"/>
      </w:rPr>
      <w:drawing>
        <wp:anchor distT="0" distB="0" distL="114300" distR="114300" simplePos="0" relativeHeight="251659264" behindDoc="0" locked="0" layoutInCell="1" allowOverlap="1" wp14:anchorId="31350E76" wp14:editId="5B7881EF">
          <wp:simplePos x="0" y="0"/>
          <wp:positionH relativeFrom="column">
            <wp:posOffset>-1273983</wp:posOffset>
          </wp:positionH>
          <wp:positionV relativeFrom="paragraph">
            <wp:posOffset>-200660</wp:posOffset>
          </wp:positionV>
          <wp:extent cx="7841615" cy="106553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1615" cy="1065530"/>
                  </a:xfrm>
                  <a:prstGeom prst="rect">
                    <a:avLst/>
                  </a:prstGeom>
                  <a:noFill/>
                  <a:extLst/>
                </pic:spPr>
              </pic:pic>
            </a:graphicData>
          </a:graphic>
          <wp14:sizeRelH relativeFrom="margin">
            <wp14:pctWidth>0</wp14:pctWidth>
          </wp14:sizeRelH>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8D" w:rsidRDefault="0052228D" w:rsidP="005825F4">
      <w:pPr>
        <w:spacing w:after="0" w:line="240" w:lineRule="auto"/>
      </w:pPr>
      <w:r>
        <w:separator/>
      </w:r>
    </w:p>
  </w:footnote>
  <w:footnote w:type="continuationSeparator" w:id="0">
    <w:p w:rsidR="0052228D" w:rsidRDefault="0052228D" w:rsidP="00582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1F1D"/>
      </v:shape>
    </w:pict>
  </w:numPicBullet>
  <w:abstractNum w:abstractNumId="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9"/>
    <w:name w:val="WWNum1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25740D3E"/>
    <w:multiLevelType w:val="hybridMultilevel"/>
    <w:tmpl w:val="636A4CEA"/>
    <w:lvl w:ilvl="0" w:tplc="82A803E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B4BA5"/>
    <w:multiLevelType w:val="hybridMultilevel"/>
    <w:tmpl w:val="88D01CA8"/>
    <w:lvl w:ilvl="0" w:tplc="E6FE65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7C5577"/>
    <w:multiLevelType w:val="hybridMultilevel"/>
    <w:tmpl w:val="B52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D45F1D"/>
    <w:multiLevelType w:val="hybridMultilevel"/>
    <w:tmpl w:val="65144B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3DA4990"/>
    <w:multiLevelType w:val="hybridMultilevel"/>
    <w:tmpl w:val="A290E516"/>
    <w:lvl w:ilvl="0" w:tplc="E6FE65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F72DAD"/>
    <w:multiLevelType w:val="hybridMultilevel"/>
    <w:tmpl w:val="BBD8FC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1"/>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E1"/>
    <w:rsid w:val="000556E3"/>
    <w:rsid w:val="00101A5E"/>
    <w:rsid w:val="001150C2"/>
    <w:rsid w:val="00133525"/>
    <w:rsid w:val="00143D72"/>
    <w:rsid w:val="001A4C62"/>
    <w:rsid w:val="001B76AE"/>
    <w:rsid w:val="001D60A5"/>
    <w:rsid w:val="001E49AB"/>
    <w:rsid w:val="001E64E1"/>
    <w:rsid w:val="002D0B4E"/>
    <w:rsid w:val="00301081"/>
    <w:rsid w:val="00342114"/>
    <w:rsid w:val="00421224"/>
    <w:rsid w:val="004335B2"/>
    <w:rsid w:val="004502F3"/>
    <w:rsid w:val="004A3C89"/>
    <w:rsid w:val="004F0A40"/>
    <w:rsid w:val="0052228D"/>
    <w:rsid w:val="00530F3C"/>
    <w:rsid w:val="005825F4"/>
    <w:rsid w:val="006012C3"/>
    <w:rsid w:val="0069115E"/>
    <w:rsid w:val="006B7032"/>
    <w:rsid w:val="006D1080"/>
    <w:rsid w:val="006F4EAC"/>
    <w:rsid w:val="007247CB"/>
    <w:rsid w:val="00734932"/>
    <w:rsid w:val="008C3D07"/>
    <w:rsid w:val="009400A5"/>
    <w:rsid w:val="00A80586"/>
    <w:rsid w:val="00BA5D9F"/>
    <w:rsid w:val="00C034E9"/>
    <w:rsid w:val="00C70AF1"/>
    <w:rsid w:val="00D220E1"/>
    <w:rsid w:val="00EA27C7"/>
    <w:rsid w:val="00F069AD"/>
    <w:rsid w:val="00F51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0AF1"/>
    <w:pPr>
      <w:ind w:left="720"/>
      <w:contextualSpacing/>
    </w:pPr>
  </w:style>
  <w:style w:type="paragraph" w:customStyle="1" w:styleId="Default">
    <w:name w:val="Default"/>
    <w:rsid w:val="001D60A5"/>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Header">
    <w:name w:val="header"/>
    <w:basedOn w:val="Normal"/>
    <w:link w:val="HeaderChar"/>
    <w:uiPriority w:val="99"/>
    <w:unhideWhenUsed/>
    <w:rsid w:val="0058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F4"/>
  </w:style>
  <w:style w:type="paragraph" w:styleId="Footer">
    <w:name w:val="footer"/>
    <w:basedOn w:val="Normal"/>
    <w:link w:val="FooterChar"/>
    <w:uiPriority w:val="99"/>
    <w:unhideWhenUsed/>
    <w:rsid w:val="0058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F4"/>
  </w:style>
  <w:style w:type="paragraph" w:styleId="BalloonText">
    <w:name w:val="Balloon Text"/>
    <w:basedOn w:val="Normal"/>
    <w:link w:val="BalloonTextChar"/>
    <w:uiPriority w:val="99"/>
    <w:semiHidden/>
    <w:unhideWhenUsed/>
    <w:rsid w:val="0073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0AF1"/>
    <w:pPr>
      <w:ind w:left="720"/>
      <w:contextualSpacing/>
    </w:pPr>
  </w:style>
  <w:style w:type="paragraph" w:customStyle="1" w:styleId="Default">
    <w:name w:val="Default"/>
    <w:rsid w:val="001D60A5"/>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Header">
    <w:name w:val="header"/>
    <w:basedOn w:val="Normal"/>
    <w:link w:val="HeaderChar"/>
    <w:uiPriority w:val="99"/>
    <w:unhideWhenUsed/>
    <w:rsid w:val="0058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F4"/>
  </w:style>
  <w:style w:type="paragraph" w:styleId="Footer">
    <w:name w:val="footer"/>
    <w:basedOn w:val="Normal"/>
    <w:link w:val="FooterChar"/>
    <w:uiPriority w:val="99"/>
    <w:unhideWhenUsed/>
    <w:rsid w:val="0058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F4"/>
  </w:style>
  <w:style w:type="paragraph" w:styleId="BalloonText">
    <w:name w:val="Balloon Text"/>
    <w:basedOn w:val="Normal"/>
    <w:link w:val="BalloonTextChar"/>
    <w:uiPriority w:val="99"/>
    <w:semiHidden/>
    <w:unhideWhenUsed/>
    <w:rsid w:val="0073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Pendharkar, Vrushali</dc:creator>
  <cp:lastModifiedBy>Lundie-Sadd, Charlotte</cp:lastModifiedBy>
  <cp:revision>5</cp:revision>
  <dcterms:created xsi:type="dcterms:W3CDTF">2018-08-22T14:20:00Z</dcterms:created>
  <dcterms:modified xsi:type="dcterms:W3CDTF">2018-10-19T14:38:00Z</dcterms:modified>
</cp:coreProperties>
</file>