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1CA" w:rsidRDefault="00FC51CA" w:rsidP="009A6B2F">
      <w:pPr>
        <w:pStyle w:val="Default"/>
        <w:spacing w:after="89"/>
      </w:pPr>
      <w:bookmarkStart w:id="0" w:name="_GoBack"/>
      <w:bookmarkEnd w:id="0"/>
    </w:p>
    <w:p w:rsidR="00FC51CA" w:rsidRDefault="00FC51CA" w:rsidP="009A6B2F">
      <w:pPr>
        <w:pStyle w:val="Default"/>
        <w:spacing w:after="89"/>
      </w:pPr>
    </w:p>
    <w:p w:rsidR="00FC51CA" w:rsidRDefault="00FC51CA" w:rsidP="009A6B2F">
      <w:pPr>
        <w:pStyle w:val="Default"/>
        <w:spacing w:after="89"/>
      </w:pPr>
      <w:r w:rsidRPr="00FC51CA">
        <w:rPr>
          <w:rFonts w:ascii="Times-Roman" w:eastAsia="Times New Roman" w:hAnsi="Times-Roman" w:cs="Times-Roman"/>
          <w:b/>
          <w:noProof/>
          <w:color w:val="339966"/>
          <w:lang w:eastAsia="en-GB"/>
        </w:rPr>
        <w:drawing>
          <wp:anchor distT="0" distB="0" distL="114300" distR="114300" simplePos="0" relativeHeight="251661312" behindDoc="0" locked="0" layoutInCell="1" allowOverlap="1" wp14:anchorId="435E38E0" wp14:editId="10B8B847">
            <wp:simplePos x="0" y="0"/>
            <wp:positionH relativeFrom="column">
              <wp:posOffset>1759585</wp:posOffset>
            </wp:positionH>
            <wp:positionV relativeFrom="paragraph">
              <wp:posOffset>35560</wp:posOffset>
            </wp:positionV>
            <wp:extent cx="782955" cy="782955"/>
            <wp:effectExtent l="0" t="0" r="0" b="0"/>
            <wp:wrapSquare wrapText="bothSides"/>
            <wp:docPr id="2"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782955" cy="782955"/>
                    </a:xfrm>
                    <a:prstGeom prst="rect">
                      <a:avLst/>
                    </a:prstGeom>
                    <a:noFill/>
                    <a:ln>
                      <a:noFill/>
                      <a:prstDash/>
                    </a:ln>
                  </pic:spPr>
                </pic:pic>
              </a:graphicData>
            </a:graphic>
          </wp:anchor>
        </w:drawing>
      </w:r>
      <w:r>
        <w:t xml:space="preserve">               </w:t>
      </w:r>
      <w:r w:rsidRPr="00FC51CA">
        <w:rPr>
          <w:rFonts w:ascii="Times-Roman" w:eastAsia="Times New Roman" w:hAnsi="Times-Roman" w:cs="Times-Roman"/>
          <w:b/>
          <w:noProof/>
          <w:lang w:eastAsia="en-GB"/>
        </w:rPr>
        <w:drawing>
          <wp:inline distT="0" distB="0" distL="0" distR="0" wp14:anchorId="4B18D04C" wp14:editId="11FBCE33">
            <wp:extent cx="2554257" cy="600623"/>
            <wp:effectExtent l="0" t="0" r="0" b="8977"/>
            <wp:docPr id="3" name="Picture 38" descr="Telford and Wrekin CCG co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2554257" cy="600623"/>
                    </a:xfrm>
                    <a:prstGeom prst="rect">
                      <a:avLst/>
                    </a:prstGeom>
                    <a:noFill/>
                    <a:ln>
                      <a:noFill/>
                      <a:prstDash/>
                    </a:ln>
                  </pic:spPr>
                </pic:pic>
              </a:graphicData>
            </a:graphic>
          </wp:inline>
        </w:drawing>
      </w:r>
      <w:r w:rsidRPr="00FC51CA">
        <w:rPr>
          <w:rFonts w:eastAsia="Times New Roman"/>
          <w:noProof/>
          <w:lang w:eastAsia="en-GB"/>
        </w:rPr>
        <w:drawing>
          <wp:anchor distT="0" distB="0" distL="114300" distR="114300" simplePos="0" relativeHeight="251659264" behindDoc="0" locked="0" layoutInCell="1" allowOverlap="1" wp14:anchorId="04224529" wp14:editId="31C3E613">
            <wp:simplePos x="0" y="0"/>
            <wp:positionH relativeFrom="column">
              <wp:posOffset>-19685</wp:posOffset>
            </wp:positionH>
            <wp:positionV relativeFrom="paragraph">
              <wp:posOffset>34290</wp:posOffset>
            </wp:positionV>
            <wp:extent cx="1777995" cy="744851"/>
            <wp:effectExtent l="0" t="0" r="0" b="0"/>
            <wp:wrapSquare wrapText="bothSides"/>
            <wp:docPr id="1" name="Picture 44" descr="C:\Users\sslawi\AppData\Local\Microsoft\Windows\Temporary Internet Files\Content.IE5\JYTU11A8\Telford  Wrekin Council logo 09 CYMK.tif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777995" cy="744851"/>
                    </a:xfrm>
                    <a:prstGeom prst="rect">
                      <a:avLst/>
                    </a:prstGeom>
                    <a:noFill/>
                    <a:ln>
                      <a:noFill/>
                      <a:prstDash/>
                    </a:ln>
                  </pic:spPr>
                </pic:pic>
              </a:graphicData>
            </a:graphic>
          </wp:anchor>
        </w:drawing>
      </w:r>
    </w:p>
    <w:p w:rsidR="00FC51CA" w:rsidRDefault="00FC51CA" w:rsidP="009A6B2F">
      <w:pPr>
        <w:pStyle w:val="Default"/>
        <w:spacing w:after="89"/>
      </w:pPr>
    </w:p>
    <w:p w:rsidR="003D0408" w:rsidRDefault="003D0408" w:rsidP="00FC51CA">
      <w:pPr>
        <w:pStyle w:val="Default"/>
        <w:spacing w:after="89"/>
        <w:jc w:val="center"/>
        <w:rPr>
          <w:b/>
          <w:sz w:val="36"/>
          <w:szCs w:val="36"/>
          <w:u w:val="single"/>
        </w:rPr>
      </w:pPr>
    </w:p>
    <w:p w:rsidR="003D0408" w:rsidRDefault="003D0408" w:rsidP="00FC51CA">
      <w:pPr>
        <w:pStyle w:val="Default"/>
        <w:spacing w:after="89"/>
        <w:jc w:val="center"/>
        <w:rPr>
          <w:b/>
          <w:sz w:val="36"/>
          <w:szCs w:val="36"/>
          <w:u w:val="single"/>
        </w:rPr>
      </w:pPr>
    </w:p>
    <w:p w:rsidR="00FC51CA" w:rsidRPr="00DD21B9" w:rsidRDefault="00DD21B9" w:rsidP="00FC51CA">
      <w:pPr>
        <w:pStyle w:val="Default"/>
        <w:spacing w:after="89"/>
        <w:jc w:val="center"/>
        <w:rPr>
          <w:b/>
          <w:sz w:val="36"/>
          <w:szCs w:val="36"/>
          <w:u w:val="single"/>
        </w:rPr>
      </w:pPr>
      <w:r w:rsidRPr="00DD21B9">
        <w:rPr>
          <w:b/>
          <w:sz w:val="36"/>
          <w:szCs w:val="36"/>
          <w:u w:val="single"/>
        </w:rPr>
        <w:t xml:space="preserve">GUIDANCE AROUND COMPLETION OF CHC CHECKLISTS IN LINE WITH NSF 2018 </w:t>
      </w:r>
    </w:p>
    <w:p w:rsidR="00424772" w:rsidRPr="00DD21B9" w:rsidRDefault="00424772" w:rsidP="009A6B2F">
      <w:pPr>
        <w:pStyle w:val="Default"/>
        <w:spacing w:after="89"/>
        <w:rPr>
          <w:b/>
          <w:sz w:val="36"/>
          <w:szCs w:val="36"/>
          <w:u w:val="single"/>
        </w:rPr>
      </w:pPr>
    </w:p>
    <w:p w:rsidR="0013474C" w:rsidRDefault="0013474C" w:rsidP="009A6B2F">
      <w:pPr>
        <w:pStyle w:val="Default"/>
        <w:spacing w:after="89"/>
      </w:pPr>
    </w:p>
    <w:p w:rsidR="009A6B2F" w:rsidRPr="00643232" w:rsidRDefault="007A437F" w:rsidP="009A6B2F">
      <w:pPr>
        <w:pStyle w:val="Default"/>
        <w:spacing w:after="89"/>
        <w:rPr>
          <w:color w:val="auto"/>
        </w:rPr>
      </w:pPr>
      <w:r w:rsidRPr="00643232">
        <w:rPr>
          <w:color w:val="auto"/>
        </w:rPr>
        <w:t xml:space="preserve">The revision of the National Service Framework for CHC has created professional autonomy in relation to screening for NHS Continuing Healthcare, at the right time and location for the individual and when the individual’s ongoing needs are known. </w:t>
      </w:r>
      <w:r w:rsidR="00DD36DB" w:rsidRPr="00643232">
        <w:rPr>
          <w:color w:val="auto"/>
        </w:rPr>
        <w:t xml:space="preserve">This change is intended to encourage screening at the right time and location to reduce unnecessary assessments. </w:t>
      </w:r>
    </w:p>
    <w:p w:rsidR="00AB435A" w:rsidRPr="00643232" w:rsidRDefault="00AB435A" w:rsidP="009A6B2F">
      <w:pPr>
        <w:pStyle w:val="Default"/>
        <w:spacing w:after="89"/>
        <w:rPr>
          <w:color w:val="auto"/>
        </w:rPr>
      </w:pPr>
    </w:p>
    <w:p w:rsidR="009A6B2F" w:rsidRPr="00643232" w:rsidRDefault="00AB435A" w:rsidP="009A6B2F">
      <w:pPr>
        <w:pStyle w:val="Default"/>
        <w:spacing w:after="89"/>
        <w:rPr>
          <w:color w:val="auto"/>
        </w:rPr>
      </w:pPr>
      <w:r w:rsidRPr="00643232">
        <w:rPr>
          <w:b/>
          <w:color w:val="auto"/>
          <w:u w:val="single"/>
        </w:rPr>
        <w:t xml:space="preserve">There will always be a need to complete a Checklist </w:t>
      </w:r>
      <w:r w:rsidR="00FC51CA" w:rsidRPr="00643232">
        <w:rPr>
          <w:b/>
          <w:color w:val="auto"/>
          <w:u w:val="single"/>
        </w:rPr>
        <w:t>when an</w:t>
      </w:r>
      <w:r w:rsidR="009A6B2F" w:rsidRPr="00643232">
        <w:rPr>
          <w:b/>
          <w:color w:val="auto"/>
          <w:u w:val="single"/>
        </w:rPr>
        <w:t xml:space="preserve"> individual requires a long-term residential care placement or has significant support needs </w:t>
      </w:r>
      <w:r w:rsidRPr="00643232">
        <w:rPr>
          <w:b/>
          <w:color w:val="auto"/>
          <w:u w:val="single"/>
        </w:rPr>
        <w:t xml:space="preserve">that include both Social care and Healthcare needs </w:t>
      </w:r>
    </w:p>
    <w:p w:rsidR="00DD36DB" w:rsidRPr="00643232" w:rsidRDefault="00DD36DB" w:rsidP="00DD36DB">
      <w:pPr>
        <w:rPr>
          <w:rFonts w:ascii="Arial" w:hAnsi="Arial" w:cs="Arial"/>
          <w:sz w:val="24"/>
          <w:szCs w:val="24"/>
        </w:rPr>
      </w:pPr>
    </w:p>
    <w:p w:rsidR="00643232" w:rsidRDefault="007A437F" w:rsidP="007A437F">
      <w:pPr>
        <w:pStyle w:val="Default"/>
        <w:spacing w:after="183"/>
        <w:rPr>
          <w:color w:val="auto"/>
        </w:rPr>
      </w:pPr>
      <w:r w:rsidRPr="00643232">
        <w:rPr>
          <w:color w:val="auto"/>
        </w:rPr>
        <w:t xml:space="preserve">There will be many situations where it is not necessary to complete a Checklist. </w:t>
      </w:r>
    </w:p>
    <w:p w:rsidR="007A437F" w:rsidRDefault="007A437F" w:rsidP="007A437F">
      <w:pPr>
        <w:pStyle w:val="Default"/>
        <w:spacing w:after="183"/>
        <w:rPr>
          <w:color w:val="auto"/>
        </w:rPr>
      </w:pPr>
      <w:r w:rsidRPr="00643232">
        <w:rPr>
          <w:color w:val="auto"/>
        </w:rPr>
        <w:t>These</w:t>
      </w:r>
      <w:r w:rsidR="00643232">
        <w:rPr>
          <w:color w:val="auto"/>
        </w:rPr>
        <w:t xml:space="preserve"> can include:</w:t>
      </w:r>
    </w:p>
    <w:p w:rsidR="00DD36DB" w:rsidRPr="00643232" w:rsidRDefault="00DD36DB" w:rsidP="00DD36DB">
      <w:pPr>
        <w:pStyle w:val="Default"/>
        <w:spacing w:after="89"/>
        <w:rPr>
          <w:color w:val="auto"/>
        </w:rPr>
      </w:pPr>
    </w:p>
    <w:p w:rsidR="00DD36DB" w:rsidRPr="00643232" w:rsidRDefault="007A437F" w:rsidP="00643232">
      <w:pPr>
        <w:pStyle w:val="Default"/>
        <w:numPr>
          <w:ilvl w:val="0"/>
          <w:numId w:val="1"/>
        </w:numPr>
        <w:spacing w:after="183"/>
        <w:rPr>
          <w:b/>
          <w:color w:val="auto"/>
        </w:rPr>
      </w:pPr>
      <w:r w:rsidRPr="00643232">
        <w:rPr>
          <w:b/>
          <w:color w:val="auto"/>
        </w:rPr>
        <w:t>It</w:t>
      </w:r>
      <w:r w:rsidR="00DD36DB" w:rsidRPr="00643232">
        <w:rPr>
          <w:b/>
          <w:color w:val="auto"/>
        </w:rPr>
        <w:t xml:space="preserve"> is clear to practitioners</w:t>
      </w:r>
      <w:r w:rsidRPr="00643232">
        <w:rPr>
          <w:b/>
          <w:color w:val="auto"/>
        </w:rPr>
        <w:t xml:space="preserve"> that </w:t>
      </w:r>
      <w:r w:rsidR="009A6B2F" w:rsidRPr="00643232">
        <w:rPr>
          <w:b/>
          <w:color w:val="auto"/>
        </w:rPr>
        <w:t xml:space="preserve">the care package is for social needs only and does not provide care for healthcare needs. </w:t>
      </w:r>
      <w:r w:rsidR="00DD36DB" w:rsidRPr="00643232">
        <w:rPr>
          <w:b/>
          <w:color w:val="auto"/>
        </w:rPr>
        <w:t xml:space="preserve"> </w:t>
      </w:r>
    </w:p>
    <w:p w:rsidR="00B46DDF" w:rsidRPr="00DD21B9" w:rsidRDefault="00643232" w:rsidP="00643232">
      <w:pPr>
        <w:pStyle w:val="Default"/>
        <w:spacing w:after="183"/>
        <w:jc w:val="center"/>
        <w:rPr>
          <w:i/>
          <w:color w:val="FFC000"/>
        </w:rPr>
      </w:pPr>
      <w:r w:rsidRPr="00DD21B9">
        <w:rPr>
          <w:i/>
          <w:color w:val="FFC000"/>
        </w:rPr>
        <w:t>E</w:t>
      </w:r>
      <w:r w:rsidR="00B46DDF" w:rsidRPr="00DD21B9">
        <w:rPr>
          <w:i/>
          <w:color w:val="FFC000"/>
        </w:rPr>
        <w:t xml:space="preserve">xamples? </w:t>
      </w:r>
      <w:r w:rsidR="00AB435A" w:rsidRPr="00DD21B9">
        <w:rPr>
          <w:i/>
          <w:color w:val="FFC000"/>
        </w:rPr>
        <w:t>Where a patient has some healthcare needs that are being met by commissioned NHS services such as District Nurses, CPN’s or Dietician.</w:t>
      </w:r>
    </w:p>
    <w:p w:rsidR="00AB435A" w:rsidRPr="00643232" w:rsidRDefault="00AB435A" w:rsidP="007A437F">
      <w:pPr>
        <w:pStyle w:val="Default"/>
        <w:spacing w:after="183"/>
        <w:rPr>
          <w:i/>
          <w:color w:val="auto"/>
        </w:rPr>
      </w:pPr>
    </w:p>
    <w:p w:rsidR="00DD21B9" w:rsidRDefault="007A437F" w:rsidP="00DD21B9">
      <w:pPr>
        <w:pStyle w:val="Default"/>
        <w:numPr>
          <w:ilvl w:val="0"/>
          <w:numId w:val="1"/>
        </w:numPr>
        <w:spacing w:after="183"/>
        <w:rPr>
          <w:color w:val="auto"/>
        </w:rPr>
      </w:pPr>
      <w:r w:rsidRPr="00643232">
        <w:rPr>
          <w:b/>
          <w:color w:val="auto"/>
        </w:rPr>
        <w:t>The individual has short-term health care needs or is recovering from a temporary condition and has not yet reached their optimum potential</w:t>
      </w:r>
      <w:r w:rsidRPr="00643232">
        <w:rPr>
          <w:color w:val="auto"/>
        </w:rPr>
        <w:t xml:space="preserve"> </w:t>
      </w:r>
    </w:p>
    <w:p w:rsidR="00DD21B9" w:rsidRPr="00643232" w:rsidRDefault="00DD21B9" w:rsidP="00DD21B9">
      <w:pPr>
        <w:pStyle w:val="Default"/>
        <w:numPr>
          <w:ilvl w:val="0"/>
          <w:numId w:val="1"/>
        </w:numPr>
        <w:spacing w:after="183"/>
        <w:rPr>
          <w:color w:val="auto"/>
        </w:rPr>
      </w:pPr>
      <w:r w:rsidRPr="00DD21B9">
        <w:rPr>
          <w:i/>
          <w:color w:val="auto"/>
          <w:sz w:val="32"/>
          <w:szCs w:val="32"/>
          <w:u w:val="single"/>
        </w:rPr>
        <w:t>and or</w:t>
      </w:r>
      <w:r>
        <w:rPr>
          <w:color w:val="auto"/>
        </w:rPr>
        <w:t xml:space="preserve"> </w:t>
      </w:r>
    </w:p>
    <w:p w:rsidR="00DD36DB" w:rsidRPr="00DD21B9" w:rsidRDefault="00DD21B9" w:rsidP="00DD21B9">
      <w:pPr>
        <w:pStyle w:val="Default"/>
        <w:numPr>
          <w:ilvl w:val="0"/>
          <w:numId w:val="1"/>
        </w:numPr>
        <w:spacing w:after="183"/>
        <w:rPr>
          <w:b/>
          <w:color w:val="auto"/>
        </w:rPr>
      </w:pPr>
      <w:r>
        <w:rPr>
          <w:b/>
          <w:color w:val="auto"/>
        </w:rPr>
        <w:t>The individual is in an acute hospital setting</w:t>
      </w:r>
      <w:r w:rsidRPr="00643232">
        <w:rPr>
          <w:b/>
          <w:color w:val="auto"/>
        </w:rPr>
        <w:t xml:space="preserve"> or has recently left hospital. </w:t>
      </w:r>
      <w:r w:rsidRPr="00DD21B9">
        <w:rPr>
          <w:b/>
          <w:color w:val="auto"/>
        </w:rPr>
        <w:t xml:space="preserve">BCF funding normally applies and CHC cannot be applied for until </w:t>
      </w:r>
      <w:r>
        <w:rPr>
          <w:b/>
          <w:color w:val="auto"/>
        </w:rPr>
        <w:t>this funding has ceased.</w:t>
      </w:r>
    </w:p>
    <w:p w:rsidR="00AB435A" w:rsidRPr="00DD21B9" w:rsidRDefault="007A437F" w:rsidP="00643232">
      <w:pPr>
        <w:pStyle w:val="Default"/>
        <w:spacing w:after="183"/>
        <w:jc w:val="center"/>
        <w:rPr>
          <w:i/>
          <w:color w:val="FFC000"/>
        </w:rPr>
      </w:pPr>
      <w:r w:rsidRPr="00DD21B9">
        <w:rPr>
          <w:i/>
          <w:color w:val="FFC000"/>
        </w:rPr>
        <w:t>if there is doubt between practitioners about the short-term nature of the needs it may be nec</w:t>
      </w:r>
      <w:r w:rsidR="00DD21B9" w:rsidRPr="00DD21B9">
        <w:rPr>
          <w:i/>
          <w:color w:val="FFC000"/>
        </w:rPr>
        <w:t>essary to complete a Checklist</w:t>
      </w:r>
    </w:p>
    <w:p w:rsidR="007A437F" w:rsidRPr="00643232" w:rsidRDefault="007A437F" w:rsidP="00643232">
      <w:pPr>
        <w:pStyle w:val="Default"/>
        <w:numPr>
          <w:ilvl w:val="0"/>
          <w:numId w:val="2"/>
        </w:numPr>
        <w:spacing w:after="183"/>
        <w:rPr>
          <w:b/>
          <w:color w:val="auto"/>
        </w:rPr>
      </w:pPr>
      <w:r w:rsidRPr="00643232">
        <w:rPr>
          <w:b/>
          <w:color w:val="auto"/>
        </w:rPr>
        <w:t xml:space="preserve">It has been agreed by the CCG that the individual should be referred directly for full assessment of eligibility for NHS Continuing Healthcare. </w:t>
      </w:r>
    </w:p>
    <w:p w:rsidR="00AB435A" w:rsidRPr="00643232" w:rsidRDefault="00AB435A" w:rsidP="00643232">
      <w:pPr>
        <w:pStyle w:val="Default"/>
        <w:spacing w:after="183"/>
        <w:ind w:left="360"/>
        <w:rPr>
          <w:b/>
          <w:color w:val="auto"/>
        </w:rPr>
      </w:pPr>
    </w:p>
    <w:p w:rsidR="007A437F" w:rsidRPr="00643232" w:rsidRDefault="007A437F" w:rsidP="00643232">
      <w:pPr>
        <w:pStyle w:val="Default"/>
        <w:numPr>
          <w:ilvl w:val="0"/>
          <w:numId w:val="2"/>
        </w:numPr>
        <w:spacing w:after="183"/>
        <w:rPr>
          <w:b/>
          <w:color w:val="auto"/>
        </w:rPr>
      </w:pPr>
      <w:r w:rsidRPr="00643232">
        <w:rPr>
          <w:b/>
          <w:color w:val="auto"/>
        </w:rPr>
        <w:t xml:space="preserve">The individual has a rapidly deteriorating condition and may be entering a terminal phase – in these situations the Fast Track Pathway Tool should be used instead of the Checklist. </w:t>
      </w:r>
    </w:p>
    <w:p w:rsidR="00FC51CA" w:rsidRPr="00643232" w:rsidRDefault="00FC51CA" w:rsidP="00DD21B9">
      <w:pPr>
        <w:pStyle w:val="Default"/>
        <w:spacing w:after="183"/>
        <w:ind w:left="720"/>
        <w:rPr>
          <w:b/>
          <w:color w:val="auto"/>
        </w:rPr>
      </w:pPr>
    </w:p>
    <w:p w:rsidR="00424772" w:rsidRPr="00DD21B9" w:rsidRDefault="007A437F" w:rsidP="00DD21B9">
      <w:pPr>
        <w:pStyle w:val="Default"/>
        <w:numPr>
          <w:ilvl w:val="0"/>
          <w:numId w:val="2"/>
        </w:numPr>
        <w:rPr>
          <w:b/>
          <w:color w:val="auto"/>
        </w:rPr>
      </w:pPr>
      <w:r w:rsidRPr="00DD21B9">
        <w:rPr>
          <w:b/>
          <w:color w:val="auto"/>
        </w:rPr>
        <w:t xml:space="preserve">An individual is receiving services under Section 117 of the Mental Health Act that are meeting all of their assessed </w:t>
      </w:r>
      <w:r w:rsidR="00F75454" w:rsidRPr="00DD21B9">
        <w:rPr>
          <w:b/>
          <w:color w:val="auto"/>
        </w:rPr>
        <w:t xml:space="preserve">mental health </w:t>
      </w:r>
      <w:r w:rsidRPr="00DD21B9">
        <w:rPr>
          <w:b/>
          <w:color w:val="auto"/>
        </w:rPr>
        <w:t xml:space="preserve">needs. </w:t>
      </w:r>
      <w:r w:rsidR="00FC51CA" w:rsidRPr="00DD21B9">
        <w:rPr>
          <w:b/>
          <w:color w:val="auto"/>
        </w:rPr>
        <w:t xml:space="preserve"> </w:t>
      </w:r>
    </w:p>
    <w:p w:rsidR="00424772" w:rsidRPr="00DD21B9" w:rsidRDefault="00424772" w:rsidP="007A437F">
      <w:pPr>
        <w:pStyle w:val="Default"/>
        <w:rPr>
          <w:b/>
          <w:color w:val="FFC000"/>
          <w:u w:val="single"/>
        </w:rPr>
      </w:pPr>
    </w:p>
    <w:p w:rsidR="007A437F" w:rsidRPr="00DD21B9" w:rsidRDefault="00FC51CA" w:rsidP="00DD21B9">
      <w:pPr>
        <w:pStyle w:val="Default"/>
        <w:jc w:val="center"/>
        <w:rPr>
          <w:b/>
          <w:color w:val="FFC000"/>
          <w:u w:val="single"/>
        </w:rPr>
      </w:pPr>
      <w:r w:rsidRPr="00DD21B9">
        <w:rPr>
          <w:color w:val="FFC000"/>
        </w:rPr>
        <w:t>However if a person has healthcare needs that are not for mental health issues then please submit a Checklist.</w:t>
      </w:r>
    </w:p>
    <w:p w:rsidR="007A437F" w:rsidRPr="00DD21B9" w:rsidRDefault="007A437F" w:rsidP="00DD21B9">
      <w:pPr>
        <w:pStyle w:val="Default"/>
        <w:rPr>
          <w:color w:val="auto"/>
        </w:rPr>
      </w:pPr>
    </w:p>
    <w:p w:rsidR="00424772" w:rsidRPr="00DD21B9" w:rsidRDefault="007A437F" w:rsidP="00DD21B9">
      <w:pPr>
        <w:pStyle w:val="Default"/>
        <w:numPr>
          <w:ilvl w:val="0"/>
          <w:numId w:val="3"/>
        </w:numPr>
        <w:rPr>
          <w:b/>
          <w:color w:val="auto"/>
        </w:rPr>
      </w:pPr>
      <w:r w:rsidRPr="00DD21B9">
        <w:rPr>
          <w:b/>
          <w:color w:val="auto"/>
        </w:rPr>
        <w:t xml:space="preserve">It has previously been decided that the individual is not eligible for NHS Continuing Healthcare and it is clear that there has been no change in needs. </w:t>
      </w:r>
    </w:p>
    <w:p w:rsidR="00424772" w:rsidRPr="00643232" w:rsidRDefault="00424772" w:rsidP="007A437F">
      <w:pPr>
        <w:pStyle w:val="Default"/>
        <w:rPr>
          <w:color w:val="auto"/>
        </w:rPr>
      </w:pPr>
    </w:p>
    <w:p w:rsidR="00DD21B9" w:rsidRDefault="00DD21B9" w:rsidP="00DD21B9">
      <w:pPr>
        <w:pStyle w:val="Default"/>
        <w:rPr>
          <w:color w:val="auto"/>
        </w:rPr>
      </w:pPr>
    </w:p>
    <w:p w:rsidR="007A437F" w:rsidRPr="00643232" w:rsidRDefault="00DD21B9" w:rsidP="00DD21B9">
      <w:pPr>
        <w:pStyle w:val="Default"/>
        <w:rPr>
          <w:b/>
          <w:color w:val="auto"/>
          <w:u w:val="single"/>
        </w:rPr>
      </w:pPr>
      <w:r>
        <w:rPr>
          <w:color w:val="auto"/>
        </w:rPr>
        <w:t xml:space="preserve"> I</w:t>
      </w:r>
      <w:r w:rsidR="00FC51CA" w:rsidRPr="00643232">
        <w:rPr>
          <w:color w:val="auto"/>
        </w:rPr>
        <w:t xml:space="preserve">f you are in doubt please call 01952 349580 (complex care team) and have a conversation </w:t>
      </w:r>
      <w:r>
        <w:rPr>
          <w:color w:val="auto"/>
        </w:rPr>
        <w:t xml:space="preserve">          </w:t>
      </w:r>
      <w:r w:rsidR="00FC51CA" w:rsidRPr="00643232">
        <w:rPr>
          <w:color w:val="auto"/>
        </w:rPr>
        <w:t xml:space="preserve">about when was the last checklist/DST and what were the service user needs in order to see if </w:t>
      </w:r>
      <w:r>
        <w:rPr>
          <w:color w:val="auto"/>
        </w:rPr>
        <w:t xml:space="preserve">   </w:t>
      </w:r>
      <w:r w:rsidR="00FC51CA" w:rsidRPr="00643232">
        <w:rPr>
          <w:color w:val="auto"/>
        </w:rPr>
        <w:t>there has been a significant change.</w:t>
      </w:r>
    </w:p>
    <w:p w:rsidR="007A437F" w:rsidRPr="00643232" w:rsidRDefault="007A437F" w:rsidP="00DD21B9">
      <w:pPr>
        <w:pStyle w:val="Default"/>
        <w:rPr>
          <w:color w:val="auto"/>
        </w:rPr>
      </w:pPr>
    </w:p>
    <w:p w:rsidR="00DD36DB" w:rsidRPr="00643232" w:rsidRDefault="00DD36DB" w:rsidP="00DD21B9">
      <w:pPr>
        <w:pStyle w:val="Default"/>
        <w:rPr>
          <w:color w:val="auto"/>
        </w:rPr>
      </w:pPr>
    </w:p>
    <w:p w:rsidR="00424772" w:rsidRPr="00643232" w:rsidRDefault="00DD21B9" w:rsidP="00DD21B9">
      <w:pPr>
        <w:pStyle w:val="Default"/>
        <w:spacing w:after="183"/>
        <w:rPr>
          <w:color w:val="auto"/>
        </w:rPr>
      </w:pPr>
      <w:r>
        <w:rPr>
          <w:color w:val="auto"/>
        </w:rPr>
        <w:lastRenderedPageBreak/>
        <w:t xml:space="preserve"> </w:t>
      </w:r>
      <w:r w:rsidR="00DD36DB" w:rsidRPr="00643232">
        <w:rPr>
          <w:color w:val="auto"/>
        </w:rPr>
        <w:t>Where appropriate/relevant this decision and</w:t>
      </w:r>
      <w:r>
        <w:rPr>
          <w:color w:val="auto"/>
        </w:rPr>
        <w:t xml:space="preserve"> its reasons should be recorded on LAS</w:t>
      </w:r>
    </w:p>
    <w:p w:rsidR="00DD36DB" w:rsidRPr="00643232" w:rsidRDefault="00DD21B9" w:rsidP="00DD21B9">
      <w:pPr>
        <w:pStyle w:val="Default"/>
        <w:spacing w:after="183"/>
        <w:rPr>
          <w:color w:val="auto"/>
        </w:rPr>
      </w:pPr>
      <w:r>
        <w:rPr>
          <w:color w:val="auto"/>
        </w:rPr>
        <w:t xml:space="preserve"> </w:t>
      </w:r>
      <w:r w:rsidR="00DD36DB" w:rsidRPr="00643232">
        <w:rPr>
          <w:color w:val="auto"/>
        </w:rPr>
        <w:t>If there is doubt between practitioners a Checklist should be undertaken.</w:t>
      </w:r>
    </w:p>
    <w:p w:rsidR="00DD36DB" w:rsidRPr="00643232" w:rsidRDefault="00DD21B9" w:rsidP="00DD21B9">
      <w:pPr>
        <w:pStyle w:val="Default"/>
        <w:spacing w:after="183"/>
        <w:rPr>
          <w:color w:val="auto"/>
        </w:rPr>
      </w:pPr>
      <w:r>
        <w:rPr>
          <w:color w:val="auto"/>
        </w:rPr>
        <w:t xml:space="preserve"> </w:t>
      </w:r>
      <w:r w:rsidR="00DD36DB" w:rsidRPr="00643232">
        <w:rPr>
          <w:color w:val="auto"/>
        </w:rPr>
        <w:t>A negative checklist should always be sent to the CCG and be</w:t>
      </w:r>
      <w:r>
        <w:rPr>
          <w:color w:val="auto"/>
        </w:rPr>
        <w:t xml:space="preserve"> uploaded to the clients social care file. </w:t>
      </w:r>
    </w:p>
    <w:p w:rsidR="00DD36DB" w:rsidRPr="00643232" w:rsidRDefault="00DD36DB" w:rsidP="00DD21B9">
      <w:pPr>
        <w:pStyle w:val="Default"/>
        <w:rPr>
          <w:color w:val="auto"/>
        </w:rPr>
      </w:pPr>
    </w:p>
    <w:p w:rsidR="00DD36DB" w:rsidRPr="00643232" w:rsidRDefault="00DD36DB" w:rsidP="00DD21B9">
      <w:pPr>
        <w:rPr>
          <w:sz w:val="24"/>
          <w:szCs w:val="24"/>
        </w:rPr>
      </w:pPr>
    </w:p>
    <w:p w:rsidR="00643232" w:rsidRPr="00643232" w:rsidRDefault="00643232">
      <w:pPr>
        <w:rPr>
          <w:sz w:val="24"/>
          <w:szCs w:val="24"/>
        </w:rPr>
      </w:pPr>
    </w:p>
    <w:sectPr w:rsidR="00643232" w:rsidRPr="00643232" w:rsidSect="0055698C">
      <w:pgSz w:w="11906" w:h="17338"/>
      <w:pgMar w:top="901" w:right="883" w:bottom="683" w:left="70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F85FCF"/>
    <w:multiLevelType w:val="hybridMultilevel"/>
    <w:tmpl w:val="B6D83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0F7AC6"/>
    <w:multiLevelType w:val="hybridMultilevel"/>
    <w:tmpl w:val="AE568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280C40"/>
    <w:multiLevelType w:val="hybridMultilevel"/>
    <w:tmpl w:val="B2D29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7F"/>
    <w:rsid w:val="0013474C"/>
    <w:rsid w:val="003D0408"/>
    <w:rsid w:val="003E5955"/>
    <w:rsid w:val="00424772"/>
    <w:rsid w:val="00643232"/>
    <w:rsid w:val="006D3834"/>
    <w:rsid w:val="007A437F"/>
    <w:rsid w:val="00894201"/>
    <w:rsid w:val="009A6B2F"/>
    <w:rsid w:val="00A909BD"/>
    <w:rsid w:val="00AB435A"/>
    <w:rsid w:val="00B46DDF"/>
    <w:rsid w:val="00B8799B"/>
    <w:rsid w:val="00DD21B9"/>
    <w:rsid w:val="00DD36DB"/>
    <w:rsid w:val="00F10DB0"/>
    <w:rsid w:val="00F75454"/>
    <w:rsid w:val="00FC5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FD28D8-06BC-4F26-B65C-DB16821FD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437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C5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1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90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E68AA89F</Template>
  <TotalTime>0</TotalTime>
  <Pages>2</Pages>
  <Words>405</Words>
  <Characters>2313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Gibbons, Sarah</dc:creator>
  <cp:lastModifiedBy>Managh, Fiona</cp:lastModifiedBy>
  <cp:revision>2</cp:revision>
  <dcterms:created xsi:type="dcterms:W3CDTF">2019-01-03T11:24:00Z</dcterms:created>
  <dcterms:modified xsi:type="dcterms:W3CDTF">2019-01-03T11:24:00Z</dcterms:modified>
</cp:coreProperties>
</file>