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2C0C" wp14:editId="1476C199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Default="00BC36C7" w:rsidP="00BC36C7">
      <w:pPr>
        <w:rPr>
          <w:rFonts w:ascii="Verdana" w:hAnsi="Verdana"/>
        </w:rPr>
      </w:pPr>
    </w:p>
    <w:p w:rsidR="00114BB2" w:rsidRPr="00114BB2" w:rsidRDefault="00CE2C5B" w:rsidP="00BC36C7">
      <w:pPr>
        <w:rPr>
          <w:rFonts w:ascii="Verdana" w:hAnsi="Verdana"/>
          <w:b/>
        </w:rPr>
      </w:pPr>
      <w:r>
        <w:rPr>
          <w:rFonts w:ascii="Verdana" w:hAnsi="Verdana"/>
          <w:b/>
        </w:rPr>
        <w:t>Ofsted Notifications</w:t>
      </w:r>
    </w:p>
    <w:p w:rsidR="00BC36C7" w:rsidRDefault="00BC36C7" w:rsidP="00BC36C7">
      <w:pPr>
        <w:rPr>
          <w:rFonts w:ascii="Verdana" w:hAnsi="Verdana"/>
        </w:rPr>
      </w:pPr>
    </w:p>
    <w:p w:rsidR="00114BB2" w:rsidRPr="00114BB2" w:rsidRDefault="00114BB2" w:rsidP="00114BB2">
      <w:pPr>
        <w:jc w:val="both"/>
        <w:rPr>
          <w:rFonts w:ascii="Verdana" w:hAnsi="Verdana"/>
          <w:b/>
        </w:rPr>
      </w:pPr>
      <w:r w:rsidRPr="00114BB2">
        <w:rPr>
          <w:rFonts w:ascii="Verdana" w:hAnsi="Verdana"/>
          <w:b/>
        </w:rPr>
        <w:t xml:space="preserve">Purpose </w:t>
      </w:r>
    </w:p>
    <w:p w:rsidR="00CE2C5B" w:rsidRPr="00CE2C5B" w:rsidRDefault="00CE2C5B" w:rsidP="00CE2C5B">
      <w:pPr>
        <w:jc w:val="both"/>
        <w:rPr>
          <w:rFonts w:ascii="Verdana" w:hAnsi="Verdana"/>
        </w:rPr>
      </w:pPr>
      <w:r w:rsidRPr="00CE2C5B">
        <w:rPr>
          <w:rFonts w:ascii="Verdana" w:hAnsi="Verdana"/>
        </w:rPr>
        <w:t xml:space="preserve">This document sets out the guidance and responsibilities for the notification of serious incidents and child deaths.  It should </w:t>
      </w:r>
      <w:r w:rsidR="00731513">
        <w:rPr>
          <w:rFonts w:ascii="Verdana" w:hAnsi="Verdana"/>
        </w:rPr>
        <w:t xml:space="preserve">be </w:t>
      </w:r>
      <w:r w:rsidRPr="00CE2C5B">
        <w:rPr>
          <w:rFonts w:ascii="Verdana" w:hAnsi="Verdana"/>
        </w:rPr>
        <w:t xml:space="preserve">read alongside: </w:t>
      </w:r>
    </w:p>
    <w:p w:rsidR="00F831E9" w:rsidRDefault="00F831E9" w:rsidP="00CE2C5B">
      <w:pPr>
        <w:jc w:val="both"/>
        <w:rPr>
          <w:rFonts w:ascii="Verdana" w:hAnsi="Verdana"/>
        </w:rPr>
      </w:pPr>
    </w:p>
    <w:p w:rsidR="00F831E9" w:rsidRDefault="00CE2C5B" w:rsidP="00CE2C5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Working Together (2018) </w:t>
      </w:r>
      <w:hyperlink r:id="rId9" w:history="1">
        <w:r w:rsidR="00F831E9" w:rsidRPr="00F831E9">
          <w:rPr>
            <w:rStyle w:val="Hyperlink"/>
            <w:rFonts w:ascii="Verdana" w:hAnsi="Verdana"/>
          </w:rPr>
          <w:t>working together 2018 - Google Search</w:t>
        </w:r>
      </w:hyperlink>
      <w:r w:rsidR="00F831E9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="00F831E9">
        <w:rPr>
          <w:rFonts w:ascii="Verdana" w:hAnsi="Verdana"/>
        </w:rPr>
        <w:t>;</w:t>
      </w:r>
    </w:p>
    <w:p w:rsidR="00F831E9" w:rsidRDefault="00CE2C5B" w:rsidP="00CE2C5B">
      <w:pPr>
        <w:jc w:val="both"/>
        <w:rPr>
          <w:rFonts w:ascii="Verdana" w:hAnsi="Verdana"/>
        </w:rPr>
      </w:pPr>
      <w:r>
        <w:rPr>
          <w:rFonts w:ascii="Verdana" w:hAnsi="Verdana"/>
        </w:rPr>
        <w:t>Pan Sussex Safeguarding Procedures</w:t>
      </w:r>
      <w:r w:rsidR="00F831E9">
        <w:rPr>
          <w:rFonts w:ascii="Verdana" w:hAnsi="Verdana"/>
        </w:rPr>
        <w:t xml:space="preserve">; </w:t>
      </w:r>
    </w:p>
    <w:p w:rsidR="00F831E9" w:rsidRDefault="00F50BD5" w:rsidP="00CE2C5B">
      <w:pPr>
        <w:jc w:val="both"/>
        <w:rPr>
          <w:rFonts w:ascii="Verdana" w:hAnsi="Verdana"/>
        </w:rPr>
      </w:pPr>
      <w:hyperlink r:id="rId10" w:history="1">
        <w:r w:rsidR="00F831E9" w:rsidRPr="00756339">
          <w:rPr>
            <w:rStyle w:val="Hyperlink"/>
            <w:rFonts w:ascii="Verdana" w:hAnsi="Verdana"/>
          </w:rPr>
          <w:t>https://sussexchildprotection.procedures.org.uk/</w:t>
        </w:r>
      </w:hyperlink>
    </w:p>
    <w:p w:rsidR="00F831E9" w:rsidRDefault="00F831E9" w:rsidP="00CE2C5B">
      <w:pPr>
        <w:jc w:val="both"/>
        <w:rPr>
          <w:rFonts w:ascii="Verdana" w:hAnsi="Verdana"/>
        </w:rPr>
      </w:pPr>
    </w:p>
    <w:p w:rsidR="00F831E9" w:rsidRDefault="00F831E9" w:rsidP="00CE2C5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Reporting Safeguarding Incidents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 xml:space="preserve">From 29 June 2018 local authorities in England must notify the national Child Safeguarding Practice Review Panel </w:t>
      </w:r>
      <w:r w:rsidRPr="00CE2C5B">
        <w:rPr>
          <w:rFonts w:ascii="Verdana" w:eastAsia="Times New Roman" w:hAnsi="Verdana"/>
          <w:b/>
          <w:lang w:val="en"/>
        </w:rPr>
        <w:t>within 5 working</w:t>
      </w:r>
      <w:r w:rsidRPr="00CE2C5B">
        <w:rPr>
          <w:rFonts w:ascii="Verdana" w:eastAsia="Times New Roman" w:hAnsi="Verdana"/>
          <w:lang w:val="en"/>
        </w:rPr>
        <w:t xml:space="preserve"> days of becoming aware of a serious incident.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You should report incidents where the local authority knows or suspects that a child has been abused or neglected and:</w:t>
      </w:r>
    </w:p>
    <w:p w:rsidR="00CE2C5B" w:rsidRPr="00CE2C5B" w:rsidRDefault="00CE2C5B" w:rsidP="00CE2C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the child dies (including suspected suicide) or is seriously harmed in the local authority’s area</w:t>
      </w:r>
    </w:p>
    <w:p w:rsidR="00CE2C5B" w:rsidRDefault="00CE2C5B" w:rsidP="00CE2C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while normally resident in the local authority’s area, the child dies or is seriously harmed</w:t>
      </w:r>
      <w:r w:rsidR="004348D6">
        <w:rPr>
          <w:rFonts w:ascii="Verdana" w:eastAsia="Times New Roman" w:hAnsi="Verdana"/>
          <w:lang w:val="en"/>
        </w:rPr>
        <w:t xml:space="preserve"> –</w:t>
      </w:r>
      <w:r w:rsidR="00430A30">
        <w:rPr>
          <w:rFonts w:ascii="Verdana" w:eastAsia="Times New Roman" w:hAnsi="Verdana"/>
          <w:lang w:val="en"/>
        </w:rPr>
        <w:t xml:space="preserve"> </w:t>
      </w:r>
      <w:r w:rsidRPr="00CE2C5B">
        <w:rPr>
          <w:rFonts w:ascii="Verdana" w:eastAsia="Times New Roman" w:hAnsi="Verdana"/>
          <w:lang w:val="en"/>
        </w:rPr>
        <w:t>outside England</w:t>
      </w:r>
    </w:p>
    <w:p w:rsidR="00430A30" w:rsidRPr="00CE2C5B" w:rsidRDefault="00430A30" w:rsidP="00731513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>
        <w:rPr>
          <w:rFonts w:ascii="Verdana" w:eastAsia="Times New Roman" w:hAnsi="Verdana"/>
          <w:lang w:val="en"/>
        </w:rPr>
        <w:t>(see document below for definition of ‘Seriously Harmed’)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You should also report the incident to the relevant local safeguarding children board (LSCB) at the same time as notifying the panel.</w:t>
      </w:r>
    </w:p>
    <w:p w:rsidR="00CE2C5B" w:rsidRPr="00CE2C5B" w:rsidRDefault="00CE2C5B" w:rsidP="00CE2C5B">
      <w:pPr>
        <w:spacing w:before="100" w:beforeAutospacing="1" w:after="100" w:afterAutospacing="1"/>
        <w:outlineLvl w:val="1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t>Online notification form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 xml:space="preserve">Use the </w:t>
      </w:r>
      <w:hyperlink r:id="rId11" w:history="1">
        <w:r w:rsidRPr="00CE2C5B">
          <w:rPr>
            <w:rFonts w:ascii="Verdana" w:eastAsia="Times New Roman" w:hAnsi="Verdana"/>
            <w:color w:val="0000FF"/>
            <w:u w:val="single"/>
            <w:lang w:val="en"/>
          </w:rPr>
          <w:t>online form</w:t>
        </w:r>
      </w:hyperlink>
      <w:r w:rsidRPr="00CE2C5B">
        <w:rPr>
          <w:rFonts w:ascii="Verdana" w:eastAsia="Times New Roman" w:hAnsi="Verdana"/>
          <w:lang w:val="en"/>
        </w:rPr>
        <w:t xml:space="preserve"> </w:t>
      </w:r>
      <w:r w:rsidR="004348D6">
        <w:rPr>
          <w:rFonts w:ascii="Verdana" w:eastAsia="Times New Roman" w:hAnsi="Verdana"/>
          <w:lang w:val="en"/>
        </w:rPr>
        <w:t xml:space="preserve">see below </w:t>
      </w:r>
      <w:r w:rsidRPr="00CE2C5B">
        <w:rPr>
          <w:rFonts w:ascii="Verdana" w:eastAsia="Times New Roman" w:hAnsi="Verdana"/>
          <w:lang w:val="en"/>
        </w:rPr>
        <w:t>to notify the Child Safeguarding Practice Review Panel.</w:t>
      </w:r>
    </w:p>
    <w:p w:rsidR="00CE2C5B" w:rsidRPr="00CE2C5B" w:rsidRDefault="00CE2C5B" w:rsidP="00F50BD5">
      <w:pPr>
        <w:tabs>
          <w:tab w:val="right" w:pos="9026"/>
        </w:tabs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t>For cases of child death, you should:</w:t>
      </w:r>
      <w:r w:rsidR="00F50BD5">
        <w:rPr>
          <w:rFonts w:ascii="Verdana" w:eastAsia="Times New Roman" w:hAnsi="Verdana"/>
          <w:b/>
          <w:bCs/>
          <w:lang w:val="en"/>
        </w:rPr>
        <w:tab/>
      </w:r>
    </w:p>
    <w:p w:rsidR="00CE2C5B" w:rsidRPr="00CE2C5B" w:rsidRDefault="00CE2C5B" w:rsidP="00CE2C5B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submit a separate notification form for each child that died</w:t>
      </w:r>
    </w:p>
    <w:p w:rsidR="00CE2C5B" w:rsidRPr="00CE2C5B" w:rsidRDefault="00CE2C5B" w:rsidP="00CE2C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t>For cases of serious harm to siblings, you should:</w:t>
      </w:r>
    </w:p>
    <w:p w:rsidR="00CE2C5B" w:rsidRPr="00CE2C5B" w:rsidRDefault="00CE2C5B" w:rsidP="00CE2C5B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only submit a single notification form providing details of the harm suffered by all the children in the family</w:t>
      </w:r>
    </w:p>
    <w:p w:rsidR="00CE2C5B" w:rsidRPr="00CE2C5B" w:rsidRDefault="00CE2C5B" w:rsidP="00CE2C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t>For cases of serious harm to more than one child, where the children are not siblings, you should:</w:t>
      </w:r>
    </w:p>
    <w:p w:rsidR="00CE2C5B" w:rsidRPr="00CE2C5B" w:rsidRDefault="00CE2C5B" w:rsidP="00CE2C5B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submit a separate notification form for each child</w:t>
      </w:r>
    </w:p>
    <w:p w:rsidR="00430A30" w:rsidRDefault="00430A30" w:rsidP="00CE2C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lang w:val="en"/>
        </w:rPr>
      </w:pPr>
    </w:p>
    <w:p w:rsidR="00CE2C5B" w:rsidRPr="00CE2C5B" w:rsidRDefault="00CE2C5B" w:rsidP="00CE2C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lastRenderedPageBreak/>
        <w:t>For Child Sexual Exploitation (CSE) cases where there is a large-scale police operation in progress, where there can be large numbers of children who are either witnesses or victims, you should:</w:t>
      </w:r>
    </w:p>
    <w:p w:rsidR="00CE2C5B" w:rsidRPr="00CE2C5B" w:rsidRDefault="00CE2C5B" w:rsidP="00CE2C5B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submit a single notification form for the main child who is believed to be a victim of abuse and add brief identifying details of the other children understood to be victims in the case outline free text box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All notifications will be shared with Ofsted and the Department for Education (DfE).</w:t>
      </w:r>
    </w:p>
    <w:p w:rsidR="00CE2C5B" w:rsidRPr="00731513" w:rsidRDefault="00CE2C5B" w:rsidP="00CE2C5B">
      <w:pPr>
        <w:spacing w:before="100" w:beforeAutospacing="1" w:after="100" w:afterAutospacing="1"/>
        <w:rPr>
          <w:rFonts w:ascii="Verdana" w:eastAsia="Times New Roman" w:hAnsi="Verdana"/>
          <w:b/>
          <w:u w:val="single"/>
          <w:lang w:val="en"/>
        </w:rPr>
      </w:pPr>
      <w:r w:rsidRPr="00731513">
        <w:rPr>
          <w:rFonts w:ascii="Verdana" w:eastAsia="Times New Roman" w:hAnsi="Verdana"/>
          <w:b/>
          <w:u w:val="single"/>
          <w:lang w:val="en"/>
        </w:rPr>
        <w:t>Local authorities can also use this form to notify Ofsted and the Secretary of State for Education of the death of a child who is looked after, where abuse or neglect is not known or suspected, as required by paragraph 20, Schedule 2 of the Children Act 1989.</w:t>
      </w:r>
    </w:p>
    <w:p w:rsid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 xml:space="preserve">Children’s social care providers’ should use the separate </w:t>
      </w:r>
      <w:hyperlink r:id="rId12" w:history="1">
        <w:r w:rsidRPr="00CE2C5B">
          <w:rPr>
            <w:rFonts w:ascii="Verdana" w:eastAsia="Times New Roman" w:hAnsi="Verdana"/>
            <w:color w:val="0000FF"/>
            <w:u w:val="single"/>
            <w:lang w:val="en"/>
          </w:rPr>
          <w:t>notification form</w:t>
        </w:r>
      </w:hyperlink>
      <w:r w:rsidRPr="00CE2C5B">
        <w:rPr>
          <w:rFonts w:ascii="Verdana" w:eastAsia="Times New Roman" w:hAnsi="Verdana"/>
          <w:lang w:val="en"/>
        </w:rPr>
        <w:t xml:space="preserve"> for adoption support agencies, children’s homes, independent fostering agencies, residential family centres, secure children’s homes.</w:t>
      </w:r>
    </w:p>
    <w:p w:rsidR="00CE2C5B" w:rsidRPr="00CE2C5B" w:rsidRDefault="00CE2C5B" w:rsidP="00CE2C5B">
      <w:pPr>
        <w:spacing w:before="100" w:beforeAutospacing="1" w:after="100" w:afterAutospacing="1"/>
        <w:outlineLvl w:val="1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t>Contact details</w:t>
      </w:r>
    </w:p>
    <w:p w:rsidR="00CE2C5B" w:rsidRPr="00CE2C5B" w:rsidRDefault="00CE2C5B" w:rsidP="00CE2C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lang w:val="en"/>
        </w:rPr>
      </w:pPr>
      <w:r w:rsidRPr="00CE2C5B">
        <w:rPr>
          <w:rFonts w:ascii="Verdana" w:eastAsia="Times New Roman" w:hAnsi="Verdana"/>
          <w:b/>
          <w:bCs/>
          <w:lang w:val="en"/>
        </w:rPr>
        <w:t>The Child Safeguarding Practice Review Panel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>Postal address: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 xml:space="preserve">Panel Secretariat </w:t>
      </w:r>
      <w:r w:rsidRPr="00CE2C5B">
        <w:rPr>
          <w:rFonts w:ascii="Verdana" w:eastAsia="Times New Roman" w:hAnsi="Verdana"/>
          <w:lang w:val="en"/>
        </w:rPr>
        <w:br/>
        <w:t xml:space="preserve">c/o Department for Education </w:t>
      </w:r>
      <w:r w:rsidRPr="00CE2C5B">
        <w:rPr>
          <w:rFonts w:ascii="Verdana" w:eastAsia="Times New Roman" w:hAnsi="Verdana"/>
          <w:lang w:val="en"/>
        </w:rPr>
        <w:br/>
        <w:t xml:space="preserve">Level 8, Sanctuary Buildings </w:t>
      </w:r>
      <w:r w:rsidRPr="00CE2C5B">
        <w:rPr>
          <w:rFonts w:ascii="Verdana" w:eastAsia="Times New Roman" w:hAnsi="Verdana"/>
          <w:lang w:val="en"/>
        </w:rPr>
        <w:br/>
        <w:t xml:space="preserve">Great Smith Street </w:t>
      </w:r>
      <w:r w:rsidRPr="00CE2C5B">
        <w:rPr>
          <w:rFonts w:ascii="Verdana" w:eastAsia="Times New Roman" w:hAnsi="Verdana"/>
          <w:lang w:val="en"/>
        </w:rPr>
        <w:br/>
        <w:t xml:space="preserve">London SW1P 3BT </w:t>
      </w:r>
    </w:p>
    <w:p w:rsidR="00CE2C5B" w:rsidRPr="00CE2C5B" w:rsidRDefault="00CE2C5B" w:rsidP="00CE2C5B">
      <w:pPr>
        <w:spacing w:before="100" w:beforeAutospacing="1" w:after="100" w:afterAutospacing="1"/>
        <w:rPr>
          <w:rFonts w:ascii="Verdana" w:eastAsia="Times New Roman" w:hAnsi="Verdana"/>
          <w:lang w:val="en"/>
        </w:rPr>
      </w:pPr>
      <w:r w:rsidRPr="00CE2C5B">
        <w:rPr>
          <w:rFonts w:ascii="Verdana" w:eastAsia="Times New Roman" w:hAnsi="Verdana"/>
          <w:lang w:val="en"/>
        </w:rPr>
        <w:t xml:space="preserve">Email: </w:t>
      </w:r>
      <w:hyperlink r:id="rId13" w:history="1">
        <w:r w:rsidRPr="00CE2C5B">
          <w:rPr>
            <w:rFonts w:ascii="Verdana" w:eastAsia="Times New Roman" w:hAnsi="Verdana"/>
            <w:color w:val="0000FF"/>
            <w:u w:val="single"/>
            <w:lang w:val="en"/>
          </w:rPr>
          <w:t>Mailbox.NationalReviewPanel@education.gov.uk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73EE" w:rsidTr="00C973EE">
        <w:tc>
          <w:tcPr>
            <w:tcW w:w="9242" w:type="dxa"/>
            <w:shd w:val="clear" w:color="auto" w:fill="DBE5F1" w:themeFill="accent1" w:themeFillTint="33"/>
          </w:tcPr>
          <w:p w:rsidR="00C973EE" w:rsidRPr="00F831E9" w:rsidRDefault="00C973EE" w:rsidP="00C973EE">
            <w:pPr>
              <w:jc w:val="both"/>
              <w:rPr>
                <w:rFonts w:ascii="Verdana" w:hAnsi="Verdana"/>
              </w:rPr>
            </w:pPr>
            <w:r w:rsidRPr="00F831E9">
              <w:rPr>
                <w:rFonts w:ascii="Verdana" w:hAnsi="Verdana"/>
                <w:lang w:val="en"/>
              </w:rPr>
              <w:t>In urgent situations, particularly if there is significant media interest in a particular incident, call Ofsted on 0300 123 1231.</w:t>
            </w:r>
          </w:p>
          <w:p w:rsidR="00C973EE" w:rsidRDefault="00C973EE" w:rsidP="00CE2C5B">
            <w:pPr>
              <w:jc w:val="both"/>
              <w:rPr>
                <w:rFonts w:ascii="Verdana" w:hAnsi="Verdana"/>
                <w:lang w:val="en"/>
              </w:rPr>
            </w:pPr>
          </w:p>
        </w:tc>
      </w:tr>
    </w:tbl>
    <w:p w:rsidR="00C973EE" w:rsidRDefault="00C973EE" w:rsidP="00CE2C5B">
      <w:pPr>
        <w:jc w:val="both"/>
        <w:rPr>
          <w:rFonts w:ascii="Verdana" w:hAnsi="Verdana"/>
          <w:lang w:val="en"/>
        </w:rPr>
      </w:pPr>
    </w:p>
    <w:p w:rsidR="00A04218" w:rsidRDefault="00A04218" w:rsidP="00CE2C5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Timeframe</w:t>
      </w:r>
    </w:p>
    <w:p w:rsidR="00A04218" w:rsidRDefault="00A04218" w:rsidP="00CE2C5B">
      <w:pPr>
        <w:jc w:val="both"/>
        <w:rPr>
          <w:rFonts w:ascii="Verdana" w:hAnsi="Verdana"/>
          <w:b/>
        </w:rPr>
      </w:pPr>
    </w:p>
    <w:p w:rsidR="00A04218" w:rsidRDefault="00A04218" w:rsidP="00CE2C5B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Day one:</w:t>
      </w:r>
    </w:p>
    <w:p w:rsidR="00430A30" w:rsidRDefault="00CE2C5B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A04218">
        <w:rPr>
          <w:rFonts w:ascii="Verdana" w:hAnsi="Verdana"/>
        </w:rPr>
        <w:t xml:space="preserve">The person who becomes aware of the incident must inform </w:t>
      </w:r>
      <w:r w:rsidR="00A04218" w:rsidRPr="00A04218">
        <w:rPr>
          <w:rFonts w:ascii="Verdana" w:hAnsi="Verdana"/>
        </w:rPr>
        <w:t>their Line Manager</w:t>
      </w:r>
      <w:r w:rsidR="00A04218">
        <w:rPr>
          <w:rFonts w:ascii="Verdana" w:hAnsi="Verdana"/>
        </w:rPr>
        <w:t>/The Head of Safeguarding/ and the Head of QA and PI</w:t>
      </w:r>
      <w:r w:rsidR="00A04218" w:rsidRPr="00A04218">
        <w:rPr>
          <w:rFonts w:ascii="Verdana" w:hAnsi="Verdana"/>
        </w:rPr>
        <w:t xml:space="preserve">. </w:t>
      </w:r>
    </w:p>
    <w:p w:rsidR="00430A30" w:rsidRDefault="00430A30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The Head of Safeguarding will inform the LSCB, if required.</w:t>
      </w:r>
      <w:r w:rsidDel="00430A30">
        <w:rPr>
          <w:rFonts w:ascii="Verdana" w:hAnsi="Verdana"/>
        </w:rPr>
        <w:t xml:space="preserve"> </w:t>
      </w:r>
    </w:p>
    <w:p w:rsidR="00A04218" w:rsidRDefault="00CE2C5B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A04218">
        <w:rPr>
          <w:rFonts w:ascii="Verdana" w:hAnsi="Verdana"/>
        </w:rPr>
        <w:t>The Line Manage</w:t>
      </w:r>
      <w:r w:rsidR="00A04218">
        <w:rPr>
          <w:rFonts w:ascii="Verdana" w:hAnsi="Verdana"/>
        </w:rPr>
        <w:t xml:space="preserve">r will inform the relevant Line </w:t>
      </w:r>
      <w:r w:rsidRPr="00A04218">
        <w:rPr>
          <w:rFonts w:ascii="Verdana" w:hAnsi="Verdana"/>
        </w:rPr>
        <w:t>Manager</w:t>
      </w:r>
      <w:r w:rsidR="00A04218">
        <w:rPr>
          <w:rFonts w:ascii="Verdana" w:hAnsi="Verdana"/>
        </w:rPr>
        <w:t>s</w:t>
      </w:r>
      <w:r w:rsidR="00430A30">
        <w:rPr>
          <w:rFonts w:ascii="Verdana" w:hAnsi="Verdana"/>
        </w:rPr>
        <w:t>, including the relevant Service Lead</w:t>
      </w:r>
      <w:r w:rsidR="00A04218">
        <w:rPr>
          <w:rFonts w:ascii="Verdana" w:hAnsi="Verdana"/>
        </w:rPr>
        <w:t xml:space="preserve">. </w:t>
      </w:r>
      <w:r w:rsidR="00A04218">
        <w:rPr>
          <w:rFonts w:ascii="Verdana" w:hAnsi="Verdana"/>
        </w:rPr>
        <w:tab/>
      </w:r>
    </w:p>
    <w:p w:rsidR="00A04218" w:rsidRDefault="00A04218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The Line Manager will p</w:t>
      </w:r>
      <w:r w:rsidR="00CE2C5B" w:rsidRPr="00A04218">
        <w:rPr>
          <w:rFonts w:ascii="Verdana" w:hAnsi="Verdana"/>
        </w:rPr>
        <w:t>repare a draft briefing</w:t>
      </w:r>
      <w:r>
        <w:rPr>
          <w:rFonts w:ascii="Verdana" w:hAnsi="Verdana"/>
        </w:rPr>
        <w:t xml:space="preserve"> (please refer to ‘Need to Know Guidance</w:t>
      </w:r>
      <w:r w:rsidR="0053419C">
        <w:rPr>
          <w:rFonts w:ascii="Verdana" w:hAnsi="Verdana"/>
        </w:rPr>
        <w:t>)</w:t>
      </w:r>
      <w:r>
        <w:rPr>
          <w:rFonts w:ascii="Verdana" w:hAnsi="Verdana"/>
        </w:rPr>
        <w:t>’</w:t>
      </w:r>
      <w:r w:rsidR="00CE2C5B" w:rsidRPr="00A04218">
        <w:rPr>
          <w:rFonts w:ascii="Verdana" w:hAnsi="Verdana"/>
        </w:rPr>
        <w:t xml:space="preserve">. </w:t>
      </w:r>
    </w:p>
    <w:p w:rsidR="00A04218" w:rsidRDefault="00CE2C5B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A04218">
        <w:rPr>
          <w:rFonts w:ascii="Verdana" w:hAnsi="Verdana"/>
        </w:rPr>
        <w:t>Inf</w:t>
      </w:r>
      <w:r w:rsidR="00A04218">
        <w:rPr>
          <w:rFonts w:ascii="Verdana" w:hAnsi="Verdana"/>
        </w:rPr>
        <w:t>orm the relevant Senior Manager</w:t>
      </w:r>
      <w:r w:rsidRPr="00A04218">
        <w:rPr>
          <w:rFonts w:ascii="Verdana" w:hAnsi="Verdana"/>
        </w:rPr>
        <w:t xml:space="preserve"> and the Out of Hours Team of the incident.</w:t>
      </w:r>
    </w:p>
    <w:p w:rsidR="00CE2C5B" w:rsidRDefault="00CE2C5B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A04218">
        <w:rPr>
          <w:rFonts w:ascii="Verdana" w:hAnsi="Verdana"/>
        </w:rPr>
        <w:t>Seek and inc</w:t>
      </w:r>
      <w:r w:rsidR="00A04218">
        <w:rPr>
          <w:rFonts w:ascii="Verdana" w:hAnsi="Verdana"/>
        </w:rPr>
        <w:t xml:space="preserve">lude legal advice. </w:t>
      </w:r>
      <w:r w:rsidR="00A04218">
        <w:rPr>
          <w:rFonts w:ascii="Verdana" w:hAnsi="Verdana"/>
        </w:rPr>
        <w:tab/>
      </w:r>
    </w:p>
    <w:p w:rsidR="00A04218" w:rsidRDefault="00A04218" w:rsidP="00CE2C5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A ‘lead officer’ will be nominated as the accountable person.</w:t>
      </w:r>
    </w:p>
    <w:p w:rsidR="00F0324B" w:rsidRPr="00F0324B" w:rsidRDefault="00F0324B" w:rsidP="00F0324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F0324B">
        <w:rPr>
          <w:rFonts w:ascii="Verdana" w:hAnsi="Verdana"/>
        </w:rPr>
        <w:t>Where MASH identify that the referred child is normally resident in another Local Authority, they will contact the relevan</w:t>
      </w:r>
      <w:r>
        <w:rPr>
          <w:rFonts w:ascii="Verdana" w:hAnsi="Verdana"/>
        </w:rPr>
        <w:t>t Local Authority.</w:t>
      </w:r>
      <w:r w:rsidRPr="00F0324B">
        <w:rPr>
          <w:rFonts w:ascii="Verdana" w:hAnsi="Verdana"/>
        </w:rPr>
        <w:t xml:space="preserve">  This should be done regardless of whether the referred child is known to the originating Local Authority or not.  </w:t>
      </w:r>
    </w:p>
    <w:p w:rsidR="00F0324B" w:rsidRPr="00F0324B" w:rsidRDefault="00F0324B" w:rsidP="00F0324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F0324B">
        <w:rPr>
          <w:rFonts w:ascii="Verdana" w:hAnsi="Verdana"/>
        </w:rPr>
        <w:t>If a child whose death or serious inju</w:t>
      </w:r>
      <w:r>
        <w:rPr>
          <w:rFonts w:ascii="Verdana" w:hAnsi="Verdana"/>
        </w:rPr>
        <w:t xml:space="preserve">ry is notified to the LSCB </w:t>
      </w:r>
      <w:r w:rsidRPr="00F0324B">
        <w:rPr>
          <w:rFonts w:ascii="Verdana" w:hAnsi="Verdana"/>
        </w:rPr>
        <w:t>is normall</w:t>
      </w:r>
      <w:r>
        <w:rPr>
          <w:rFonts w:ascii="Verdana" w:hAnsi="Verdana"/>
        </w:rPr>
        <w:t>y resident outside West Sussex, the L</w:t>
      </w:r>
      <w:r w:rsidRPr="00F0324B">
        <w:rPr>
          <w:rFonts w:ascii="Verdana" w:hAnsi="Verdana"/>
        </w:rPr>
        <w:t xml:space="preserve">SCB will provide notification of that death or injury to the appropriate Local Safeguarding Board in writing </w:t>
      </w:r>
      <w:r w:rsidR="00430A30">
        <w:rPr>
          <w:rFonts w:ascii="Verdana" w:hAnsi="Verdana"/>
        </w:rPr>
        <w:t>immediately upon receipt of the notification</w:t>
      </w:r>
      <w:r w:rsidRPr="00F0324B">
        <w:rPr>
          <w:rFonts w:ascii="Verdana" w:hAnsi="Verdana"/>
        </w:rPr>
        <w:t xml:space="preserve"> </w:t>
      </w:r>
    </w:p>
    <w:p w:rsidR="00F0324B" w:rsidRPr="00F0324B" w:rsidRDefault="00F0324B" w:rsidP="00F0324B">
      <w:pPr>
        <w:pStyle w:val="ListParagraph"/>
        <w:numPr>
          <w:ilvl w:val="0"/>
          <w:numId w:val="8"/>
        </w:numPr>
        <w:jc w:val="both"/>
        <w:rPr>
          <w:rFonts w:ascii="Verdana" w:hAnsi="Verdana"/>
        </w:rPr>
      </w:pPr>
      <w:r w:rsidRPr="00F0324B">
        <w:rPr>
          <w:rFonts w:ascii="Verdana" w:hAnsi="Verdana"/>
        </w:rPr>
        <w:t>Where there may be child protection concerns for the referred child or any assoc</w:t>
      </w:r>
      <w:r>
        <w:rPr>
          <w:rFonts w:ascii="Verdana" w:hAnsi="Verdana"/>
        </w:rPr>
        <w:t xml:space="preserve">iated child </w:t>
      </w:r>
      <w:r w:rsidRPr="00F0324B">
        <w:rPr>
          <w:rFonts w:ascii="Verdana" w:hAnsi="Verdana"/>
        </w:rPr>
        <w:t xml:space="preserve">MASH will hold a strategy </w:t>
      </w:r>
      <w:r>
        <w:rPr>
          <w:rFonts w:ascii="Verdana" w:hAnsi="Verdana"/>
        </w:rPr>
        <w:t xml:space="preserve">meeting in accordance with the Pan Sussex </w:t>
      </w:r>
      <w:r w:rsidRPr="00F0324B">
        <w:rPr>
          <w:rFonts w:ascii="Verdana" w:hAnsi="Verdana"/>
        </w:rPr>
        <w:t>Protocol</w:t>
      </w:r>
    </w:p>
    <w:p w:rsidR="00A04218" w:rsidRPr="00F0324B" w:rsidRDefault="00A04218" w:rsidP="00F0324B">
      <w:pPr>
        <w:pStyle w:val="ListParagraph"/>
        <w:jc w:val="both"/>
        <w:rPr>
          <w:rFonts w:ascii="Verdana" w:hAnsi="Verdana"/>
        </w:rPr>
      </w:pPr>
    </w:p>
    <w:p w:rsidR="00A04218" w:rsidRDefault="00A04218" w:rsidP="00A04218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Day two to four</w:t>
      </w:r>
    </w:p>
    <w:p w:rsidR="0053419C" w:rsidRPr="00731513" w:rsidRDefault="00430A30" w:rsidP="00A04218">
      <w:pPr>
        <w:pStyle w:val="ListParagraph"/>
        <w:numPr>
          <w:ilvl w:val="0"/>
          <w:numId w:val="9"/>
        </w:num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Service Leads will maintain oversight of the process and ensure that the lead officer is regularly updated.</w:t>
      </w:r>
    </w:p>
    <w:p w:rsidR="00A04218" w:rsidRPr="00A04218" w:rsidRDefault="00A04218" w:rsidP="00A04218">
      <w:pPr>
        <w:pStyle w:val="ListParagraph"/>
        <w:numPr>
          <w:ilvl w:val="0"/>
          <w:numId w:val="9"/>
        </w:num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The lead officer will track all actions relating to the incident and ensure that the ‘Need to Know’ guidance is followed.</w:t>
      </w:r>
    </w:p>
    <w:p w:rsidR="00A04218" w:rsidRPr="00A04218" w:rsidRDefault="00A04218" w:rsidP="00A04218">
      <w:pPr>
        <w:pStyle w:val="ListParagraph"/>
        <w:numPr>
          <w:ilvl w:val="0"/>
          <w:numId w:val="9"/>
        </w:num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The lead officer in liaison with the Head of QA &amp; PI will agree who will complete the notification</w:t>
      </w:r>
    </w:p>
    <w:p w:rsidR="00A04218" w:rsidRDefault="00A04218" w:rsidP="00A04218">
      <w:pPr>
        <w:jc w:val="both"/>
        <w:rPr>
          <w:rFonts w:ascii="Verdana" w:hAnsi="Verdana"/>
          <w:u w:val="single"/>
        </w:rPr>
      </w:pPr>
    </w:p>
    <w:p w:rsidR="00A04218" w:rsidRDefault="00A04218" w:rsidP="00A04218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Day five</w:t>
      </w:r>
    </w:p>
    <w:p w:rsidR="00A04218" w:rsidRDefault="00A04218" w:rsidP="00A04218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The notification is made to Ofsted</w:t>
      </w:r>
      <w:r w:rsidR="0053419C">
        <w:rPr>
          <w:rFonts w:ascii="Verdana" w:hAnsi="Verdana"/>
        </w:rPr>
        <w:t xml:space="preserve"> – this is made by the DCS in WSCC. </w:t>
      </w:r>
    </w:p>
    <w:p w:rsidR="00430A30" w:rsidRDefault="0053419C" w:rsidP="00A04218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Th</w:t>
      </w:r>
      <w:r w:rsidR="00430A30">
        <w:rPr>
          <w:rFonts w:ascii="Verdana" w:hAnsi="Verdana"/>
        </w:rPr>
        <w:t xml:space="preserve">e form is an ‘online form’ however, the content must be approved by the </w:t>
      </w:r>
      <w:r>
        <w:rPr>
          <w:rFonts w:ascii="Verdana" w:hAnsi="Verdana"/>
        </w:rPr>
        <w:t xml:space="preserve">Head of Safeguarding and Head of Social </w:t>
      </w:r>
      <w:r w:rsidR="00430A30">
        <w:rPr>
          <w:rFonts w:ascii="Verdana" w:hAnsi="Verdana"/>
        </w:rPr>
        <w:t>C</w:t>
      </w:r>
      <w:r>
        <w:rPr>
          <w:rFonts w:ascii="Verdana" w:hAnsi="Verdana"/>
        </w:rPr>
        <w:t xml:space="preserve">are – </w:t>
      </w:r>
      <w:r w:rsidR="00430A30">
        <w:rPr>
          <w:rFonts w:ascii="Verdana" w:hAnsi="Verdana"/>
        </w:rPr>
        <w:t>before sending it to the DCS  (see word document below).</w:t>
      </w:r>
    </w:p>
    <w:p w:rsidR="00A04218" w:rsidRDefault="00A04218" w:rsidP="00A04218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Head of QA &amp; PI will consider whether any further action is required in liaison with the Head of Safeguarding </w:t>
      </w:r>
    </w:p>
    <w:p w:rsidR="00CE2C5B" w:rsidRPr="00731513" w:rsidRDefault="00430A30" w:rsidP="00CE2C5B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 w:rsidRPr="00731513">
        <w:rPr>
          <w:rFonts w:ascii="Verdana" w:hAnsi="Verdana"/>
        </w:rPr>
        <w:t xml:space="preserve">A record is made of all notifications </w:t>
      </w:r>
      <w:r w:rsidR="00731513">
        <w:rPr>
          <w:rFonts w:ascii="Verdana" w:hAnsi="Verdana"/>
        </w:rPr>
        <w:t xml:space="preserve">made </w:t>
      </w:r>
      <w:r w:rsidRPr="00731513">
        <w:rPr>
          <w:rFonts w:ascii="Verdana" w:hAnsi="Verdana"/>
        </w:rPr>
        <w:t xml:space="preserve">by the DCS. </w:t>
      </w:r>
    </w:p>
    <w:p w:rsidR="00731513" w:rsidRDefault="00731513" w:rsidP="00CE2C5B">
      <w:pPr>
        <w:jc w:val="both"/>
        <w:rPr>
          <w:rFonts w:ascii="Verdana" w:hAnsi="Verdana"/>
          <w:b/>
        </w:rPr>
      </w:pPr>
    </w:p>
    <w:p w:rsidR="00731513" w:rsidRDefault="00731513" w:rsidP="00CE2C5B">
      <w:pPr>
        <w:jc w:val="both"/>
        <w:rPr>
          <w:rFonts w:ascii="Verdana" w:hAnsi="Verdana"/>
          <w:b/>
        </w:rPr>
      </w:pPr>
    </w:p>
    <w:p w:rsidR="00CE2C5B" w:rsidRPr="00F0324B" w:rsidRDefault="00CE2C5B" w:rsidP="00CE2C5B">
      <w:pPr>
        <w:jc w:val="both"/>
        <w:rPr>
          <w:rFonts w:ascii="Verdana" w:hAnsi="Verdana"/>
          <w:b/>
        </w:rPr>
      </w:pPr>
      <w:r w:rsidRPr="00F0324B">
        <w:rPr>
          <w:rFonts w:ascii="Verdana" w:hAnsi="Verdana"/>
          <w:b/>
        </w:rPr>
        <w:t xml:space="preserve">Media </w:t>
      </w:r>
    </w:p>
    <w:p w:rsidR="00F0324B" w:rsidRDefault="00CE2C5B" w:rsidP="00CE2C5B">
      <w:pPr>
        <w:jc w:val="both"/>
        <w:rPr>
          <w:rFonts w:ascii="Verdana" w:hAnsi="Verdana"/>
        </w:rPr>
      </w:pPr>
      <w:r w:rsidRPr="00CE2C5B">
        <w:rPr>
          <w:rFonts w:ascii="Verdana" w:hAnsi="Verdana"/>
        </w:rPr>
        <w:t xml:space="preserve">In all situations, the anonymity of the child must be preserved.  Before any involvement with the press, legal advice should be recorded and passed with the “Need to Know” to the </w:t>
      </w:r>
      <w:r w:rsidR="00F0324B">
        <w:rPr>
          <w:rFonts w:ascii="Verdana" w:hAnsi="Verdana"/>
        </w:rPr>
        <w:t>DCS</w:t>
      </w:r>
      <w:r w:rsidRPr="00CE2C5B">
        <w:rPr>
          <w:rFonts w:ascii="Verdana" w:hAnsi="Verdana"/>
        </w:rPr>
        <w:t xml:space="preserve"> who should be consulted prior to media activity.  </w:t>
      </w:r>
    </w:p>
    <w:p w:rsidR="00CE2C5B" w:rsidRDefault="00CE2C5B" w:rsidP="00CE2C5B">
      <w:pPr>
        <w:jc w:val="both"/>
        <w:rPr>
          <w:rFonts w:ascii="Verdana" w:hAnsi="Verdana"/>
        </w:rPr>
      </w:pPr>
    </w:p>
    <w:p w:rsidR="00F0324B" w:rsidRPr="00F0324B" w:rsidRDefault="00F0324B" w:rsidP="00CE2C5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Monitoring</w:t>
      </w:r>
    </w:p>
    <w:p w:rsidR="00CE2C5B" w:rsidRPr="00CE2C5B" w:rsidRDefault="00CE2C5B" w:rsidP="00CE2C5B">
      <w:pPr>
        <w:jc w:val="both"/>
        <w:rPr>
          <w:rFonts w:ascii="Verdana" w:hAnsi="Verdana"/>
        </w:rPr>
      </w:pPr>
      <w:r w:rsidRPr="00CE2C5B">
        <w:rPr>
          <w:rFonts w:ascii="Verdana" w:hAnsi="Verdana"/>
        </w:rPr>
        <w:t>All notifiable incidents will be collated and reviewe</w:t>
      </w:r>
      <w:r w:rsidR="00F0324B">
        <w:rPr>
          <w:rFonts w:ascii="Verdana" w:hAnsi="Verdana"/>
        </w:rPr>
        <w:t xml:space="preserve">d by the Head of </w:t>
      </w:r>
      <w:r w:rsidRPr="00CE2C5B">
        <w:rPr>
          <w:rFonts w:ascii="Verdana" w:hAnsi="Verdana"/>
        </w:rPr>
        <w:t xml:space="preserve">Quality Assurance </w:t>
      </w:r>
      <w:r w:rsidR="00F0324B">
        <w:rPr>
          <w:rFonts w:ascii="Verdana" w:hAnsi="Verdana"/>
        </w:rPr>
        <w:t>&amp; Practice Improvement for reporting as part of feedback to CFSLT</w:t>
      </w:r>
      <w:r w:rsidRPr="00CE2C5B">
        <w:rPr>
          <w:rFonts w:ascii="Verdana" w:hAnsi="Verdana"/>
        </w:rPr>
        <w:t xml:space="preserve">.  </w:t>
      </w:r>
    </w:p>
    <w:p w:rsidR="00CE2C5B" w:rsidRDefault="00CE2C5B" w:rsidP="00CE2C5B">
      <w:pPr>
        <w:jc w:val="both"/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A64628" w:rsidRDefault="00A64628" w:rsidP="00BC36C7">
      <w:pPr>
        <w:rPr>
          <w:rFonts w:ascii="Verdana" w:hAnsi="Verdana"/>
        </w:rPr>
      </w:pPr>
    </w:p>
    <w:p w:rsidR="00C706E4" w:rsidRDefault="00BC36C7" w:rsidP="00A64628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C08B9" wp14:editId="5F876F48">
                <wp:simplePos x="0" y="0"/>
                <wp:positionH relativeFrom="column">
                  <wp:posOffset>-545805</wp:posOffset>
                </wp:positionH>
                <wp:positionV relativeFrom="paragraph">
                  <wp:posOffset>120442</wp:posOffset>
                </wp:positionV>
                <wp:extent cx="6860540" cy="500439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500439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:rsidR="004C5BE1" w:rsidRPr="004C5BE1" w:rsidRDefault="004C5BE1" w:rsidP="004C5BE1">
                            <w:pPr>
                              <w:spacing w:before="100" w:beforeAutospacing="1" w:after="100" w:afterAutospacing="1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C5BE1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  <w:t>Read the relevant legislation to find out wha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  <w:t xml:space="preserve">t incidents you need to inform Ofsted </w:t>
                            </w:r>
                            <w:r w:rsidRPr="004C5BE1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  <w:t>about.</w:t>
                            </w:r>
                          </w:p>
                          <w:p w:rsidR="004C5BE1" w:rsidRPr="004C5BE1" w:rsidRDefault="00F50BD5" w:rsidP="004C5BE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4" w:history="1">
                              <w:r w:rsidR="004C5BE1" w:rsidRPr="004C5BE1">
                                <w:rPr>
                                  <w:rFonts w:ascii="Verdana" w:eastAsia="Times New Roman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The Children’s Homes (England) Regulations 2015</w:t>
                              </w:r>
                            </w:hyperlink>
                          </w:p>
                          <w:p w:rsidR="004C5BE1" w:rsidRPr="004C5BE1" w:rsidRDefault="00F50BD5" w:rsidP="004C5BE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5" w:history="1">
                              <w:r w:rsidR="004C5BE1" w:rsidRPr="004C5BE1">
                                <w:rPr>
                                  <w:rFonts w:ascii="Verdana" w:eastAsia="Times New Roman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The Fostering Regulations 2011</w:t>
                              </w:r>
                            </w:hyperlink>
                          </w:p>
                          <w:p w:rsidR="004C5BE1" w:rsidRPr="004C5BE1" w:rsidRDefault="00F50BD5" w:rsidP="004C5BE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6" w:history="1">
                              <w:r w:rsidR="004C5BE1" w:rsidRPr="004C5BE1">
                                <w:rPr>
                                  <w:rFonts w:ascii="Verdana" w:eastAsia="Times New Roman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The Adoption Regulations 2003</w:t>
                              </w:r>
                            </w:hyperlink>
                          </w:p>
                          <w:p w:rsidR="004C5BE1" w:rsidRPr="004C5BE1" w:rsidRDefault="00F50BD5" w:rsidP="004C5BE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7" w:history="1">
                              <w:r w:rsidR="004C5BE1" w:rsidRPr="004C5BE1">
                                <w:rPr>
                                  <w:rFonts w:ascii="Verdana" w:eastAsia="Times New Roman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The Adoption Support Agencies (England) and Adoption Agencies (Miscellaneous Amendments) Regulations 2005</w:t>
                              </w:r>
                            </w:hyperlink>
                          </w:p>
                          <w:p w:rsidR="004C5BE1" w:rsidRPr="004C5BE1" w:rsidRDefault="00F50BD5" w:rsidP="004C5BE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8" w:history="1">
                              <w:r w:rsidR="004C5BE1" w:rsidRPr="004C5BE1">
                                <w:rPr>
                                  <w:rFonts w:ascii="Verdana" w:eastAsia="Times New Roman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The Residential Family Centre Regulations 2002</w:t>
                              </w:r>
                            </w:hyperlink>
                          </w:p>
                          <w:p w:rsidR="00731513" w:rsidRPr="00731513" w:rsidRDefault="00F50BD5" w:rsidP="00731513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9" w:history="1">
                              <w:r w:rsidR="004C5BE1" w:rsidRPr="004C5BE1">
                                <w:rPr>
                                  <w:rFonts w:ascii="Verdana" w:eastAsia="Times New Roman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The Residential Family Centres (Amendment) Regulations 2013</w:t>
                              </w:r>
                            </w:hyperlink>
                          </w:p>
                          <w:p w:rsidR="00731513" w:rsidRDefault="00F50BD5" w:rsidP="00731513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</w:pPr>
                            <w:hyperlink r:id="rId20" w:history="1">
                              <w:r w:rsidR="00731513">
                                <w:rPr>
                                  <w:rStyle w:val="Hyperlink"/>
                                </w:rPr>
                                <w:t>https://www.google.com/search?q=Section+35,+Safeguarding+Vulnerable+Groups+Act+2006%3B+www.legislation.gov.uk%2Fukpga%2F2006%2F47%2Fsection%2F35.&amp;sourceid=ie7&amp;rls=com.microsoft:en-GB:IE-Address&amp;ie=&amp;oe=&amp;safe=strict&amp;gws_rd=ssl</w:t>
                              </w:r>
                            </w:hyperlink>
                          </w:p>
                          <w:p w:rsidR="00731513" w:rsidRPr="004C5BE1" w:rsidRDefault="00731513" w:rsidP="00AA1E6D">
                            <w:pPr>
                              <w:spacing w:before="100" w:beforeAutospacing="1" w:after="100" w:afterAutospacing="1" w:line="276" w:lineRule="auto"/>
                              <w:ind w:left="72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4C5BE1" w:rsidRPr="0084685B" w:rsidRDefault="004C5BE1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bookmarkStart w:id="0" w:name="_MON_1609680324"/>
                          <w:bookmarkEnd w:id="0"/>
                          <w:p w:rsidR="00BC36C7" w:rsidRDefault="00AA1E6D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  <w:object w:dxaOrig="1551" w:dyaOrig="100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75pt;height:50.1pt" o:ole="">
                                  <v:imagedata r:id="rId21" o:title=""/>
                                </v:shape>
                                <o:OLEObject Type="Embed" ProgID="Word.Document.12" ShapeID="_x0000_i1026" DrawAspect="Icon" ObjectID="_1612348371" r:id="rId22">
                                  <o:FieldCodes>\s</o:FieldCodes>
                                </o:OLEObject>
                              </w:object>
                            </w:r>
                            <w:r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bookmarkStart w:id="1" w:name="_MON_1609680829"/>
                            <w:bookmarkEnd w:id="1"/>
                            <w:r w:rsidR="00675F1A"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  <w:object w:dxaOrig="1551" w:dyaOrig="1004">
                                <v:shape id="_x0000_i1028" type="#_x0000_t75" style="width:77.75pt;height:50.1pt" o:ole="">
                                  <v:imagedata r:id="rId23" o:title=""/>
                                </v:shape>
                                <o:OLEObject Type="Embed" ProgID="Word.Document.12" ShapeID="_x0000_i1028" DrawAspect="Icon" ObjectID="_1612348372" r:id="rId2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43pt;margin-top:9.5pt;width:540.2pt;height:3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" fillcolor="#dce6f2" stroked="f" strokeweight=".5pt">
                <v:textbox>
                  <w:txbxContent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:rsidR="004C5BE1" w:rsidRPr="004C5BE1" w:rsidRDefault="004C5BE1" w:rsidP="004C5BE1">
                      <w:pPr>
                        <w:spacing w:before="100" w:beforeAutospacing="1" w:after="100" w:afterAutospacing="1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r w:rsidRPr="004C5BE1"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  <w:t>Read the relevant legislation to find out wha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  <w:t xml:space="preserve">t incidents you need to inform Ofsted </w:t>
                      </w:r>
                      <w:r w:rsidRPr="004C5BE1"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  <w:t>about.</w:t>
                      </w:r>
                    </w:p>
                    <w:p w:rsidR="004C5BE1" w:rsidRPr="004C5BE1" w:rsidRDefault="00F50BD5" w:rsidP="004C5BE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hyperlink r:id="rId25" w:history="1">
                        <w:r w:rsidR="004C5BE1" w:rsidRPr="004C5BE1">
                          <w:rPr>
                            <w:rFonts w:ascii="Verdana" w:eastAsia="Times New Roman" w:hAnsi="Verdana"/>
                            <w:color w:val="0000FF"/>
                            <w:sz w:val="20"/>
                            <w:szCs w:val="20"/>
                            <w:u w:val="single"/>
                            <w:lang w:val="en"/>
                          </w:rPr>
                          <w:t>The Children’s Homes (England) Regulations 2015</w:t>
                        </w:r>
                      </w:hyperlink>
                    </w:p>
                    <w:p w:rsidR="004C5BE1" w:rsidRPr="004C5BE1" w:rsidRDefault="00F50BD5" w:rsidP="004C5BE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hyperlink r:id="rId26" w:history="1">
                        <w:r w:rsidR="004C5BE1" w:rsidRPr="004C5BE1">
                          <w:rPr>
                            <w:rFonts w:ascii="Verdana" w:eastAsia="Times New Roman" w:hAnsi="Verdana"/>
                            <w:color w:val="0000FF"/>
                            <w:sz w:val="20"/>
                            <w:szCs w:val="20"/>
                            <w:u w:val="single"/>
                            <w:lang w:val="en"/>
                          </w:rPr>
                          <w:t>The Fostering Regulations 2011</w:t>
                        </w:r>
                      </w:hyperlink>
                    </w:p>
                    <w:p w:rsidR="004C5BE1" w:rsidRPr="004C5BE1" w:rsidRDefault="00F50BD5" w:rsidP="004C5BE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hyperlink r:id="rId27" w:history="1">
                        <w:r w:rsidR="004C5BE1" w:rsidRPr="004C5BE1">
                          <w:rPr>
                            <w:rFonts w:ascii="Verdana" w:eastAsia="Times New Roman" w:hAnsi="Verdana"/>
                            <w:color w:val="0000FF"/>
                            <w:sz w:val="20"/>
                            <w:szCs w:val="20"/>
                            <w:u w:val="single"/>
                            <w:lang w:val="en"/>
                          </w:rPr>
                          <w:t>The Adoption Regulations 2003</w:t>
                        </w:r>
                      </w:hyperlink>
                    </w:p>
                    <w:p w:rsidR="004C5BE1" w:rsidRPr="004C5BE1" w:rsidRDefault="00F50BD5" w:rsidP="004C5BE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hyperlink r:id="rId28" w:history="1">
                        <w:r w:rsidR="004C5BE1" w:rsidRPr="004C5BE1">
                          <w:rPr>
                            <w:rFonts w:ascii="Verdana" w:eastAsia="Times New Roman" w:hAnsi="Verdana"/>
                            <w:color w:val="0000FF"/>
                            <w:sz w:val="20"/>
                            <w:szCs w:val="20"/>
                            <w:u w:val="single"/>
                            <w:lang w:val="en"/>
                          </w:rPr>
                          <w:t>The Adoption Support Agencies (England) and Adoption Agencies (Miscellaneous Amendments) Regulations 2005</w:t>
                        </w:r>
                      </w:hyperlink>
                    </w:p>
                    <w:p w:rsidR="004C5BE1" w:rsidRPr="004C5BE1" w:rsidRDefault="00F50BD5" w:rsidP="004C5BE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hyperlink r:id="rId29" w:history="1">
                        <w:r w:rsidR="004C5BE1" w:rsidRPr="004C5BE1">
                          <w:rPr>
                            <w:rFonts w:ascii="Verdana" w:eastAsia="Times New Roman" w:hAnsi="Verdana"/>
                            <w:color w:val="0000FF"/>
                            <w:sz w:val="20"/>
                            <w:szCs w:val="20"/>
                            <w:u w:val="single"/>
                            <w:lang w:val="en"/>
                          </w:rPr>
                          <w:t>The Residential Family Centre Regulations 2002</w:t>
                        </w:r>
                      </w:hyperlink>
                    </w:p>
                    <w:p w:rsidR="00731513" w:rsidRPr="00731513" w:rsidRDefault="00F50BD5" w:rsidP="00731513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  <w:hyperlink r:id="rId30" w:history="1">
                        <w:r w:rsidR="004C5BE1" w:rsidRPr="004C5BE1">
                          <w:rPr>
                            <w:rFonts w:ascii="Verdana" w:eastAsia="Times New Roman" w:hAnsi="Verdana"/>
                            <w:color w:val="0000FF"/>
                            <w:sz w:val="20"/>
                            <w:szCs w:val="20"/>
                            <w:u w:val="single"/>
                            <w:lang w:val="en"/>
                          </w:rPr>
                          <w:t>The Residential Family Centres (Amendment) Regulations 2013</w:t>
                        </w:r>
                      </w:hyperlink>
                    </w:p>
                    <w:p w:rsidR="00731513" w:rsidRDefault="00F50BD5" w:rsidP="00731513">
                      <w:pPr>
                        <w:pStyle w:val="PlainText"/>
                        <w:numPr>
                          <w:ilvl w:val="0"/>
                          <w:numId w:val="7"/>
                        </w:numPr>
                      </w:pPr>
                      <w:hyperlink r:id="rId31" w:history="1">
                        <w:r w:rsidR="00731513">
                          <w:rPr>
                            <w:rStyle w:val="Hyperlink"/>
                          </w:rPr>
                          <w:t>https://www.google.com/search?q=Section+35,+Safeguarding+Vulnerable+Groups+Act+2006%3B+www.legislation.gov.uk%2Fukpga%2F2006%2F47%2Fsection%2F35.&amp;sourceid=ie7&amp;rls=com.microsoft:en-GB:IE-Address&amp;ie=&amp;oe=&amp;safe=strict&amp;gws_rd=ssl</w:t>
                        </w:r>
                      </w:hyperlink>
                    </w:p>
                    <w:p w:rsidR="00731513" w:rsidRPr="004C5BE1" w:rsidRDefault="00731513" w:rsidP="00AA1E6D">
                      <w:pPr>
                        <w:spacing w:before="100" w:beforeAutospacing="1" w:after="100" w:afterAutospacing="1" w:line="276" w:lineRule="auto"/>
                        <w:ind w:left="720"/>
                        <w:rPr>
                          <w:rFonts w:ascii="Verdana" w:eastAsia="Times New Roman" w:hAnsi="Verdana"/>
                          <w:sz w:val="20"/>
                          <w:szCs w:val="20"/>
                          <w:lang w:val="en"/>
                        </w:rPr>
                      </w:pPr>
                    </w:p>
                    <w:p w:rsidR="004C5BE1" w:rsidRPr="0084685B" w:rsidRDefault="004C5BE1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bookmarkStart w:id="2" w:name="_MON_1609680324"/>
                    <w:bookmarkEnd w:id="2"/>
                    <w:p w:rsidR="00BC36C7" w:rsidRDefault="00AA1E6D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  <w:object w:dxaOrig="1551" w:dyaOrig="1004">
                          <v:shape id="_x0000_i1026" type="#_x0000_t75" style="width:77.75pt;height:50.1pt" o:ole="">
                            <v:imagedata r:id="rId21" o:title=""/>
                          </v:shape>
                          <o:OLEObject Type="Embed" ProgID="Word.Document.12" ShapeID="_x0000_i1026" DrawAspect="Icon" ObjectID="_1612348371" r:id="rId32">
                            <o:FieldCodes>\s</o:FieldCodes>
                          </o:OLEObject>
                        </w:object>
                      </w:r>
                      <w:r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bookmarkStart w:id="3" w:name="_MON_1609680829"/>
                      <w:bookmarkEnd w:id="3"/>
                      <w:r w:rsidR="00675F1A"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  <w:object w:dxaOrig="1551" w:dyaOrig="1004">
                          <v:shape id="_x0000_i1028" type="#_x0000_t75" style="width:77.75pt;height:50.1pt" o:ole="">
                            <v:imagedata r:id="rId23" o:title=""/>
                          </v:shape>
                          <o:OLEObject Type="Embed" ProgID="Word.Document.12" ShapeID="_x0000_i1028" DrawAspect="Icon" ObjectID="_1612348372" r:id="rId33">
                            <o:FieldCodes>\s</o:FieldCodes>
                          </o:OLEObject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p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</w:p>
    <w:sectPr w:rsidR="00BC36C7" w:rsidRPr="00BC36C7" w:rsidSect="00BC36C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A0" w:rsidRDefault="005972A0" w:rsidP="00A46795">
      <w:r>
        <w:separator/>
      </w:r>
    </w:p>
  </w:endnote>
  <w:endnote w:type="continuationSeparator" w:id="0">
    <w:p w:rsidR="005972A0" w:rsidRDefault="005972A0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5" w:rsidRDefault="00F50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03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BD5" w:rsidRDefault="00F5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795" w:rsidRPr="00F50BD5" w:rsidRDefault="00F50BD5">
    <w:pPr>
      <w:pStyle w:val="Footer"/>
      <w:rPr>
        <w:rFonts w:ascii="Verdana" w:hAnsi="Verdana"/>
        <w:sz w:val="16"/>
        <w:szCs w:val="16"/>
      </w:rPr>
    </w:pPr>
    <w:bookmarkStart w:id="4" w:name="_GoBack"/>
    <w:r w:rsidRPr="00F50BD5">
      <w:rPr>
        <w:rFonts w:ascii="Verdana" w:hAnsi="Verdana"/>
        <w:sz w:val="16"/>
        <w:szCs w:val="16"/>
      </w:rPr>
      <w:t>V1. 22/02/19</w:t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5" w:rsidRDefault="00F5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A0" w:rsidRDefault="005972A0" w:rsidP="00A46795">
      <w:r>
        <w:separator/>
      </w:r>
    </w:p>
  </w:footnote>
  <w:footnote w:type="continuationSeparator" w:id="0">
    <w:p w:rsidR="005972A0" w:rsidRDefault="005972A0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5" w:rsidRDefault="00F50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95" w:rsidRDefault="00A46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5" w:rsidRDefault="00F50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4AE"/>
    <w:multiLevelType w:val="multilevel"/>
    <w:tmpl w:val="572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1188"/>
    <w:multiLevelType w:val="hybridMultilevel"/>
    <w:tmpl w:val="6276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A1C"/>
    <w:multiLevelType w:val="hybridMultilevel"/>
    <w:tmpl w:val="8F06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C24B3"/>
    <w:multiLevelType w:val="hybridMultilevel"/>
    <w:tmpl w:val="30A6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527C"/>
    <w:multiLevelType w:val="multilevel"/>
    <w:tmpl w:val="4F2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B6C92"/>
    <w:multiLevelType w:val="multilevel"/>
    <w:tmpl w:val="DD9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C295E"/>
    <w:multiLevelType w:val="multilevel"/>
    <w:tmpl w:val="7C6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24B55"/>
    <w:multiLevelType w:val="multilevel"/>
    <w:tmpl w:val="6C6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917E7"/>
    <w:multiLevelType w:val="multilevel"/>
    <w:tmpl w:val="51D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3C1F55"/>
    <w:rsid w:val="00430A30"/>
    <w:rsid w:val="004348D6"/>
    <w:rsid w:val="004C5BE1"/>
    <w:rsid w:val="0053419C"/>
    <w:rsid w:val="005365EF"/>
    <w:rsid w:val="005972A0"/>
    <w:rsid w:val="00675F1A"/>
    <w:rsid w:val="006A15F4"/>
    <w:rsid w:val="00731513"/>
    <w:rsid w:val="0079487B"/>
    <w:rsid w:val="00990000"/>
    <w:rsid w:val="009E6C39"/>
    <w:rsid w:val="00A04218"/>
    <w:rsid w:val="00A1042A"/>
    <w:rsid w:val="00A30A26"/>
    <w:rsid w:val="00A46795"/>
    <w:rsid w:val="00A64628"/>
    <w:rsid w:val="00AA1E6D"/>
    <w:rsid w:val="00BC36C7"/>
    <w:rsid w:val="00C55A45"/>
    <w:rsid w:val="00C706E4"/>
    <w:rsid w:val="00C973EE"/>
    <w:rsid w:val="00CE2C5B"/>
    <w:rsid w:val="00CF0F80"/>
    <w:rsid w:val="00F0324B"/>
    <w:rsid w:val="00F50BD5"/>
    <w:rsid w:val="00F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1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B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30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513"/>
    <w:rPr>
      <w:rFonts w:ascii="Verdana" w:eastAsiaTheme="minorHAnsi" w:hAnsi="Verdana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513"/>
    <w:rPr>
      <w:rFonts w:ascii="Verdana" w:eastAsiaTheme="minorHAnsi" w:hAnsi="Verdana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1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B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30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513"/>
    <w:rPr>
      <w:rFonts w:ascii="Verdana" w:eastAsiaTheme="minorHAnsi" w:hAnsi="Verdana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513"/>
    <w:rPr>
      <w:rFonts w:ascii="Verdana" w:eastAsiaTheme="minorHAnsi" w:hAnsi="Verdana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box.NationalReviewPanel@education.gov.uk" TargetMode="External"/><Relationship Id="rId18" Type="http://schemas.openxmlformats.org/officeDocument/2006/relationships/hyperlink" Target="http://www.opsi.gov.uk/si/si2002/20023213.htm" TargetMode="External"/><Relationship Id="rId26" Type="http://schemas.openxmlformats.org/officeDocument/2006/relationships/hyperlink" Target="http://www.legislation.gov.uk/uksi/2011/581/contents/made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notify-ofsted-of-an-incident-form-for-childrens-social-care-providers" TargetMode="External"/><Relationship Id="rId17" Type="http://schemas.openxmlformats.org/officeDocument/2006/relationships/hyperlink" Target="http://www.legislation.gov.uk/uksi/2005/2720/contents/made" TargetMode="External"/><Relationship Id="rId25" Type="http://schemas.openxmlformats.org/officeDocument/2006/relationships/hyperlink" Target="http://www.legislation.gov.uk/uksi/2015/541/contents/made" TargetMode="External"/><Relationship Id="rId33" Type="http://schemas.openxmlformats.org/officeDocument/2006/relationships/package" Target="embeddings/Microsoft_Word_Document4.docx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opsi.gov.uk/si/si2003/20030370.htm" TargetMode="External"/><Relationship Id="rId20" Type="http://schemas.openxmlformats.org/officeDocument/2006/relationships/hyperlink" Target="https://www.google.com/search?q=Section+35,+Safeguarding+Vulnerable+Groups+Act+2006%3B+www.legislation.gov.uk%2Fukpga%2F2006%2F47%2Fsection%2F35.&amp;sourceid=ie7&amp;rls=com.microsoft:en-GB:IE-Address&amp;ie=&amp;oe=&amp;safe=strict&amp;gws_rd=ssl" TargetMode="External"/><Relationship Id="rId29" Type="http://schemas.openxmlformats.org/officeDocument/2006/relationships/hyperlink" Target="http://www.opsi.gov.uk/si/si2002/20023213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stedonline.ofsted.gov.uk/outreach/Ofsted_Serious_Notification.ofml" TargetMode="External"/><Relationship Id="rId24" Type="http://schemas.openxmlformats.org/officeDocument/2006/relationships/package" Target="embeddings/Microsoft_Word_Document2.docx"/><Relationship Id="rId32" Type="http://schemas.openxmlformats.org/officeDocument/2006/relationships/package" Target="embeddings/Microsoft_Word_Document3.docx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egislation.gov.uk/uksi/2011/581/contents/made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://www.legislation.gov.uk/uksi/2005/2720/contents/mad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ussexchildprotection.procedures.org.uk/" TargetMode="External"/><Relationship Id="rId19" Type="http://schemas.openxmlformats.org/officeDocument/2006/relationships/hyperlink" Target="http://www.legislation.gov.uk/uksi/2013/499/contents/made" TargetMode="External"/><Relationship Id="rId31" Type="http://schemas.openxmlformats.org/officeDocument/2006/relationships/hyperlink" Target="https://www.google.com/search?q=Section+35,+Safeguarding+Vulnerable+Groups+Act+2006%3B+www.legislation.gov.uk%2Fukpga%2F2006%2F47%2Fsection%2F35.&amp;sourceid=ie7&amp;rls=com.microsoft:en-GB:IE-Address&amp;ie=&amp;oe=&amp;safe=strict&amp;gws_rd=ss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q=working+together+2018&amp;sourceid=ie7&amp;rls=com.microsoft:en-GB:IE-Address&amp;ie=&amp;oe=&amp;safe=strict&amp;gws_rd=ssl" TargetMode="External"/><Relationship Id="rId14" Type="http://schemas.openxmlformats.org/officeDocument/2006/relationships/hyperlink" Target="http://www.legislation.gov.uk/uksi/2015/541/contents/made" TargetMode="External"/><Relationship Id="rId22" Type="http://schemas.openxmlformats.org/officeDocument/2006/relationships/package" Target="embeddings/Microsoft_Word_Document1.docx"/><Relationship Id="rId27" Type="http://schemas.openxmlformats.org/officeDocument/2006/relationships/hyperlink" Target="http://www.opsi.gov.uk/si/si2003/20030370.htm" TargetMode="External"/><Relationship Id="rId30" Type="http://schemas.openxmlformats.org/officeDocument/2006/relationships/hyperlink" Target="http://www.legislation.gov.uk/uksi/2013/499/contents/made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4278-7172-460B-B22D-626A9A11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2</cp:revision>
  <cp:lastPrinted>2019-01-22T16:43:00Z</cp:lastPrinted>
  <dcterms:created xsi:type="dcterms:W3CDTF">2019-02-22T13:46:00Z</dcterms:created>
  <dcterms:modified xsi:type="dcterms:W3CDTF">2019-02-22T13:46:00Z</dcterms:modified>
</cp:coreProperties>
</file>