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2D55" w:rsidRDefault="00E02299">
      <w:pPr>
        <w:pStyle w:val="Heading1"/>
      </w:pPr>
      <w:r>
        <w:t>Record of Assessment of Capacity with pointers</w:t>
      </w:r>
    </w:p>
    <w:p w:rsidR="00E62D55" w:rsidRDefault="00E62D55">
      <w:pPr>
        <w:pStyle w:val="normal0"/>
      </w:pPr>
    </w:p>
    <w:p w:rsidR="00E62D55" w:rsidRDefault="00E62D55">
      <w:pPr>
        <w:pStyle w:val="normal0"/>
        <w:rPr>
          <w:sz w:val="36"/>
          <w:szCs w:val="36"/>
        </w:rPr>
      </w:pPr>
    </w:p>
    <w:tbl>
      <w:tblPr>
        <w:tblStyle w:val="a"/>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6521"/>
        <w:gridCol w:w="3260"/>
      </w:tblGrid>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1</w:t>
            </w:r>
          </w:p>
        </w:tc>
        <w:tc>
          <w:tcPr>
            <w:tcW w:w="6521"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Presumption of Capacity (Principle 1 of the Mental Capacity Act)</w:t>
            </w: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Guidance:</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Starting from the presumption of capacity are there reasons to believe that the person has an impairment of, or disturbance in the functioning of the brain or mind. For example because of disability, condition or trauma?</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This may be because of the person’s</w:t>
            </w:r>
            <w:r>
              <w:rPr>
                <w:rFonts w:ascii="Comic Sans MS" w:eastAsia="Comic Sans MS" w:hAnsi="Comic Sans MS" w:cs="Comic Sans MS"/>
                <w:color w:val="000000"/>
                <w:sz w:val="16"/>
                <w:szCs w:val="16"/>
              </w:rPr>
              <w:t xml:space="preserve"> behaviour, circumstances or because of concerns raised by someone else (please state details).</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2</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Understanding information about the decision to be made and helping the person to make a decision (Chapter 3 code of practice)</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What is the decision that needs to be made?</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How much information needs to be provided and in what format? Is help needed with specific problems?</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Is advice about how to communicate needed? (from family, friends, interpreter, signer, speech and language therapist)</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Are there any cultural, ethnic or religious factors which need to be considered?</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Are </w:t>
            </w:r>
            <w:proofErr w:type="spellStart"/>
            <w:r>
              <w:rPr>
                <w:rFonts w:ascii="Comic Sans MS" w:eastAsia="Comic Sans MS" w:hAnsi="Comic Sans MS" w:cs="Comic Sans MS"/>
                <w:color w:val="000000"/>
                <w:sz w:val="16"/>
                <w:szCs w:val="16"/>
              </w:rPr>
              <w:t>their</w:t>
            </w:r>
            <w:proofErr w:type="spellEnd"/>
            <w:r>
              <w:rPr>
                <w:rFonts w:ascii="Comic Sans MS" w:eastAsia="Comic Sans MS" w:hAnsi="Comic Sans MS" w:cs="Comic Sans MS"/>
                <w:color w:val="000000"/>
                <w:sz w:val="16"/>
                <w:szCs w:val="16"/>
              </w:rPr>
              <w:t xml:space="preserve"> any circumstances that may help the person make</w:t>
            </w:r>
            <w:r>
              <w:rPr>
                <w:rFonts w:ascii="Comic Sans MS" w:eastAsia="Comic Sans MS" w:hAnsi="Comic Sans MS" w:cs="Comic Sans MS"/>
                <w:color w:val="000000"/>
                <w:sz w:val="16"/>
                <w:szCs w:val="16"/>
              </w:rPr>
              <w:t xml:space="preserve"> the decision, e.g. feeling at ease, location, presence of family of friend, use of technology?</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Does the person understand any likely consequences?</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Have alternative been explored and explained?</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Do they understand the effects of deciding one way or another </w:t>
            </w:r>
            <w:r>
              <w:rPr>
                <w:rFonts w:ascii="Comic Sans MS" w:eastAsia="Comic Sans MS" w:hAnsi="Comic Sans MS" w:cs="Comic Sans MS"/>
                <w:color w:val="000000"/>
                <w:sz w:val="16"/>
                <w:szCs w:val="16"/>
              </w:rPr>
              <w:t>or of not deciding?</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Does the person understand the risks/benefits of the decision?</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Does the person understand reasons why decision is needed?</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Can the decision wait until the person has capacity?</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3</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Retaining information</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The person needs to retain the information long enough to weigh it up and communicate the decision.</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Are there any tools which can help the person retain the information long enough to make a decision e.g. notebooks, photographs, videos, voice recordings?</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4</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Weighing the information in balance</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Does the person have the ability to use, interpret, appreciate and assess the information whilst considering the decision?</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Consider the nature of the impairment or disturbance the person suffers from does this affect their ability to use the information about the decision?</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5</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Communicating the decision</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Consider how the person communicates e.g. talking, signing, through behaviour or any other means.</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Can anyone else such as family or friends assist in helping the person communicate?</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The ability to communicate articulately is not in itself the defining fact</w:t>
            </w:r>
            <w:r>
              <w:rPr>
                <w:rFonts w:ascii="Comic Sans MS" w:eastAsia="Comic Sans MS" w:hAnsi="Comic Sans MS" w:cs="Comic Sans MS"/>
                <w:color w:val="000000"/>
                <w:sz w:val="16"/>
                <w:szCs w:val="16"/>
              </w:rPr>
              <w:t>or in relation to capacity.</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6</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Consultation with others</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Details of who has been consulted, their relationship to the person and their views on the person’s capacity.</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7</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Outcome of assessment of capacity</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On the balance of probabilities, is the outcome of the assessment that the person has capacity to make the decision or not?</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Record the reason for this decision, weighing all the evidence in balance.</w:t>
            </w:r>
          </w:p>
        </w:tc>
      </w:tr>
      <w:tr w:rsidR="00E62D55">
        <w:tc>
          <w:tcPr>
            <w:tcW w:w="567"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8</w:t>
            </w:r>
          </w:p>
        </w:tc>
        <w:tc>
          <w:tcPr>
            <w:tcW w:w="9781" w:type="dxa"/>
            <w:gridSpan w:val="2"/>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Involvement of the Independent Mental Capacity Advocate (IMCA) (Chapter 10 of code of practice)</w:t>
            </w:r>
          </w:p>
        </w:tc>
      </w:tr>
      <w:tr w:rsidR="00E62D55">
        <w:tc>
          <w:tcPr>
            <w:tcW w:w="7088" w:type="dxa"/>
            <w:gridSpan w:val="2"/>
          </w:tcPr>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tc>
        <w:tc>
          <w:tcPr>
            <w:tcW w:w="3260" w:type="dxa"/>
          </w:tcPr>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The IMCA </w:t>
            </w:r>
            <w:r>
              <w:rPr>
                <w:rFonts w:ascii="Comic Sans MS" w:eastAsia="Comic Sans MS" w:hAnsi="Comic Sans MS" w:cs="Comic Sans MS"/>
                <w:b/>
                <w:color w:val="000000"/>
                <w:sz w:val="16"/>
                <w:szCs w:val="16"/>
              </w:rPr>
              <w:t xml:space="preserve">MUST </w:t>
            </w:r>
            <w:r>
              <w:rPr>
                <w:rFonts w:ascii="Comic Sans MS" w:eastAsia="Comic Sans MS" w:hAnsi="Comic Sans MS" w:cs="Comic Sans MS"/>
                <w:color w:val="000000"/>
                <w:sz w:val="16"/>
                <w:szCs w:val="16"/>
              </w:rPr>
              <w:t>be instructed where a person lacks capacity, has no family or friends to represent them and the decision is about serious medical treatment or t</w:t>
            </w:r>
            <w:r>
              <w:rPr>
                <w:rFonts w:ascii="Comic Sans MS" w:eastAsia="Comic Sans MS" w:hAnsi="Comic Sans MS" w:cs="Comic Sans MS"/>
                <w:color w:val="000000"/>
                <w:sz w:val="16"/>
                <w:szCs w:val="16"/>
              </w:rPr>
              <w:t>he decision is about placing the person in a hospital for more than 28 days or in a care home for more than 8 weeks.</w:t>
            </w:r>
          </w:p>
          <w:p w:rsidR="00E62D55" w:rsidRDefault="00E02299">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The IMCA may be instructed for a person who lacks capacity where there is concern about adult protection (whether or not they have family or friends) and for care reviews where there is no one else to consult and the review concerns potential change of car</w:t>
            </w:r>
            <w:r>
              <w:rPr>
                <w:rFonts w:ascii="Comic Sans MS" w:eastAsia="Comic Sans MS" w:hAnsi="Comic Sans MS" w:cs="Comic Sans MS"/>
                <w:color w:val="000000"/>
                <w:sz w:val="16"/>
                <w:szCs w:val="16"/>
              </w:rPr>
              <w:t>e home.</w:t>
            </w:r>
          </w:p>
        </w:tc>
      </w:tr>
    </w:tbl>
    <w:p w:rsidR="00E62D55" w:rsidRDefault="00E62D55">
      <w:pPr>
        <w:pStyle w:val="normal0"/>
        <w:pBdr>
          <w:top w:val="nil"/>
          <w:left w:val="nil"/>
          <w:bottom w:val="nil"/>
          <w:right w:val="nil"/>
          <w:between w:val="nil"/>
        </w:pBdr>
        <w:spacing w:before="100" w:after="100" w:line="264" w:lineRule="auto"/>
        <w:jc w:val="left"/>
        <w:rPr>
          <w:rFonts w:ascii="Comic Sans MS" w:eastAsia="Comic Sans MS" w:hAnsi="Comic Sans MS" w:cs="Comic Sans MS"/>
          <w:color w:val="000000"/>
          <w:sz w:val="20"/>
          <w:szCs w:val="20"/>
        </w:rPr>
      </w:pPr>
    </w:p>
    <w:sectPr w:rsidR="00E62D55" w:rsidSect="00E62D55">
      <w:footerReference w:type="default" r:id="rId6"/>
      <w:pgSz w:w="11907" w:h="16840"/>
      <w:pgMar w:top="963" w:right="1418" w:bottom="993" w:left="1418"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D55" w:rsidRDefault="00E62D55" w:rsidP="00E62D55">
      <w:r>
        <w:separator/>
      </w:r>
    </w:p>
  </w:endnote>
  <w:endnote w:type="continuationSeparator" w:id="0">
    <w:p w:rsidR="00E62D55" w:rsidRDefault="00E62D55" w:rsidP="00E62D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D55" w:rsidRDefault="00E02299">
    <w:pPr>
      <w:pStyle w:val="normal0"/>
      <w:tabs>
        <w:tab w:val="center" w:pos="4154"/>
        <w:tab w:val="right" w:pos="8309"/>
      </w:tabs>
      <w:rPr>
        <w:rFonts w:ascii="Comic Sans MS" w:eastAsia="Comic Sans MS" w:hAnsi="Comic Sans MS" w:cs="Comic Sans MS"/>
        <w:color w:val="3366FF"/>
        <w:sz w:val="20"/>
        <w:szCs w:val="20"/>
      </w:rPr>
    </w:pPr>
    <w:r>
      <w:rPr>
        <w:rFonts w:ascii="Comic Sans MS" w:eastAsia="Comic Sans MS" w:hAnsi="Comic Sans MS" w:cs="Comic Sans MS"/>
        <w:color w:val="3366FF"/>
        <w:sz w:val="20"/>
        <w:szCs w:val="20"/>
      </w:rPr>
      <w:t xml:space="preserve">Page </w:t>
    </w:r>
    <w:r w:rsidR="00E62D55">
      <w:rPr>
        <w:rFonts w:ascii="Comic Sans MS" w:eastAsia="Comic Sans MS" w:hAnsi="Comic Sans MS" w:cs="Comic Sans MS"/>
        <w:color w:val="3366FF"/>
        <w:sz w:val="20"/>
        <w:szCs w:val="20"/>
      </w:rPr>
      <w:fldChar w:fldCharType="begin"/>
    </w:r>
    <w:r>
      <w:rPr>
        <w:rFonts w:ascii="Comic Sans MS" w:eastAsia="Comic Sans MS" w:hAnsi="Comic Sans MS" w:cs="Comic Sans MS"/>
        <w:color w:val="3366FF"/>
        <w:sz w:val="20"/>
        <w:szCs w:val="20"/>
      </w:rPr>
      <w:instrText>PAGE</w:instrText>
    </w:r>
    <w:r w:rsidR="000D513A">
      <w:rPr>
        <w:rFonts w:ascii="Comic Sans MS" w:eastAsia="Comic Sans MS" w:hAnsi="Comic Sans MS" w:cs="Comic Sans MS"/>
        <w:color w:val="3366FF"/>
        <w:sz w:val="20"/>
        <w:szCs w:val="20"/>
      </w:rPr>
      <w:fldChar w:fldCharType="separate"/>
    </w:r>
    <w:r>
      <w:rPr>
        <w:rFonts w:ascii="Comic Sans MS" w:eastAsia="Comic Sans MS" w:hAnsi="Comic Sans MS" w:cs="Comic Sans MS"/>
        <w:noProof/>
        <w:color w:val="3366FF"/>
        <w:sz w:val="20"/>
        <w:szCs w:val="20"/>
      </w:rPr>
      <w:t>1</w:t>
    </w:r>
    <w:r w:rsidR="00E62D55">
      <w:rPr>
        <w:rFonts w:ascii="Comic Sans MS" w:eastAsia="Comic Sans MS" w:hAnsi="Comic Sans MS" w:cs="Comic Sans MS"/>
        <w:color w:val="3366FF"/>
        <w:sz w:val="20"/>
        <w:szCs w:val="20"/>
      </w:rPr>
      <w:fldChar w:fldCharType="end"/>
    </w:r>
    <w:r>
      <w:rPr>
        <w:rFonts w:ascii="Comic Sans MS" w:eastAsia="Comic Sans MS" w:hAnsi="Comic Sans MS" w:cs="Comic Sans MS"/>
        <w:color w:val="3366FF"/>
        <w:sz w:val="20"/>
        <w:szCs w:val="20"/>
      </w:rPr>
      <w:t xml:space="preserve"> of </w:t>
    </w:r>
    <w:r w:rsidR="00E62D55">
      <w:rPr>
        <w:rFonts w:ascii="Comic Sans MS" w:eastAsia="Comic Sans MS" w:hAnsi="Comic Sans MS" w:cs="Comic Sans MS"/>
        <w:color w:val="3366FF"/>
        <w:sz w:val="20"/>
        <w:szCs w:val="20"/>
      </w:rPr>
      <w:fldChar w:fldCharType="begin"/>
    </w:r>
    <w:r>
      <w:rPr>
        <w:rFonts w:ascii="Comic Sans MS" w:eastAsia="Comic Sans MS" w:hAnsi="Comic Sans MS" w:cs="Comic Sans MS"/>
        <w:color w:val="3366FF"/>
        <w:sz w:val="20"/>
        <w:szCs w:val="20"/>
      </w:rPr>
      <w:instrText>NUMPAGES</w:instrText>
    </w:r>
    <w:r w:rsidR="000D513A">
      <w:rPr>
        <w:rFonts w:ascii="Comic Sans MS" w:eastAsia="Comic Sans MS" w:hAnsi="Comic Sans MS" w:cs="Comic Sans MS"/>
        <w:color w:val="3366FF"/>
        <w:sz w:val="20"/>
        <w:szCs w:val="20"/>
      </w:rPr>
      <w:fldChar w:fldCharType="separate"/>
    </w:r>
    <w:r>
      <w:rPr>
        <w:rFonts w:ascii="Comic Sans MS" w:eastAsia="Comic Sans MS" w:hAnsi="Comic Sans MS" w:cs="Comic Sans MS"/>
        <w:noProof/>
        <w:color w:val="3366FF"/>
        <w:sz w:val="20"/>
        <w:szCs w:val="20"/>
      </w:rPr>
      <w:t>3</w:t>
    </w:r>
    <w:r w:rsidR="00E62D55">
      <w:rPr>
        <w:rFonts w:ascii="Comic Sans MS" w:eastAsia="Comic Sans MS" w:hAnsi="Comic Sans MS" w:cs="Comic Sans MS"/>
        <w:color w:val="3366FF"/>
        <w:sz w:val="20"/>
        <w:szCs w:val="20"/>
      </w:rPr>
      <w:fldChar w:fldCharType="end"/>
    </w:r>
  </w:p>
  <w:p w:rsidR="00E62D55" w:rsidRDefault="00E02299">
    <w:pPr>
      <w:pStyle w:val="normal0"/>
      <w:tabs>
        <w:tab w:val="center" w:pos="4154"/>
        <w:tab w:val="right" w:pos="8309"/>
      </w:tabs>
      <w:spacing w:after="183"/>
      <w:rPr>
        <w:rFonts w:ascii="Comic Sans MS" w:eastAsia="Comic Sans MS" w:hAnsi="Comic Sans MS" w:cs="Comic Sans MS"/>
        <w:color w:val="3366FF"/>
        <w:sz w:val="28"/>
        <w:szCs w:val="28"/>
      </w:rPr>
    </w:pPr>
    <w:r>
      <w:rPr>
        <w:rFonts w:ascii="Comic Sans MS" w:eastAsia="Comic Sans MS" w:hAnsi="Comic Sans MS" w:cs="Comic Sans MS"/>
        <w:color w:val="3366FF"/>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D55" w:rsidRDefault="00E62D55" w:rsidP="00E62D55">
      <w:r>
        <w:separator/>
      </w:r>
    </w:p>
  </w:footnote>
  <w:footnote w:type="continuationSeparator" w:id="0">
    <w:p w:rsidR="00E62D55" w:rsidRDefault="00E62D55" w:rsidP="00E62D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E62D55"/>
    <w:rsid w:val="000D513A"/>
    <w:rsid w:val="00E02299"/>
    <w:rsid w:val="00E62D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GB" w:eastAsia="en-GB"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62D55"/>
    <w:pPr>
      <w:keepNext/>
      <w:pBdr>
        <w:top w:val="nil"/>
        <w:left w:val="nil"/>
        <w:bottom w:val="nil"/>
        <w:right w:val="nil"/>
        <w:between w:val="nil"/>
      </w:pBdr>
      <w:jc w:val="center"/>
      <w:outlineLvl w:val="0"/>
    </w:pPr>
    <w:rPr>
      <w:rFonts w:ascii="Verdana" w:eastAsia="Verdana" w:hAnsi="Verdana" w:cs="Verdana"/>
      <w:b/>
      <w:color w:val="000000"/>
      <w:sz w:val="28"/>
      <w:szCs w:val="28"/>
    </w:rPr>
  </w:style>
  <w:style w:type="paragraph" w:styleId="Heading2">
    <w:name w:val="heading 2"/>
    <w:basedOn w:val="normal0"/>
    <w:next w:val="normal0"/>
    <w:rsid w:val="00E62D55"/>
    <w:pPr>
      <w:keepNext/>
      <w:pBdr>
        <w:top w:val="nil"/>
        <w:left w:val="nil"/>
        <w:bottom w:val="nil"/>
        <w:right w:val="nil"/>
        <w:between w:val="nil"/>
      </w:pBdr>
      <w:spacing w:before="240" w:after="60"/>
      <w:outlineLvl w:val="1"/>
    </w:pPr>
    <w:rPr>
      <w:b/>
      <w:i/>
      <w:color w:val="000000"/>
    </w:rPr>
  </w:style>
  <w:style w:type="paragraph" w:styleId="Heading3">
    <w:name w:val="heading 3"/>
    <w:basedOn w:val="normal0"/>
    <w:next w:val="normal0"/>
    <w:rsid w:val="00E62D55"/>
    <w:pPr>
      <w:keepNext/>
      <w:pBdr>
        <w:top w:val="nil"/>
        <w:left w:val="nil"/>
        <w:bottom w:val="nil"/>
        <w:right w:val="nil"/>
        <w:between w:val="nil"/>
      </w:pBdr>
      <w:outlineLvl w:val="2"/>
    </w:pPr>
    <w:rPr>
      <w:rFonts w:ascii="Verdana" w:eastAsia="Verdana" w:hAnsi="Verdana" w:cs="Verdana"/>
      <w:b/>
      <w:color w:val="000000"/>
      <w:sz w:val="32"/>
      <w:szCs w:val="32"/>
    </w:rPr>
  </w:style>
  <w:style w:type="paragraph" w:styleId="Heading4">
    <w:name w:val="heading 4"/>
    <w:basedOn w:val="normal0"/>
    <w:next w:val="normal0"/>
    <w:rsid w:val="00E62D55"/>
    <w:pPr>
      <w:keepNext/>
      <w:keepLines/>
      <w:spacing w:before="240" w:after="40"/>
      <w:outlineLvl w:val="3"/>
    </w:pPr>
    <w:rPr>
      <w:b/>
    </w:rPr>
  </w:style>
  <w:style w:type="paragraph" w:styleId="Heading5">
    <w:name w:val="heading 5"/>
    <w:basedOn w:val="normal0"/>
    <w:next w:val="normal0"/>
    <w:rsid w:val="00E62D55"/>
    <w:pPr>
      <w:keepNext/>
      <w:keepLines/>
      <w:spacing w:before="220" w:after="40"/>
      <w:outlineLvl w:val="4"/>
    </w:pPr>
    <w:rPr>
      <w:b/>
      <w:sz w:val="22"/>
      <w:szCs w:val="22"/>
    </w:rPr>
  </w:style>
  <w:style w:type="paragraph" w:styleId="Heading6">
    <w:name w:val="heading 6"/>
    <w:basedOn w:val="normal0"/>
    <w:next w:val="normal0"/>
    <w:rsid w:val="00E62D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62D55"/>
  </w:style>
  <w:style w:type="paragraph" w:styleId="Title">
    <w:name w:val="Title"/>
    <w:basedOn w:val="normal0"/>
    <w:next w:val="normal0"/>
    <w:rsid w:val="00E62D55"/>
    <w:pPr>
      <w:keepNext/>
      <w:keepLines/>
      <w:spacing w:before="480" w:after="120"/>
    </w:pPr>
    <w:rPr>
      <w:b/>
      <w:sz w:val="72"/>
      <w:szCs w:val="72"/>
    </w:rPr>
  </w:style>
  <w:style w:type="paragraph" w:styleId="Subtitle">
    <w:name w:val="Subtitle"/>
    <w:basedOn w:val="normal0"/>
    <w:next w:val="normal0"/>
    <w:rsid w:val="00E62D55"/>
    <w:pPr>
      <w:keepNext/>
      <w:keepLines/>
      <w:spacing w:before="360" w:after="80"/>
    </w:pPr>
    <w:rPr>
      <w:rFonts w:ascii="Georgia" w:eastAsia="Georgia" w:hAnsi="Georgia" w:cs="Georgia"/>
      <w:i/>
      <w:color w:val="666666"/>
      <w:sz w:val="48"/>
      <w:szCs w:val="48"/>
    </w:rPr>
  </w:style>
  <w:style w:type="table" w:customStyle="1" w:styleId="a">
    <w:basedOn w:val="TableNormal"/>
    <w:rsid w:val="00E62D5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E02299"/>
    <w:pPr>
      <w:tabs>
        <w:tab w:val="center" w:pos="4513"/>
        <w:tab w:val="right" w:pos="9026"/>
      </w:tabs>
    </w:pPr>
  </w:style>
  <w:style w:type="character" w:customStyle="1" w:styleId="HeaderChar">
    <w:name w:val="Header Char"/>
    <w:basedOn w:val="DefaultParagraphFont"/>
    <w:link w:val="Header"/>
    <w:uiPriority w:val="99"/>
    <w:semiHidden/>
    <w:rsid w:val="00E02299"/>
  </w:style>
  <w:style w:type="paragraph" w:styleId="Footer">
    <w:name w:val="footer"/>
    <w:basedOn w:val="Normal"/>
    <w:link w:val="FooterChar"/>
    <w:uiPriority w:val="99"/>
    <w:semiHidden/>
    <w:unhideWhenUsed/>
    <w:rsid w:val="00E02299"/>
    <w:pPr>
      <w:tabs>
        <w:tab w:val="center" w:pos="4513"/>
        <w:tab w:val="right" w:pos="9026"/>
      </w:tabs>
    </w:pPr>
  </w:style>
  <w:style w:type="character" w:customStyle="1" w:styleId="FooterChar">
    <w:name w:val="Footer Char"/>
    <w:basedOn w:val="DefaultParagraphFont"/>
    <w:link w:val="Footer"/>
    <w:uiPriority w:val="99"/>
    <w:semiHidden/>
    <w:rsid w:val="00E022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2899</Characters>
  <Application>Microsoft Office Word</Application>
  <DocSecurity>0</DocSecurity>
  <Lines>24</Lines>
  <Paragraphs>6</Paragraphs>
  <ScaleCrop>false</ScaleCrop>
  <Company>London Borough of Hillingdon</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3</cp:revision>
  <dcterms:created xsi:type="dcterms:W3CDTF">2019-03-13T16:07:00Z</dcterms:created>
  <dcterms:modified xsi:type="dcterms:W3CDTF">2019-03-13T16:08:00Z</dcterms:modified>
</cp:coreProperties>
</file>