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1559" w:rsidRDefault="00D81B60">
      <w:pPr>
        <w:pStyle w:val="normal0"/>
        <w:spacing w:after="0" w:line="240" w:lineRule="auto"/>
        <w:rPr>
          <w:rFonts w:ascii="Tahoma" w:eastAsia="Tahoma" w:hAnsi="Tahoma" w:cs="Tahoma"/>
          <w:color w:val="000000"/>
          <w:sz w:val="32"/>
          <w:szCs w:val="32"/>
        </w:rPr>
      </w:pPr>
      <w:r>
        <w:rPr>
          <w:rFonts w:ascii="Tahoma" w:eastAsia="Tahoma" w:hAnsi="Tahoma" w:cs="Tahoma"/>
          <w:b/>
          <w:i/>
          <w:color w:val="000000"/>
          <w:sz w:val="32"/>
          <w:szCs w:val="32"/>
        </w:rPr>
        <w:t xml:space="preserve">What is best </w:t>
      </w:r>
      <w:proofErr w:type="gramStart"/>
      <w:r>
        <w:rPr>
          <w:rFonts w:ascii="Tahoma" w:eastAsia="Tahoma" w:hAnsi="Tahoma" w:cs="Tahoma"/>
          <w:b/>
          <w:i/>
          <w:color w:val="000000"/>
          <w:sz w:val="32"/>
          <w:szCs w:val="32"/>
        </w:rPr>
        <w:t>interests</w:t>
      </w:r>
      <w:proofErr w:type="gramEnd"/>
      <w:r>
        <w:rPr>
          <w:rFonts w:ascii="Tahoma" w:eastAsia="Tahoma" w:hAnsi="Tahoma" w:cs="Tahoma"/>
          <w:b/>
          <w:i/>
          <w:color w:val="000000"/>
          <w:sz w:val="32"/>
          <w:szCs w:val="32"/>
        </w:rPr>
        <w:t xml:space="preserve"> decision making?</w:t>
      </w:r>
    </w:p>
    <w:p w:rsidR="002B1559" w:rsidRDefault="002B1559">
      <w:pPr>
        <w:pStyle w:val="normal0"/>
        <w:spacing w:after="0" w:line="240" w:lineRule="auto"/>
        <w:rPr>
          <w:rFonts w:ascii="Tahoma" w:eastAsia="Tahoma" w:hAnsi="Tahoma" w:cs="Tahoma"/>
          <w:color w:val="000000"/>
          <w:sz w:val="32"/>
          <w:szCs w:val="32"/>
        </w:rPr>
      </w:pP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The Mental Capacity Act (MCA) states that if a person lacks mental capacity to make a particular decision then whoever is making that decision or taking any action on that person’s behalf must do this in the person’s best interests. This is one of the prin</w:t>
      </w:r>
      <w:r>
        <w:rPr>
          <w:rFonts w:ascii="Tahoma" w:eastAsia="Tahoma" w:hAnsi="Tahoma" w:cs="Tahoma"/>
          <w:color w:val="000000"/>
          <w:sz w:val="26"/>
          <w:szCs w:val="26"/>
        </w:rPr>
        <w:t>ciples of the MCA.</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xml:space="preserve">A lack of capacity must have been established as a result of assessing the person’s capacity in accordance with the MCA and its Code of Practice. To find </w:t>
      </w:r>
      <w:proofErr w:type="spellStart"/>
      <w:r>
        <w:rPr>
          <w:rFonts w:ascii="Tahoma" w:eastAsia="Tahoma" w:hAnsi="Tahoma" w:cs="Tahoma"/>
          <w:color w:val="000000"/>
          <w:sz w:val="26"/>
          <w:szCs w:val="26"/>
        </w:rPr>
        <w:t>our</w:t>
      </w:r>
      <w:proofErr w:type="spellEnd"/>
      <w:r>
        <w:rPr>
          <w:rFonts w:ascii="Tahoma" w:eastAsia="Tahoma" w:hAnsi="Tahoma" w:cs="Tahoma"/>
          <w:color w:val="000000"/>
          <w:sz w:val="26"/>
          <w:szCs w:val="26"/>
        </w:rPr>
        <w:t xml:space="preserve"> more about assessing mental capacity visit </w:t>
      </w:r>
      <w:proofErr w:type="gramStart"/>
      <w:r>
        <w:rPr>
          <w:rFonts w:ascii="Tahoma" w:eastAsia="Tahoma" w:hAnsi="Tahoma" w:cs="Tahoma"/>
          <w:color w:val="000000"/>
          <w:sz w:val="26"/>
          <w:szCs w:val="26"/>
        </w:rPr>
        <w:t>our </w:t>
      </w:r>
      <w:hyperlink r:id="rId5">
        <w:r>
          <w:rPr>
            <w:rFonts w:ascii="Tahoma" w:eastAsia="Tahoma" w:hAnsi="Tahoma" w:cs="Tahoma"/>
            <w:color w:val="00494A"/>
            <w:sz w:val="26"/>
            <w:szCs w:val="26"/>
          </w:rPr>
          <w:t>what</w:t>
        </w:r>
        <w:proofErr w:type="gramEnd"/>
        <w:r>
          <w:rPr>
            <w:rFonts w:ascii="Tahoma" w:eastAsia="Tahoma" w:hAnsi="Tahoma" w:cs="Tahoma"/>
            <w:color w:val="00494A"/>
            <w:sz w:val="26"/>
            <w:szCs w:val="26"/>
          </w:rPr>
          <w:t xml:space="preserve"> is mental capacity?</w:t>
        </w:r>
      </w:hyperlink>
      <w:r>
        <w:rPr>
          <w:rFonts w:ascii="Tahoma" w:eastAsia="Tahoma" w:hAnsi="Tahoma" w:cs="Tahoma"/>
          <w:color w:val="000000"/>
          <w:sz w:val="26"/>
          <w:szCs w:val="26"/>
        </w:rPr>
        <w:t> </w:t>
      </w:r>
      <w:proofErr w:type="gramStart"/>
      <w:r>
        <w:rPr>
          <w:rFonts w:ascii="Tahoma" w:eastAsia="Tahoma" w:hAnsi="Tahoma" w:cs="Tahoma"/>
          <w:color w:val="000000"/>
          <w:sz w:val="26"/>
          <w:szCs w:val="26"/>
        </w:rPr>
        <w:t>pages</w:t>
      </w:r>
      <w:proofErr w:type="gramEnd"/>
      <w:r>
        <w:rPr>
          <w:rFonts w:ascii="Tahoma" w:eastAsia="Tahoma" w:hAnsi="Tahoma" w:cs="Tahoma"/>
          <w:color w:val="000000"/>
          <w:sz w:val="26"/>
          <w:szCs w:val="26"/>
        </w:rPr>
        <w:t>.</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The person who has to make the decision is known as the ‘decision-maker’ and normally will be the carer responsible for the day to day care (including both care staff, relatives or</w:t>
      </w:r>
      <w:r>
        <w:rPr>
          <w:rFonts w:ascii="Tahoma" w:eastAsia="Tahoma" w:hAnsi="Tahoma" w:cs="Tahoma"/>
          <w:color w:val="000000"/>
          <w:sz w:val="26"/>
          <w:szCs w:val="26"/>
        </w:rPr>
        <w:t xml:space="preserve"> friends), or a professional such as a doctor, nurse or social worker where decisions about treatment, care arrangements or accommodation have to be made.</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If the person has appointed someone (called an ‘attorney’) by making a Lasting Power of Attorney (LPA</w:t>
      </w:r>
      <w:r>
        <w:rPr>
          <w:rFonts w:ascii="Tahoma" w:eastAsia="Tahoma" w:hAnsi="Tahoma" w:cs="Tahoma"/>
          <w:color w:val="000000"/>
          <w:sz w:val="26"/>
          <w:szCs w:val="26"/>
        </w:rPr>
        <w:t>) or an Enduring Power of Attorney (EPA – predecessors to LPAs) to make decisions on their behalf then that attorney must also make decisions in the person’s best interests where they have the authority to do so and the person lacks capacity. If a person h</w:t>
      </w:r>
      <w:r>
        <w:rPr>
          <w:rFonts w:ascii="Tahoma" w:eastAsia="Tahoma" w:hAnsi="Tahoma" w:cs="Tahoma"/>
          <w:color w:val="000000"/>
          <w:sz w:val="26"/>
          <w:szCs w:val="26"/>
        </w:rPr>
        <w:t>as a ‘deputy’ appointed by the Court of Protection then they must make decisions in the person’s best interests where they have the authority to do so and the person lacks capacity.</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Decisions about a person’s property or their financial matters must be i</w:t>
      </w:r>
      <w:r>
        <w:rPr>
          <w:rFonts w:ascii="Tahoma" w:eastAsia="Tahoma" w:hAnsi="Tahoma" w:cs="Tahoma"/>
          <w:color w:val="000000"/>
          <w:sz w:val="26"/>
          <w:szCs w:val="26"/>
        </w:rPr>
        <w:t>n the person’s best interests but can only be made by an attorney appointed under an LPA or EPA, a court-appointed deputy, or the Court of Protection itself.</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Certain decisions must never be made on behalf of a person who lacks capacity. These are called ‘e</w:t>
      </w:r>
      <w:r>
        <w:rPr>
          <w:rFonts w:ascii="Tahoma" w:eastAsia="Tahoma" w:hAnsi="Tahoma" w:cs="Tahoma"/>
          <w:color w:val="000000"/>
          <w:sz w:val="26"/>
          <w:szCs w:val="26"/>
        </w:rPr>
        <w:t xml:space="preserve">xcluded decisions’ and more can be found out about these on </w:t>
      </w:r>
      <w:proofErr w:type="gramStart"/>
      <w:r>
        <w:rPr>
          <w:rFonts w:ascii="Tahoma" w:eastAsia="Tahoma" w:hAnsi="Tahoma" w:cs="Tahoma"/>
          <w:color w:val="000000"/>
          <w:sz w:val="26"/>
          <w:szCs w:val="26"/>
        </w:rPr>
        <w:t>our </w:t>
      </w:r>
      <w:hyperlink r:id="rId6">
        <w:r>
          <w:rPr>
            <w:rFonts w:ascii="Tahoma" w:eastAsia="Tahoma" w:hAnsi="Tahoma" w:cs="Tahoma"/>
            <w:color w:val="00494A"/>
            <w:sz w:val="26"/>
            <w:szCs w:val="26"/>
          </w:rPr>
          <w:t>what</w:t>
        </w:r>
        <w:proofErr w:type="gramEnd"/>
        <w:r>
          <w:rPr>
            <w:rFonts w:ascii="Tahoma" w:eastAsia="Tahoma" w:hAnsi="Tahoma" w:cs="Tahoma"/>
            <w:color w:val="00494A"/>
            <w:sz w:val="26"/>
            <w:szCs w:val="26"/>
          </w:rPr>
          <w:t xml:space="preserve"> are excluded decisions?</w:t>
        </w:r>
      </w:hyperlink>
      <w:r>
        <w:rPr>
          <w:rFonts w:ascii="Tahoma" w:eastAsia="Tahoma" w:hAnsi="Tahoma" w:cs="Tahoma"/>
          <w:color w:val="000000"/>
          <w:sz w:val="26"/>
          <w:szCs w:val="26"/>
        </w:rPr>
        <w:t> </w:t>
      </w:r>
      <w:proofErr w:type="gramStart"/>
      <w:r>
        <w:rPr>
          <w:rFonts w:ascii="Tahoma" w:eastAsia="Tahoma" w:hAnsi="Tahoma" w:cs="Tahoma"/>
          <w:color w:val="000000"/>
          <w:sz w:val="26"/>
          <w:szCs w:val="26"/>
        </w:rPr>
        <w:t>pages</w:t>
      </w:r>
      <w:proofErr w:type="gramEnd"/>
      <w:r>
        <w:rPr>
          <w:rFonts w:ascii="Tahoma" w:eastAsia="Tahoma" w:hAnsi="Tahoma" w:cs="Tahoma"/>
          <w:color w:val="000000"/>
          <w:sz w:val="26"/>
          <w:szCs w:val="26"/>
        </w:rPr>
        <w:t>.</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If a person has a valid and applicable advance decision to refuse treatment then that</w:t>
      </w:r>
      <w:r>
        <w:rPr>
          <w:rFonts w:ascii="Tahoma" w:eastAsia="Tahoma" w:hAnsi="Tahoma" w:cs="Tahoma"/>
          <w:color w:val="000000"/>
          <w:sz w:val="26"/>
          <w:szCs w:val="26"/>
        </w:rPr>
        <w:t xml:space="preserve"> decision must be respected even if it may not appear to be in the person’s best interests. The MCA Code of Practice has more information about this (Chapter 9). </w:t>
      </w: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If a person who lacks capacity needs to be kept in a care home or hospital because it is in t</w:t>
      </w:r>
      <w:r>
        <w:rPr>
          <w:rFonts w:ascii="Tahoma" w:eastAsia="Tahoma" w:hAnsi="Tahoma" w:cs="Tahoma"/>
          <w:color w:val="000000"/>
          <w:sz w:val="26"/>
          <w:szCs w:val="26"/>
        </w:rPr>
        <w:t>heir best interests then additional safeguards may apply. These are called the Deprivation of Liberty Safeguards (</w:t>
      </w:r>
      <w:proofErr w:type="spellStart"/>
      <w:r>
        <w:rPr>
          <w:rFonts w:ascii="Tahoma" w:eastAsia="Tahoma" w:hAnsi="Tahoma" w:cs="Tahoma"/>
          <w:color w:val="000000"/>
          <w:sz w:val="26"/>
          <w:szCs w:val="26"/>
        </w:rPr>
        <w:t>DoLS</w:t>
      </w:r>
      <w:proofErr w:type="spellEnd"/>
      <w:r>
        <w:rPr>
          <w:rFonts w:ascii="Tahoma" w:eastAsia="Tahoma" w:hAnsi="Tahoma" w:cs="Tahoma"/>
          <w:color w:val="000000"/>
          <w:sz w:val="26"/>
          <w:szCs w:val="26"/>
        </w:rPr>
        <w:t>) and there is additional guidance about them in a separate Code of Practice (Deprivation of liberty safeguards - Code of Practice to supp</w:t>
      </w:r>
      <w:r>
        <w:rPr>
          <w:rFonts w:ascii="Tahoma" w:eastAsia="Tahoma" w:hAnsi="Tahoma" w:cs="Tahoma"/>
          <w:color w:val="000000"/>
          <w:sz w:val="26"/>
          <w:szCs w:val="26"/>
        </w:rPr>
        <w:t>lement the main Mental Capacity Act 2005 Code of Practice – 2008). </w:t>
      </w: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 xml:space="preserve">Best </w:t>
      </w:r>
      <w:proofErr w:type="gramStart"/>
      <w:r>
        <w:rPr>
          <w:rFonts w:ascii="Tahoma" w:eastAsia="Tahoma" w:hAnsi="Tahoma" w:cs="Tahoma"/>
          <w:color w:val="000000"/>
          <w:sz w:val="26"/>
          <w:szCs w:val="26"/>
        </w:rPr>
        <w:t>interests</w:t>
      </w:r>
      <w:proofErr w:type="gramEnd"/>
      <w:r>
        <w:rPr>
          <w:rFonts w:ascii="Tahoma" w:eastAsia="Tahoma" w:hAnsi="Tahoma" w:cs="Tahoma"/>
          <w:color w:val="000000"/>
          <w:sz w:val="26"/>
          <w:szCs w:val="26"/>
        </w:rPr>
        <w:t xml:space="preserve"> decisions do not apply when considering the involvement of someone who lacks capacity in research. This involves a different process and criteria. The MCA Code of Practice h</w:t>
      </w:r>
      <w:r>
        <w:rPr>
          <w:rFonts w:ascii="Tahoma" w:eastAsia="Tahoma" w:hAnsi="Tahoma" w:cs="Tahoma"/>
          <w:color w:val="000000"/>
          <w:sz w:val="26"/>
          <w:szCs w:val="26"/>
        </w:rPr>
        <w:t>as more information on this (Chapter 11). </w:t>
      </w:r>
    </w:p>
    <w:p w:rsidR="002B1559" w:rsidRDefault="002B1559">
      <w:pPr>
        <w:pStyle w:val="normal0"/>
        <w:spacing w:after="400" w:line="240" w:lineRule="auto"/>
        <w:rPr>
          <w:rFonts w:ascii="Tahoma" w:eastAsia="Tahoma" w:hAnsi="Tahoma" w:cs="Tahoma"/>
          <w:color w:val="000000"/>
          <w:sz w:val="26"/>
          <w:szCs w:val="26"/>
        </w:rPr>
      </w:pPr>
    </w:p>
    <w:p w:rsidR="002B1559" w:rsidRDefault="002B1559">
      <w:pPr>
        <w:pStyle w:val="normal0"/>
        <w:spacing w:after="400" w:line="240" w:lineRule="auto"/>
        <w:rPr>
          <w:rFonts w:ascii="Tahoma" w:eastAsia="Tahoma" w:hAnsi="Tahoma" w:cs="Tahoma"/>
          <w:color w:val="000000"/>
          <w:sz w:val="26"/>
          <w:szCs w:val="26"/>
        </w:rPr>
      </w:pPr>
    </w:p>
    <w:p w:rsidR="002B1559" w:rsidRDefault="00D81B60">
      <w:pPr>
        <w:pStyle w:val="normal0"/>
        <w:spacing w:after="0" w:line="240" w:lineRule="auto"/>
        <w:rPr>
          <w:rFonts w:ascii="Tahoma" w:eastAsia="Tahoma" w:hAnsi="Tahoma" w:cs="Tahoma"/>
          <w:color w:val="000000"/>
          <w:sz w:val="32"/>
          <w:szCs w:val="32"/>
        </w:rPr>
      </w:pPr>
      <w:r>
        <w:rPr>
          <w:rFonts w:ascii="Tahoma" w:eastAsia="Tahoma" w:hAnsi="Tahoma" w:cs="Tahoma"/>
          <w:b/>
          <w:i/>
          <w:color w:val="000000"/>
          <w:sz w:val="32"/>
          <w:szCs w:val="32"/>
        </w:rPr>
        <w:lastRenderedPageBreak/>
        <w:t>What is 'best interests'?</w:t>
      </w:r>
    </w:p>
    <w:p w:rsidR="002B1559" w:rsidRDefault="002B1559">
      <w:pPr>
        <w:pStyle w:val="normal0"/>
        <w:spacing w:after="0" w:line="240" w:lineRule="auto"/>
        <w:rPr>
          <w:rFonts w:ascii="Tahoma" w:eastAsia="Tahoma" w:hAnsi="Tahoma" w:cs="Tahoma"/>
          <w:color w:val="000000"/>
          <w:sz w:val="32"/>
          <w:szCs w:val="32"/>
        </w:rPr>
      </w:pP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The law gives a checklist of key factors which decision makers must consider when working out what is in the best interests of a person who lacks capacity. This list is not exhaustive</w:t>
      </w:r>
      <w:r>
        <w:rPr>
          <w:rFonts w:ascii="Tahoma" w:eastAsia="Tahoma" w:hAnsi="Tahoma" w:cs="Tahoma"/>
          <w:color w:val="000000"/>
          <w:sz w:val="26"/>
          <w:szCs w:val="26"/>
        </w:rPr>
        <w:t xml:space="preserve"> and you should refer to the Code of Practice for more details. </w:t>
      </w:r>
    </w:p>
    <w:p w:rsidR="002B1559" w:rsidRDefault="002B1559">
      <w:pPr>
        <w:pStyle w:val="normal0"/>
        <w:spacing w:after="0" w:line="240" w:lineRule="auto"/>
        <w:rPr>
          <w:rFonts w:ascii="Tahoma" w:eastAsia="Tahoma" w:hAnsi="Tahoma" w:cs="Tahoma"/>
          <w:color w:val="000000"/>
          <w:sz w:val="26"/>
          <w:szCs w:val="26"/>
        </w:rPr>
      </w:pPr>
    </w:p>
    <w:p w:rsidR="002B1559" w:rsidRDefault="00D81B60">
      <w:pPr>
        <w:pStyle w:val="normal0"/>
        <w:numPr>
          <w:ilvl w:val="0"/>
          <w:numId w:val="3"/>
        </w:numPr>
        <w:spacing w:after="0" w:line="240" w:lineRule="auto"/>
        <w:ind w:left="800"/>
        <w:rPr>
          <w:color w:val="000000"/>
        </w:rPr>
      </w:pPr>
      <w:r>
        <w:rPr>
          <w:rFonts w:ascii="Tahoma" w:eastAsia="Tahoma" w:hAnsi="Tahoma" w:cs="Tahoma"/>
          <w:color w:val="000000"/>
          <w:sz w:val="26"/>
          <w:szCs w:val="26"/>
        </w:rPr>
        <w:t>It is important not to make assumptions about someone’s best interests merely on the basis of the person’s age or appearance, condition or any aspect of their behaviour.</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numPr>
          <w:ilvl w:val="0"/>
          <w:numId w:val="3"/>
        </w:numPr>
        <w:spacing w:after="0" w:line="240" w:lineRule="auto"/>
        <w:ind w:left="800"/>
        <w:rPr>
          <w:color w:val="000000"/>
        </w:rPr>
      </w:pPr>
      <w:r>
        <w:rPr>
          <w:rFonts w:ascii="Tahoma" w:eastAsia="Tahoma" w:hAnsi="Tahoma" w:cs="Tahoma"/>
          <w:color w:val="000000"/>
          <w:sz w:val="26"/>
          <w:szCs w:val="26"/>
        </w:rPr>
        <w:t>The decision-maker</w:t>
      </w:r>
      <w:r>
        <w:rPr>
          <w:rFonts w:ascii="Tahoma" w:eastAsia="Tahoma" w:hAnsi="Tahoma" w:cs="Tahoma"/>
          <w:color w:val="000000"/>
          <w:sz w:val="26"/>
          <w:szCs w:val="26"/>
        </w:rPr>
        <w:t xml:space="preserve"> must consider all the relevant circumstances relating to the decision in question.</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numPr>
          <w:ilvl w:val="0"/>
          <w:numId w:val="3"/>
        </w:numPr>
        <w:spacing w:after="0" w:line="240" w:lineRule="auto"/>
        <w:ind w:left="800"/>
        <w:rPr>
          <w:color w:val="000000"/>
        </w:rPr>
      </w:pPr>
      <w:r>
        <w:rPr>
          <w:rFonts w:ascii="Tahoma" w:eastAsia="Tahoma" w:hAnsi="Tahoma" w:cs="Tahoma"/>
          <w:color w:val="000000"/>
          <w:sz w:val="26"/>
          <w:szCs w:val="26"/>
        </w:rPr>
        <w:t>The decision-maker must consider whether the person is likely to regain capacity (for example, after receiving medical treatment). If so, can the decision or act wait until then?</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numPr>
          <w:ilvl w:val="0"/>
          <w:numId w:val="3"/>
        </w:numPr>
        <w:spacing w:after="0" w:line="240" w:lineRule="auto"/>
        <w:ind w:left="800"/>
        <w:rPr>
          <w:color w:val="000000"/>
        </w:rPr>
      </w:pPr>
      <w:r>
        <w:rPr>
          <w:rFonts w:ascii="Tahoma" w:eastAsia="Tahoma" w:hAnsi="Tahoma" w:cs="Tahoma"/>
          <w:color w:val="000000"/>
          <w:sz w:val="26"/>
          <w:szCs w:val="26"/>
        </w:rPr>
        <w:t>The decision-maker must involve the person as fully as possible in the decision that is being made on their behalf.</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numPr>
          <w:ilvl w:val="0"/>
          <w:numId w:val="3"/>
        </w:numPr>
        <w:spacing w:after="0" w:line="240" w:lineRule="auto"/>
        <w:ind w:left="800"/>
        <w:rPr>
          <w:color w:val="000000"/>
        </w:rPr>
      </w:pPr>
      <w:r>
        <w:rPr>
          <w:rFonts w:ascii="Tahoma" w:eastAsia="Tahoma" w:hAnsi="Tahoma" w:cs="Tahoma"/>
          <w:color w:val="000000"/>
          <w:sz w:val="26"/>
          <w:szCs w:val="26"/>
        </w:rPr>
        <w:t xml:space="preserve">If the decision concerns the provision or withdrawal of life-sustaining treatment the decision-maker must not be motivated by a desire to </w:t>
      </w:r>
      <w:r>
        <w:rPr>
          <w:rFonts w:ascii="Tahoma" w:eastAsia="Tahoma" w:hAnsi="Tahoma" w:cs="Tahoma"/>
          <w:color w:val="000000"/>
          <w:sz w:val="26"/>
          <w:szCs w:val="26"/>
        </w:rPr>
        <w:t>bring about the person’s death.</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The decision maker must in particular consider: </w:t>
      </w:r>
    </w:p>
    <w:p w:rsidR="002B1559" w:rsidRDefault="00D81B60">
      <w:pPr>
        <w:pStyle w:val="normal0"/>
        <w:numPr>
          <w:ilvl w:val="0"/>
          <w:numId w:val="4"/>
        </w:numPr>
        <w:spacing w:after="0" w:line="240" w:lineRule="auto"/>
        <w:ind w:left="800"/>
        <w:rPr>
          <w:color w:val="000000"/>
        </w:rPr>
      </w:pPr>
      <w:r>
        <w:rPr>
          <w:rFonts w:ascii="Tahoma" w:eastAsia="Tahoma" w:hAnsi="Tahoma" w:cs="Tahoma"/>
          <w:color w:val="000000"/>
          <w:sz w:val="26"/>
          <w:szCs w:val="26"/>
        </w:rPr>
        <w:t>the person’s past and present wishes and feelings(in particular if they have been written down); and</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numPr>
          <w:ilvl w:val="0"/>
          <w:numId w:val="4"/>
        </w:numPr>
        <w:spacing w:after="0" w:line="240" w:lineRule="auto"/>
        <w:ind w:left="800"/>
        <w:rPr>
          <w:color w:val="000000"/>
        </w:rPr>
      </w:pPr>
      <w:proofErr w:type="gramStart"/>
      <w:r>
        <w:rPr>
          <w:rFonts w:ascii="Tahoma" w:eastAsia="Tahoma" w:hAnsi="Tahoma" w:cs="Tahoma"/>
          <w:color w:val="000000"/>
          <w:sz w:val="26"/>
          <w:szCs w:val="26"/>
        </w:rPr>
        <w:t>any</w:t>
      </w:r>
      <w:proofErr w:type="gramEnd"/>
      <w:r>
        <w:rPr>
          <w:rFonts w:ascii="Tahoma" w:eastAsia="Tahoma" w:hAnsi="Tahoma" w:cs="Tahoma"/>
          <w:color w:val="000000"/>
          <w:sz w:val="26"/>
          <w:szCs w:val="26"/>
        </w:rPr>
        <w:t xml:space="preserve"> beliefs and values (for example, religious, cultural or moral) t</w:t>
      </w:r>
      <w:r>
        <w:rPr>
          <w:rFonts w:ascii="Tahoma" w:eastAsia="Tahoma" w:hAnsi="Tahoma" w:cs="Tahoma"/>
          <w:color w:val="000000"/>
          <w:sz w:val="26"/>
          <w:szCs w:val="26"/>
        </w:rPr>
        <w:t>hat would be likely to influence the decision in question and any other relevant factors.</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As far as possible the decision-maker must consult other people if it is appropriate to do so and take into account their views as to what would be in the best int</w:t>
      </w:r>
      <w:r>
        <w:rPr>
          <w:rFonts w:ascii="Tahoma" w:eastAsia="Tahoma" w:hAnsi="Tahoma" w:cs="Tahoma"/>
          <w:color w:val="000000"/>
          <w:sz w:val="26"/>
          <w:szCs w:val="26"/>
        </w:rPr>
        <w:t>erests of the person lacking capacity, especially: </w:t>
      </w:r>
    </w:p>
    <w:p w:rsidR="002B1559" w:rsidRDefault="00D81B60">
      <w:pPr>
        <w:pStyle w:val="normal0"/>
        <w:numPr>
          <w:ilvl w:val="0"/>
          <w:numId w:val="5"/>
        </w:numPr>
        <w:spacing w:after="0" w:line="240" w:lineRule="auto"/>
        <w:ind w:left="800"/>
        <w:rPr>
          <w:color w:val="000000"/>
        </w:rPr>
      </w:pPr>
      <w:r>
        <w:rPr>
          <w:rFonts w:ascii="Tahoma" w:eastAsia="Tahoma" w:hAnsi="Tahoma" w:cs="Tahoma"/>
          <w:color w:val="000000"/>
          <w:sz w:val="26"/>
          <w:szCs w:val="26"/>
        </w:rPr>
        <w:t>anyone previously named by the person lacking capacity as someone to be consulted;</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numPr>
          <w:ilvl w:val="0"/>
          <w:numId w:val="5"/>
        </w:numPr>
        <w:spacing w:after="0" w:line="240" w:lineRule="auto"/>
        <w:ind w:left="800"/>
        <w:rPr>
          <w:color w:val="000000"/>
        </w:rPr>
      </w:pPr>
      <w:r>
        <w:rPr>
          <w:rFonts w:ascii="Tahoma" w:eastAsia="Tahoma" w:hAnsi="Tahoma" w:cs="Tahoma"/>
          <w:color w:val="000000"/>
          <w:sz w:val="26"/>
          <w:szCs w:val="26"/>
        </w:rPr>
        <w:t>carers, close relatives or close friends or anyone else interested in the person’s welfare;</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numPr>
          <w:ilvl w:val="0"/>
          <w:numId w:val="5"/>
        </w:numPr>
        <w:spacing w:after="0" w:line="240" w:lineRule="auto"/>
        <w:ind w:left="800"/>
        <w:rPr>
          <w:color w:val="000000"/>
        </w:rPr>
      </w:pPr>
      <w:r>
        <w:rPr>
          <w:rFonts w:ascii="Tahoma" w:eastAsia="Tahoma" w:hAnsi="Tahoma" w:cs="Tahoma"/>
          <w:color w:val="000000"/>
          <w:sz w:val="26"/>
          <w:szCs w:val="26"/>
        </w:rPr>
        <w:t>any Attorney appointed un</w:t>
      </w:r>
      <w:r>
        <w:rPr>
          <w:rFonts w:ascii="Tahoma" w:eastAsia="Tahoma" w:hAnsi="Tahoma" w:cs="Tahoma"/>
          <w:color w:val="000000"/>
          <w:sz w:val="26"/>
          <w:szCs w:val="26"/>
        </w:rPr>
        <w:t>der a Lasting Power of Attorney; and</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numPr>
          <w:ilvl w:val="0"/>
          <w:numId w:val="5"/>
        </w:numPr>
        <w:spacing w:after="0" w:line="240" w:lineRule="auto"/>
        <w:ind w:left="800"/>
        <w:rPr>
          <w:color w:val="000000"/>
        </w:rPr>
      </w:pPr>
      <w:proofErr w:type="gramStart"/>
      <w:r>
        <w:rPr>
          <w:rFonts w:ascii="Tahoma" w:eastAsia="Tahoma" w:hAnsi="Tahoma" w:cs="Tahoma"/>
          <w:color w:val="000000"/>
          <w:sz w:val="26"/>
          <w:szCs w:val="26"/>
        </w:rPr>
        <w:t>any</w:t>
      </w:r>
      <w:proofErr w:type="gramEnd"/>
      <w:r>
        <w:rPr>
          <w:rFonts w:ascii="Tahoma" w:eastAsia="Tahoma" w:hAnsi="Tahoma" w:cs="Tahoma"/>
          <w:color w:val="000000"/>
          <w:sz w:val="26"/>
          <w:szCs w:val="26"/>
        </w:rPr>
        <w:t xml:space="preserve"> Deputy appointed by the Court of Protection to make decisions for the person.</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If you are making the decision under the Mental Capacity Act you must take the above steps, amongst others and weigh up the above factors in order to determine what is in the person’s best interests. For more information you should refer to the Code of Pra</w:t>
      </w:r>
      <w:r>
        <w:rPr>
          <w:rFonts w:ascii="Tahoma" w:eastAsia="Tahoma" w:hAnsi="Tahoma" w:cs="Tahoma"/>
          <w:color w:val="000000"/>
          <w:sz w:val="26"/>
          <w:szCs w:val="26"/>
        </w:rPr>
        <w:t>ctice. </w:t>
      </w: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 xml:space="preserve">For decisions about serious medical treatment, certain changes of accommodation and care reviews where the person lacks capacity, and where there is no one who fits into any of the </w:t>
      </w:r>
      <w:r>
        <w:rPr>
          <w:rFonts w:ascii="Tahoma" w:eastAsia="Tahoma" w:hAnsi="Tahoma" w:cs="Tahoma"/>
          <w:color w:val="000000"/>
          <w:sz w:val="26"/>
          <w:szCs w:val="26"/>
        </w:rPr>
        <w:lastRenderedPageBreak/>
        <w:t xml:space="preserve">above categories to be consulted, the decision maker must consider </w:t>
      </w:r>
      <w:r>
        <w:rPr>
          <w:rFonts w:ascii="Tahoma" w:eastAsia="Tahoma" w:hAnsi="Tahoma" w:cs="Tahoma"/>
          <w:color w:val="000000"/>
          <w:sz w:val="26"/>
          <w:szCs w:val="26"/>
        </w:rPr>
        <w:t>whether they need to involve an Independent Mental Capacity Advocate (IMCA). Decision makers must also consider involving an IMCA in decisions involving adult protection issues, even if there is someone who fits into any of the above categories who could b</w:t>
      </w:r>
      <w:r>
        <w:rPr>
          <w:rFonts w:ascii="Tahoma" w:eastAsia="Tahoma" w:hAnsi="Tahoma" w:cs="Tahoma"/>
          <w:color w:val="000000"/>
          <w:sz w:val="26"/>
          <w:szCs w:val="26"/>
        </w:rPr>
        <w:t>e consulted.</w:t>
      </w:r>
    </w:p>
    <w:p w:rsidR="002B1559" w:rsidRDefault="00D81B60">
      <w:pPr>
        <w:pStyle w:val="normal0"/>
        <w:spacing w:after="0" w:line="240" w:lineRule="auto"/>
        <w:rPr>
          <w:rFonts w:ascii="Tahoma" w:eastAsia="Tahoma" w:hAnsi="Tahoma" w:cs="Tahoma"/>
          <w:color w:val="000000"/>
          <w:sz w:val="32"/>
          <w:szCs w:val="32"/>
        </w:rPr>
      </w:pPr>
      <w:r>
        <w:rPr>
          <w:rFonts w:ascii="Tahoma" w:eastAsia="Tahoma" w:hAnsi="Tahoma" w:cs="Tahoma"/>
          <w:b/>
          <w:color w:val="000000"/>
          <w:sz w:val="32"/>
          <w:szCs w:val="32"/>
        </w:rPr>
        <w:t>What are excluded decisions?</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While the Mental Capacity Act covers a wide range of decisions made, or actions taken, on behalf of people who may lack capacity to the decision for themselves, the Act also sets out certain best interests decisi</w:t>
      </w:r>
      <w:r>
        <w:rPr>
          <w:rFonts w:ascii="Tahoma" w:eastAsia="Tahoma" w:hAnsi="Tahoma" w:cs="Tahoma"/>
          <w:color w:val="000000"/>
          <w:sz w:val="26"/>
          <w:szCs w:val="26"/>
        </w:rPr>
        <w:t>ons which can never be made either because they are so personal to the individual concerned, or because they are governed by other legislation. The decisions that are </w:t>
      </w:r>
      <w:r>
        <w:rPr>
          <w:rFonts w:ascii="Tahoma" w:eastAsia="Tahoma" w:hAnsi="Tahoma" w:cs="Tahoma"/>
          <w:b/>
          <w:color w:val="000000"/>
          <w:sz w:val="26"/>
          <w:szCs w:val="26"/>
        </w:rPr>
        <w:t>excluded </w:t>
      </w:r>
      <w:r>
        <w:rPr>
          <w:rFonts w:ascii="Tahoma" w:eastAsia="Tahoma" w:hAnsi="Tahoma" w:cs="Tahoma"/>
          <w:color w:val="000000"/>
          <w:sz w:val="26"/>
          <w:szCs w:val="26"/>
        </w:rPr>
        <w:t>from the best </w:t>
      </w:r>
      <w:proofErr w:type="gramStart"/>
      <w:r>
        <w:rPr>
          <w:rFonts w:ascii="Tahoma" w:eastAsia="Tahoma" w:hAnsi="Tahoma" w:cs="Tahoma"/>
          <w:color w:val="000000"/>
          <w:sz w:val="26"/>
          <w:szCs w:val="26"/>
        </w:rPr>
        <w:t>interests</w:t>
      </w:r>
      <w:proofErr w:type="gramEnd"/>
      <w:r>
        <w:rPr>
          <w:rFonts w:ascii="Tahoma" w:eastAsia="Tahoma" w:hAnsi="Tahoma" w:cs="Tahoma"/>
          <w:color w:val="000000"/>
          <w:sz w:val="26"/>
          <w:szCs w:val="26"/>
        </w:rPr>
        <w:t xml:space="preserve"> process are listed below. More information about these c</w:t>
      </w:r>
      <w:r>
        <w:rPr>
          <w:rFonts w:ascii="Tahoma" w:eastAsia="Tahoma" w:hAnsi="Tahoma" w:cs="Tahoma"/>
          <w:color w:val="000000"/>
          <w:sz w:val="26"/>
          <w:szCs w:val="26"/>
        </w:rPr>
        <w:t>an be found on pages 16-17 of the Code of Practice. </w:t>
      </w: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Two things need to be borne in mind when reading the list. </w:t>
      </w:r>
    </w:p>
    <w:p w:rsidR="002B1559" w:rsidRDefault="00D81B60">
      <w:pPr>
        <w:pStyle w:val="normal0"/>
        <w:spacing w:after="0" w:line="240" w:lineRule="auto"/>
        <w:rPr>
          <w:rFonts w:ascii="Tahoma" w:eastAsia="Tahoma" w:hAnsi="Tahoma" w:cs="Tahoma"/>
          <w:color w:val="000000"/>
          <w:sz w:val="32"/>
          <w:szCs w:val="32"/>
        </w:rPr>
      </w:pPr>
      <w:r>
        <w:rPr>
          <w:rFonts w:ascii="Tahoma" w:eastAsia="Tahoma" w:hAnsi="Tahoma" w:cs="Tahoma"/>
          <w:b/>
          <w:color w:val="000000"/>
          <w:sz w:val="32"/>
          <w:szCs w:val="32"/>
        </w:rPr>
        <w:t>• The need to assess capacity</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Firstly, although the decisions listed are excluded from best </w:t>
      </w:r>
      <w:proofErr w:type="gramStart"/>
      <w:r>
        <w:rPr>
          <w:rFonts w:ascii="Tahoma" w:eastAsia="Tahoma" w:hAnsi="Tahoma" w:cs="Tahoma"/>
          <w:color w:val="000000"/>
          <w:sz w:val="26"/>
          <w:szCs w:val="26"/>
        </w:rPr>
        <w:t>interests</w:t>
      </w:r>
      <w:proofErr w:type="gramEnd"/>
      <w:r>
        <w:rPr>
          <w:rFonts w:ascii="Tahoma" w:eastAsia="Tahoma" w:hAnsi="Tahoma" w:cs="Tahoma"/>
          <w:color w:val="000000"/>
          <w:sz w:val="26"/>
          <w:szCs w:val="26"/>
        </w:rPr>
        <w:t xml:space="preserve"> process, an assessment of capacity must still be carried out where there is doubt about the person’s capacity to make such a decision. </w:t>
      </w:r>
    </w:p>
    <w:p w:rsidR="002B1559" w:rsidRDefault="00D81B60">
      <w:pPr>
        <w:pStyle w:val="normal0"/>
        <w:spacing w:after="0" w:line="240" w:lineRule="auto"/>
        <w:rPr>
          <w:rFonts w:ascii="Tahoma" w:eastAsia="Tahoma" w:hAnsi="Tahoma" w:cs="Tahoma"/>
          <w:color w:val="000000"/>
          <w:sz w:val="32"/>
          <w:szCs w:val="32"/>
        </w:rPr>
      </w:pPr>
      <w:r>
        <w:rPr>
          <w:rFonts w:ascii="Tahoma" w:eastAsia="Tahoma" w:hAnsi="Tahoma" w:cs="Tahoma"/>
          <w:b/>
          <w:color w:val="000000"/>
          <w:sz w:val="32"/>
          <w:szCs w:val="32"/>
        </w:rPr>
        <w:t>• Protecting and safeguarding vulnerable people</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 xml:space="preserve">Secondly, while the Act does not allow anyone to make such decisions on behalf of someone who is shown to lack capacity, the Code of Practice reminds decision-makers that this does not prevent action being taken to protect a vulnerable person from abuse </w:t>
      </w:r>
      <w:r>
        <w:rPr>
          <w:rFonts w:ascii="Tahoma" w:eastAsia="Tahoma" w:hAnsi="Tahoma" w:cs="Tahoma"/>
          <w:color w:val="000000"/>
          <w:sz w:val="26"/>
          <w:szCs w:val="26"/>
        </w:rPr>
        <w:t>or exploitation. </w:t>
      </w:r>
    </w:p>
    <w:p w:rsidR="002B1559" w:rsidRDefault="002B1559">
      <w:pPr>
        <w:pStyle w:val="normal0"/>
        <w:spacing w:after="0" w:line="240" w:lineRule="auto"/>
        <w:rPr>
          <w:rFonts w:ascii="Tahoma" w:eastAsia="Tahoma" w:hAnsi="Tahoma" w:cs="Tahoma"/>
          <w:color w:val="000000"/>
          <w:sz w:val="32"/>
          <w:szCs w:val="32"/>
        </w:rPr>
      </w:pPr>
    </w:p>
    <w:p w:rsidR="002B1559" w:rsidRDefault="002B1559">
      <w:pPr>
        <w:pStyle w:val="normal0"/>
        <w:spacing w:after="0" w:line="240" w:lineRule="auto"/>
        <w:rPr>
          <w:rFonts w:ascii="Tahoma" w:eastAsia="Tahoma" w:hAnsi="Tahoma" w:cs="Tahoma"/>
          <w:color w:val="000000"/>
          <w:sz w:val="32"/>
          <w:szCs w:val="32"/>
        </w:rPr>
      </w:pPr>
    </w:p>
    <w:p w:rsidR="002B1559" w:rsidRDefault="002B1559">
      <w:pPr>
        <w:pStyle w:val="normal0"/>
        <w:spacing w:after="0" w:line="240" w:lineRule="auto"/>
        <w:rPr>
          <w:rFonts w:ascii="Tahoma" w:eastAsia="Tahoma" w:hAnsi="Tahoma" w:cs="Tahoma"/>
          <w:color w:val="000000"/>
          <w:sz w:val="32"/>
          <w:szCs w:val="32"/>
        </w:rPr>
      </w:pPr>
    </w:p>
    <w:p w:rsidR="002B1559" w:rsidRDefault="00D81B60">
      <w:pPr>
        <w:pStyle w:val="normal0"/>
        <w:spacing w:after="0" w:line="240" w:lineRule="auto"/>
        <w:rPr>
          <w:rFonts w:ascii="Tahoma" w:eastAsia="Tahoma" w:hAnsi="Tahoma" w:cs="Tahoma"/>
          <w:color w:val="000000"/>
          <w:sz w:val="32"/>
          <w:szCs w:val="32"/>
        </w:rPr>
      </w:pPr>
      <w:r>
        <w:rPr>
          <w:rFonts w:ascii="Tahoma" w:eastAsia="Tahoma" w:hAnsi="Tahoma" w:cs="Tahoma"/>
          <w:b/>
          <w:i/>
          <w:color w:val="000000"/>
          <w:sz w:val="32"/>
          <w:szCs w:val="32"/>
        </w:rPr>
        <w:t>Excluded decisions</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0" w:line="240" w:lineRule="auto"/>
        <w:rPr>
          <w:rFonts w:ascii="Tahoma" w:eastAsia="Tahoma" w:hAnsi="Tahoma" w:cs="Tahoma"/>
          <w:color w:val="000000"/>
          <w:sz w:val="32"/>
          <w:szCs w:val="32"/>
        </w:rPr>
      </w:pPr>
      <w:r>
        <w:rPr>
          <w:rFonts w:ascii="Tahoma" w:eastAsia="Tahoma" w:hAnsi="Tahoma" w:cs="Tahoma"/>
          <w:b/>
          <w:color w:val="000000"/>
          <w:sz w:val="32"/>
          <w:szCs w:val="32"/>
        </w:rPr>
        <w:t>Decisions concerning family relationships (Section 27 of the MCA)</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Decisions that must not be made on someone else’s behalf are: </w:t>
      </w:r>
    </w:p>
    <w:p w:rsidR="002B1559" w:rsidRDefault="00D81B60">
      <w:pPr>
        <w:pStyle w:val="normal0"/>
        <w:numPr>
          <w:ilvl w:val="0"/>
          <w:numId w:val="1"/>
        </w:numPr>
        <w:spacing w:after="0" w:line="240" w:lineRule="auto"/>
        <w:ind w:left="800"/>
        <w:rPr>
          <w:color w:val="000000"/>
        </w:rPr>
      </w:pPr>
      <w:r>
        <w:rPr>
          <w:rFonts w:ascii="Tahoma" w:eastAsia="Tahoma" w:hAnsi="Tahoma" w:cs="Tahoma"/>
          <w:color w:val="000000"/>
          <w:sz w:val="26"/>
          <w:szCs w:val="26"/>
        </w:rPr>
        <w:t>consenting to marriage or a civil partnership</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numPr>
          <w:ilvl w:val="0"/>
          <w:numId w:val="1"/>
        </w:numPr>
        <w:spacing w:after="0" w:line="240" w:lineRule="auto"/>
        <w:ind w:left="800"/>
        <w:rPr>
          <w:color w:val="000000"/>
        </w:rPr>
      </w:pPr>
      <w:r>
        <w:rPr>
          <w:rFonts w:ascii="Tahoma" w:eastAsia="Tahoma" w:hAnsi="Tahoma" w:cs="Tahoma"/>
          <w:color w:val="000000"/>
          <w:sz w:val="26"/>
          <w:szCs w:val="26"/>
        </w:rPr>
        <w:t>consenting to have sexual relations</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numPr>
          <w:ilvl w:val="0"/>
          <w:numId w:val="1"/>
        </w:numPr>
        <w:spacing w:after="0" w:line="240" w:lineRule="auto"/>
        <w:ind w:left="800"/>
        <w:rPr>
          <w:color w:val="000000"/>
        </w:rPr>
      </w:pPr>
      <w:r>
        <w:rPr>
          <w:rFonts w:ascii="Tahoma" w:eastAsia="Tahoma" w:hAnsi="Tahoma" w:cs="Tahoma"/>
          <w:color w:val="000000"/>
          <w:sz w:val="26"/>
          <w:szCs w:val="26"/>
        </w:rPr>
        <w:t>consenting to a decree of divorce on the basis of two years’ separation</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numPr>
          <w:ilvl w:val="0"/>
          <w:numId w:val="1"/>
        </w:numPr>
        <w:spacing w:after="0" w:line="240" w:lineRule="auto"/>
        <w:ind w:left="800"/>
        <w:rPr>
          <w:color w:val="000000"/>
        </w:rPr>
      </w:pPr>
      <w:r>
        <w:rPr>
          <w:rFonts w:ascii="Tahoma" w:eastAsia="Tahoma" w:hAnsi="Tahoma" w:cs="Tahoma"/>
          <w:color w:val="000000"/>
          <w:sz w:val="26"/>
          <w:szCs w:val="26"/>
        </w:rPr>
        <w:t>consenting to the dissolution of a civil partnership</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numPr>
          <w:ilvl w:val="0"/>
          <w:numId w:val="1"/>
        </w:numPr>
        <w:spacing w:after="0" w:line="240" w:lineRule="auto"/>
        <w:ind w:left="800"/>
        <w:rPr>
          <w:color w:val="000000"/>
        </w:rPr>
      </w:pPr>
      <w:r>
        <w:rPr>
          <w:rFonts w:ascii="Tahoma" w:eastAsia="Tahoma" w:hAnsi="Tahoma" w:cs="Tahoma"/>
          <w:color w:val="000000"/>
          <w:sz w:val="26"/>
          <w:szCs w:val="26"/>
        </w:rPr>
        <w:t>consenting to a child being placed for adoption or the making of an adoption order</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numPr>
          <w:ilvl w:val="0"/>
          <w:numId w:val="1"/>
        </w:numPr>
        <w:spacing w:after="0" w:line="240" w:lineRule="auto"/>
        <w:ind w:left="800"/>
        <w:rPr>
          <w:color w:val="000000"/>
        </w:rPr>
      </w:pPr>
      <w:r>
        <w:rPr>
          <w:rFonts w:ascii="Tahoma" w:eastAsia="Tahoma" w:hAnsi="Tahoma" w:cs="Tahoma"/>
          <w:color w:val="000000"/>
          <w:sz w:val="26"/>
          <w:szCs w:val="26"/>
        </w:rPr>
        <w:lastRenderedPageBreak/>
        <w:t>disc</w:t>
      </w:r>
      <w:r>
        <w:rPr>
          <w:rFonts w:ascii="Tahoma" w:eastAsia="Tahoma" w:hAnsi="Tahoma" w:cs="Tahoma"/>
          <w:color w:val="000000"/>
          <w:sz w:val="26"/>
          <w:szCs w:val="26"/>
        </w:rPr>
        <w:t>harging parental responsibility for a child in matters not relating to the child’s property, or</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numPr>
          <w:ilvl w:val="0"/>
          <w:numId w:val="1"/>
        </w:numPr>
        <w:spacing w:after="0" w:line="240" w:lineRule="auto"/>
        <w:ind w:left="800"/>
        <w:rPr>
          <w:color w:val="000000"/>
        </w:rPr>
      </w:pPr>
      <w:proofErr w:type="gramStart"/>
      <w:r>
        <w:rPr>
          <w:rFonts w:ascii="Tahoma" w:eastAsia="Tahoma" w:hAnsi="Tahoma" w:cs="Tahoma"/>
          <w:color w:val="000000"/>
          <w:sz w:val="26"/>
          <w:szCs w:val="26"/>
        </w:rPr>
        <w:t>giving</w:t>
      </w:r>
      <w:proofErr w:type="gramEnd"/>
      <w:r>
        <w:rPr>
          <w:rFonts w:ascii="Tahoma" w:eastAsia="Tahoma" w:hAnsi="Tahoma" w:cs="Tahoma"/>
          <w:color w:val="000000"/>
          <w:sz w:val="26"/>
          <w:szCs w:val="26"/>
        </w:rPr>
        <w:t xml:space="preserve"> consent under the Human Fertilisation and Embryology Act 1990.</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0" w:line="240" w:lineRule="auto"/>
        <w:rPr>
          <w:rFonts w:ascii="Tahoma" w:eastAsia="Tahoma" w:hAnsi="Tahoma" w:cs="Tahoma"/>
          <w:color w:val="000000"/>
          <w:sz w:val="32"/>
          <w:szCs w:val="32"/>
        </w:rPr>
      </w:pPr>
      <w:r>
        <w:rPr>
          <w:rFonts w:ascii="Tahoma" w:eastAsia="Tahoma" w:hAnsi="Tahoma" w:cs="Tahoma"/>
          <w:b/>
          <w:color w:val="000000"/>
          <w:sz w:val="32"/>
          <w:szCs w:val="32"/>
        </w:rPr>
        <w:t>Mental Health Act matters (Section 28) </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 xml:space="preserve">Where a person who lacks capacity to consent is currently detained and being treated under Part 4 of the Mental Health Act 1983, nothing in the Mental </w:t>
      </w:r>
      <w:proofErr w:type="spellStart"/>
      <w:r>
        <w:rPr>
          <w:rFonts w:ascii="Tahoma" w:eastAsia="Tahoma" w:hAnsi="Tahoma" w:cs="Tahoma"/>
          <w:color w:val="000000"/>
          <w:sz w:val="26"/>
          <w:szCs w:val="26"/>
        </w:rPr>
        <w:t>Capcity</w:t>
      </w:r>
      <w:proofErr w:type="spellEnd"/>
      <w:r>
        <w:rPr>
          <w:rFonts w:ascii="Tahoma" w:eastAsia="Tahoma" w:hAnsi="Tahoma" w:cs="Tahoma"/>
          <w:color w:val="000000"/>
          <w:sz w:val="26"/>
          <w:szCs w:val="26"/>
        </w:rPr>
        <w:t> Act authorises anyone to: </w:t>
      </w:r>
    </w:p>
    <w:p w:rsidR="002B1559" w:rsidRDefault="00D81B60">
      <w:pPr>
        <w:pStyle w:val="normal0"/>
        <w:numPr>
          <w:ilvl w:val="0"/>
          <w:numId w:val="2"/>
        </w:numPr>
        <w:spacing w:after="0" w:line="240" w:lineRule="auto"/>
        <w:ind w:left="800"/>
        <w:rPr>
          <w:color w:val="000000"/>
        </w:rPr>
      </w:pPr>
      <w:r>
        <w:rPr>
          <w:rFonts w:ascii="Tahoma" w:eastAsia="Tahoma" w:hAnsi="Tahoma" w:cs="Tahoma"/>
          <w:color w:val="000000"/>
          <w:sz w:val="26"/>
          <w:szCs w:val="26"/>
        </w:rPr>
        <w:t>give the person treatment for mental disorder, or</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numPr>
          <w:ilvl w:val="0"/>
          <w:numId w:val="2"/>
        </w:numPr>
        <w:spacing w:after="0" w:line="240" w:lineRule="auto"/>
        <w:ind w:left="800"/>
        <w:rPr>
          <w:color w:val="000000"/>
        </w:rPr>
      </w:pPr>
      <w:proofErr w:type="gramStart"/>
      <w:r>
        <w:rPr>
          <w:rFonts w:ascii="Tahoma" w:eastAsia="Tahoma" w:hAnsi="Tahoma" w:cs="Tahoma"/>
          <w:color w:val="000000"/>
          <w:sz w:val="26"/>
          <w:szCs w:val="26"/>
        </w:rPr>
        <w:t>consent</w:t>
      </w:r>
      <w:proofErr w:type="gramEnd"/>
      <w:r>
        <w:rPr>
          <w:rFonts w:ascii="Tahoma" w:eastAsia="Tahoma" w:hAnsi="Tahoma" w:cs="Tahoma"/>
          <w:color w:val="000000"/>
          <w:sz w:val="26"/>
          <w:szCs w:val="26"/>
        </w:rPr>
        <w:t xml:space="preserve"> to the person being given treatment for mental disorder.</w:t>
      </w:r>
    </w:p>
    <w:p w:rsidR="002B1559" w:rsidRDefault="00D81B60">
      <w:pPr>
        <w:pStyle w:val="normal0"/>
        <w:spacing w:after="0" w:line="240" w:lineRule="auto"/>
        <w:ind w:left="400"/>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w:t>
      </w:r>
      <w:r>
        <w:rPr>
          <w:rFonts w:ascii="Tahoma" w:eastAsia="Tahoma" w:hAnsi="Tahoma" w:cs="Tahoma"/>
          <w:color w:val="000000"/>
          <w:sz w:val="26"/>
          <w:szCs w:val="26"/>
        </w:rPr>
        <w:br/>
        <w:t>Further guidance is given in chapter 13 of the Code of Practice. </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0" w:line="240" w:lineRule="auto"/>
        <w:rPr>
          <w:rFonts w:ascii="Tahoma" w:eastAsia="Tahoma" w:hAnsi="Tahoma" w:cs="Tahoma"/>
          <w:color w:val="000000"/>
          <w:sz w:val="32"/>
          <w:szCs w:val="32"/>
        </w:rPr>
      </w:pPr>
      <w:r>
        <w:rPr>
          <w:rFonts w:ascii="Tahoma" w:eastAsia="Tahoma" w:hAnsi="Tahoma" w:cs="Tahoma"/>
          <w:b/>
          <w:color w:val="000000"/>
          <w:sz w:val="32"/>
          <w:szCs w:val="32"/>
        </w:rPr>
        <w:t>Voting rights (Section 29)</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Nothing in the Act permits a decision on voting, at an election for any public office or a</w:t>
      </w:r>
      <w:r>
        <w:rPr>
          <w:rFonts w:ascii="Tahoma" w:eastAsia="Tahoma" w:hAnsi="Tahoma" w:cs="Tahoma"/>
          <w:color w:val="000000"/>
          <w:sz w:val="26"/>
          <w:szCs w:val="26"/>
        </w:rPr>
        <w:t>t a referendum, to be made on behalf of a person who lacks capacity to vote. </w:t>
      </w:r>
    </w:p>
    <w:p w:rsidR="002B1559" w:rsidRDefault="00D81B60">
      <w:pPr>
        <w:pStyle w:val="normal0"/>
        <w:spacing w:after="0" w:line="240" w:lineRule="auto"/>
        <w:rPr>
          <w:rFonts w:ascii="Tahoma" w:eastAsia="Tahoma" w:hAnsi="Tahoma" w:cs="Tahoma"/>
          <w:color w:val="000000"/>
          <w:sz w:val="32"/>
          <w:szCs w:val="32"/>
        </w:rPr>
      </w:pPr>
      <w:r>
        <w:rPr>
          <w:rFonts w:ascii="Tahoma" w:eastAsia="Tahoma" w:hAnsi="Tahoma" w:cs="Tahoma"/>
          <w:b/>
          <w:color w:val="000000"/>
          <w:sz w:val="32"/>
          <w:szCs w:val="32"/>
        </w:rPr>
        <w:t>Unlawful killing or assisting suicide (Section 62)</w:t>
      </w:r>
    </w:p>
    <w:p w:rsidR="002B1559" w:rsidRDefault="00D81B60">
      <w:pPr>
        <w:pStyle w:val="normal0"/>
        <w:spacing w:after="0" w:line="240" w:lineRule="auto"/>
        <w:rPr>
          <w:rFonts w:ascii="Tahoma" w:eastAsia="Tahoma" w:hAnsi="Tahoma" w:cs="Tahoma"/>
          <w:color w:val="000000"/>
          <w:sz w:val="26"/>
          <w:szCs w:val="26"/>
        </w:rPr>
      </w:pPr>
      <w:r>
        <w:rPr>
          <w:rFonts w:ascii="Tahoma" w:eastAsia="Tahoma" w:hAnsi="Tahoma" w:cs="Tahoma"/>
          <w:color w:val="000000"/>
          <w:sz w:val="26"/>
          <w:szCs w:val="26"/>
        </w:rPr>
        <w:t> </w:t>
      </w:r>
    </w:p>
    <w:p w:rsidR="002B1559" w:rsidRDefault="00D81B60">
      <w:pPr>
        <w:pStyle w:val="normal0"/>
        <w:spacing w:after="400" w:line="240" w:lineRule="auto"/>
        <w:rPr>
          <w:rFonts w:ascii="Tahoma" w:eastAsia="Tahoma" w:hAnsi="Tahoma" w:cs="Tahoma"/>
          <w:color w:val="000000"/>
          <w:sz w:val="26"/>
          <w:szCs w:val="26"/>
        </w:rPr>
      </w:pPr>
      <w:r>
        <w:rPr>
          <w:rFonts w:ascii="Tahoma" w:eastAsia="Tahoma" w:hAnsi="Tahoma" w:cs="Tahoma"/>
          <w:color w:val="000000"/>
          <w:sz w:val="26"/>
          <w:szCs w:val="26"/>
        </w:rPr>
        <w:t>For the avoidance of doubt, nothing in the Act is to be taken to affect the law relating to murder, manslaughter or assisting</w:t>
      </w:r>
      <w:r>
        <w:rPr>
          <w:rFonts w:ascii="Tahoma" w:eastAsia="Tahoma" w:hAnsi="Tahoma" w:cs="Tahoma"/>
          <w:color w:val="000000"/>
          <w:sz w:val="26"/>
          <w:szCs w:val="26"/>
        </w:rPr>
        <w:t xml:space="preserve"> suicide.</w:t>
      </w:r>
    </w:p>
    <w:p w:rsidR="002B1559" w:rsidRDefault="002B1559">
      <w:pPr>
        <w:pStyle w:val="normal0"/>
      </w:pPr>
    </w:p>
    <w:sectPr w:rsidR="002B1559" w:rsidSect="002B1559">
      <w:pgSz w:w="11906" w:h="16838"/>
      <w:pgMar w:top="567" w:right="340" w:bottom="284" w:left="3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7C56"/>
    <w:multiLevelType w:val="multilevel"/>
    <w:tmpl w:val="75360524"/>
    <w:lvl w:ilvl="0">
      <w:start w:val="1"/>
      <w:numFmt w:val="bullet"/>
      <w:lvlText w:val="●"/>
      <w:lvlJc w:val="left"/>
      <w:pPr>
        <w:ind w:left="720" w:hanging="360"/>
      </w:pPr>
      <w:rPr>
        <w:rFonts w:ascii="Arial" w:eastAsia="Arial" w:hAnsi="Arial" w:cs="Arial"/>
        <w:sz w:val="20"/>
        <w:szCs w:val="20"/>
        <w:vertAlign w:val="baseline"/>
      </w:rPr>
    </w:lvl>
    <w:lvl w:ilvl="1">
      <w:start w:val="1"/>
      <w:numFmt w:val="bullet"/>
      <w:lvlText w:val="●"/>
      <w:lvlJc w:val="left"/>
      <w:pPr>
        <w:ind w:left="1440" w:hanging="360"/>
      </w:pPr>
      <w:rPr>
        <w:rFonts w:ascii="Arial" w:eastAsia="Arial" w:hAnsi="Arial" w:cs="Arial"/>
        <w:sz w:val="20"/>
        <w:szCs w:val="20"/>
        <w:vertAlign w:val="baseline"/>
      </w:rPr>
    </w:lvl>
    <w:lvl w:ilvl="2">
      <w:start w:val="1"/>
      <w:numFmt w:val="bullet"/>
      <w:lvlText w:val="●"/>
      <w:lvlJc w:val="left"/>
      <w:pPr>
        <w:ind w:left="2160" w:hanging="360"/>
      </w:pPr>
      <w:rPr>
        <w:rFonts w:ascii="Arial" w:eastAsia="Arial" w:hAnsi="Arial" w:cs="Arial"/>
        <w:sz w:val="20"/>
        <w:szCs w:val="20"/>
        <w:vertAlign w:val="baseline"/>
      </w:rPr>
    </w:lvl>
    <w:lvl w:ilvl="3">
      <w:start w:val="1"/>
      <w:numFmt w:val="bullet"/>
      <w:lvlText w:val="●"/>
      <w:lvlJc w:val="left"/>
      <w:pPr>
        <w:ind w:left="2880" w:hanging="360"/>
      </w:pPr>
      <w:rPr>
        <w:rFonts w:ascii="Arial" w:eastAsia="Arial" w:hAnsi="Arial" w:cs="Arial"/>
        <w:sz w:val="20"/>
        <w:szCs w:val="20"/>
        <w:vertAlign w:val="baseline"/>
      </w:rPr>
    </w:lvl>
    <w:lvl w:ilvl="4">
      <w:start w:val="1"/>
      <w:numFmt w:val="bullet"/>
      <w:lvlText w:val="●"/>
      <w:lvlJc w:val="left"/>
      <w:pPr>
        <w:ind w:left="3600" w:hanging="360"/>
      </w:pPr>
      <w:rPr>
        <w:rFonts w:ascii="Arial" w:eastAsia="Arial" w:hAnsi="Arial" w:cs="Arial"/>
        <w:sz w:val="20"/>
        <w:szCs w:val="20"/>
        <w:vertAlign w:val="baseline"/>
      </w:rPr>
    </w:lvl>
    <w:lvl w:ilvl="5">
      <w:start w:val="1"/>
      <w:numFmt w:val="bullet"/>
      <w:lvlText w:val="●"/>
      <w:lvlJc w:val="left"/>
      <w:pPr>
        <w:ind w:left="4320" w:hanging="360"/>
      </w:pPr>
      <w:rPr>
        <w:rFonts w:ascii="Arial" w:eastAsia="Arial" w:hAnsi="Arial" w:cs="Arial"/>
        <w:sz w:val="20"/>
        <w:szCs w:val="20"/>
        <w:vertAlign w:val="baseline"/>
      </w:rPr>
    </w:lvl>
    <w:lvl w:ilvl="6">
      <w:start w:val="1"/>
      <w:numFmt w:val="bullet"/>
      <w:lvlText w:val="●"/>
      <w:lvlJc w:val="left"/>
      <w:pPr>
        <w:ind w:left="5040" w:hanging="360"/>
      </w:pPr>
      <w:rPr>
        <w:rFonts w:ascii="Arial" w:eastAsia="Arial" w:hAnsi="Arial" w:cs="Arial"/>
        <w:sz w:val="20"/>
        <w:szCs w:val="20"/>
        <w:vertAlign w:val="baseline"/>
      </w:rPr>
    </w:lvl>
    <w:lvl w:ilvl="7">
      <w:start w:val="1"/>
      <w:numFmt w:val="bullet"/>
      <w:lvlText w:val="●"/>
      <w:lvlJc w:val="left"/>
      <w:pPr>
        <w:ind w:left="5760" w:hanging="360"/>
      </w:pPr>
      <w:rPr>
        <w:rFonts w:ascii="Arial" w:eastAsia="Arial" w:hAnsi="Arial" w:cs="Arial"/>
        <w:sz w:val="20"/>
        <w:szCs w:val="20"/>
        <w:vertAlign w:val="baseline"/>
      </w:rPr>
    </w:lvl>
    <w:lvl w:ilvl="8">
      <w:start w:val="1"/>
      <w:numFmt w:val="bullet"/>
      <w:lvlText w:val="●"/>
      <w:lvlJc w:val="left"/>
      <w:pPr>
        <w:ind w:left="6480" w:hanging="360"/>
      </w:pPr>
      <w:rPr>
        <w:rFonts w:ascii="Arial" w:eastAsia="Arial" w:hAnsi="Arial" w:cs="Arial"/>
        <w:sz w:val="20"/>
        <w:szCs w:val="20"/>
        <w:vertAlign w:val="baseline"/>
      </w:rPr>
    </w:lvl>
  </w:abstractNum>
  <w:abstractNum w:abstractNumId="1">
    <w:nsid w:val="268749AA"/>
    <w:multiLevelType w:val="multilevel"/>
    <w:tmpl w:val="8E827312"/>
    <w:lvl w:ilvl="0">
      <w:start w:val="1"/>
      <w:numFmt w:val="bullet"/>
      <w:lvlText w:val="●"/>
      <w:lvlJc w:val="left"/>
      <w:pPr>
        <w:ind w:left="720" w:hanging="360"/>
      </w:pPr>
      <w:rPr>
        <w:rFonts w:ascii="Arial" w:eastAsia="Arial" w:hAnsi="Arial" w:cs="Arial"/>
        <w:sz w:val="20"/>
        <w:szCs w:val="20"/>
        <w:vertAlign w:val="baseline"/>
      </w:rPr>
    </w:lvl>
    <w:lvl w:ilvl="1">
      <w:start w:val="1"/>
      <w:numFmt w:val="bullet"/>
      <w:lvlText w:val="●"/>
      <w:lvlJc w:val="left"/>
      <w:pPr>
        <w:ind w:left="1440" w:hanging="360"/>
      </w:pPr>
      <w:rPr>
        <w:rFonts w:ascii="Arial" w:eastAsia="Arial" w:hAnsi="Arial" w:cs="Arial"/>
        <w:sz w:val="20"/>
        <w:szCs w:val="20"/>
        <w:vertAlign w:val="baseline"/>
      </w:rPr>
    </w:lvl>
    <w:lvl w:ilvl="2">
      <w:start w:val="1"/>
      <w:numFmt w:val="bullet"/>
      <w:lvlText w:val="●"/>
      <w:lvlJc w:val="left"/>
      <w:pPr>
        <w:ind w:left="2160" w:hanging="360"/>
      </w:pPr>
      <w:rPr>
        <w:rFonts w:ascii="Arial" w:eastAsia="Arial" w:hAnsi="Arial" w:cs="Arial"/>
        <w:sz w:val="20"/>
        <w:szCs w:val="20"/>
        <w:vertAlign w:val="baseline"/>
      </w:rPr>
    </w:lvl>
    <w:lvl w:ilvl="3">
      <w:start w:val="1"/>
      <w:numFmt w:val="bullet"/>
      <w:lvlText w:val="●"/>
      <w:lvlJc w:val="left"/>
      <w:pPr>
        <w:ind w:left="2880" w:hanging="360"/>
      </w:pPr>
      <w:rPr>
        <w:rFonts w:ascii="Arial" w:eastAsia="Arial" w:hAnsi="Arial" w:cs="Arial"/>
        <w:sz w:val="20"/>
        <w:szCs w:val="20"/>
        <w:vertAlign w:val="baseline"/>
      </w:rPr>
    </w:lvl>
    <w:lvl w:ilvl="4">
      <w:start w:val="1"/>
      <w:numFmt w:val="bullet"/>
      <w:lvlText w:val="●"/>
      <w:lvlJc w:val="left"/>
      <w:pPr>
        <w:ind w:left="3600" w:hanging="360"/>
      </w:pPr>
      <w:rPr>
        <w:rFonts w:ascii="Arial" w:eastAsia="Arial" w:hAnsi="Arial" w:cs="Arial"/>
        <w:sz w:val="20"/>
        <w:szCs w:val="20"/>
        <w:vertAlign w:val="baseline"/>
      </w:rPr>
    </w:lvl>
    <w:lvl w:ilvl="5">
      <w:start w:val="1"/>
      <w:numFmt w:val="bullet"/>
      <w:lvlText w:val="●"/>
      <w:lvlJc w:val="left"/>
      <w:pPr>
        <w:ind w:left="4320" w:hanging="360"/>
      </w:pPr>
      <w:rPr>
        <w:rFonts w:ascii="Arial" w:eastAsia="Arial" w:hAnsi="Arial" w:cs="Arial"/>
        <w:sz w:val="20"/>
        <w:szCs w:val="20"/>
        <w:vertAlign w:val="baseline"/>
      </w:rPr>
    </w:lvl>
    <w:lvl w:ilvl="6">
      <w:start w:val="1"/>
      <w:numFmt w:val="bullet"/>
      <w:lvlText w:val="●"/>
      <w:lvlJc w:val="left"/>
      <w:pPr>
        <w:ind w:left="5040" w:hanging="360"/>
      </w:pPr>
      <w:rPr>
        <w:rFonts w:ascii="Arial" w:eastAsia="Arial" w:hAnsi="Arial" w:cs="Arial"/>
        <w:sz w:val="20"/>
        <w:szCs w:val="20"/>
        <w:vertAlign w:val="baseline"/>
      </w:rPr>
    </w:lvl>
    <w:lvl w:ilvl="7">
      <w:start w:val="1"/>
      <w:numFmt w:val="bullet"/>
      <w:lvlText w:val="●"/>
      <w:lvlJc w:val="left"/>
      <w:pPr>
        <w:ind w:left="5760" w:hanging="360"/>
      </w:pPr>
      <w:rPr>
        <w:rFonts w:ascii="Arial" w:eastAsia="Arial" w:hAnsi="Arial" w:cs="Arial"/>
        <w:sz w:val="20"/>
        <w:szCs w:val="20"/>
        <w:vertAlign w:val="baseline"/>
      </w:rPr>
    </w:lvl>
    <w:lvl w:ilvl="8">
      <w:start w:val="1"/>
      <w:numFmt w:val="bullet"/>
      <w:lvlText w:val="●"/>
      <w:lvlJc w:val="left"/>
      <w:pPr>
        <w:ind w:left="6480" w:hanging="360"/>
      </w:pPr>
      <w:rPr>
        <w:rFonts w:ascii="Arial" w:eastAsia="Arial" w:hAnsi="Arial" w:cs="Arial"/>
        <w:sz w:val="20"/>
        <w:szCs w:val="20"/>
        <w:vertAlign w:val="baseline"/>
      </w:rPr>
    </w:lvl>
  </w:abstractNum>
  <w:abstractNum w:abstractNumId="2">
    <w:nsid w:val="49742477"/>
    <w:multiLevelType w:val="multilevel"/>
    <w:tmpl w:val="442A5CCC"/>
    <w:lvl w:ilvl="0">
      <w:start w:val="1"/>
      <w:numFmt w:val="bullet"/>
      <w:lvlText w:val="●"/>
      <w:lvlJc w:val="left"/>
      <w:pPr>
        <w:ind w:left="720" w:hanging="360"/>
      </w:pPr>
      <w:rPr>
        <w:rFonts w:ascii="Arial" w:eastAsia="Arial" w:hAnsi="Arial" w:cs="Arial"/>
        <w:sz w:val="20"/>
        <w:szCs w:val="20"/>
        <w:vertAlign w:val="baseline"/>
      </w:rPr>
    </w:lvl>
    <w:lvl w:ilvl="1">
      <w:start w:val="1"/>
      <w:numFmt w:val="bullet"/>
      <w:lvlText w:val="●"/>
      <w:lvlJc w:val="left"/>
      <w:pPr>
        <w:ind w:left="1440" w:hanging="360"/>
      </w:pPr>
      <w:rPr>
        <w:rFonts w:ascii="Arial" w:eastAsia="Arial" w:hAnsi="Arial" w:cs="Arial"/>
        <w:sz w:val="20"/>
        <w:szCs w:val="20"/>
        <w:vertAlign w:val="baseline"/>
      </w:rPr>
    </w:lvl>
    <w:lvl w:ilvl="2">
      <w:start w:val="1"/>
      <w:numFmt w:val="bullet"/>
      <w:lvlText w:val="●"/>
      <w:lvlJc w:val="left"/>
      <w:pPr>
        <w:ind w:left="2160" w:hanging="360"/>
      </w:pPr>
      <w:rPr>
        <w:rFonts w:ascii="Arial" w:eastAsia="Arial" w:hAnsi="Arial" w:cs="Arial"/>
        <w:sz w:val="20"/>
        <w:szCs w:val="20"/>
        <w:vertAlign w:val="baseline"/>
      </w:rPr>
    </w:lvl>
    <w:lvl w:ilvl="3">
      <w:start w:val="1"/>
      <w:numFmt w:val="bullet"/>
      <w:lvlText w:val="●"/>
      <w:lvlJc w:val="left"/>
      <w:pPr>
        <w:ind w:left="2880" w:hanging="360"/>
      </w:pPr>
      <w:rPr>
        <w:rFonts w:ascii="Arial" w:eastAsia="Arial" w:hAnsi="Arial" w:cs="Arial"/>
        <w:sz w:val="20"/>
        <w:szCs w:val="20"/>
        <w:vertAlign w:val="baseline"/>
      </w:rPr>
    </w:lvl>
    <w:lvl w:ilvl="4">
      <w:start w:val="1"/>
      <w:numFmt w:val="bullet"/>
      <w:lvlText w:val="●"/>
      <w:lvlJc w:val="left"/>
      <w:pPr>
        <w:ind w:left="3600" w:hanging="360"/>
      </w:pPr>
      <w:rPr>
        <w:rFonts w:ascii="Arial" w:eastAsia="Arial" w:hAnsi="Arial" w:cs="Arial"/>
        <w:sz w:val="20"/>
        <w:szCs w:val="20"/>
        <w:vertAlign w:val="baseline"/>
      </w:rPr>
    </w:lvl>
    <w:lvl w:ilvl="5">
      <w:start w:val="1"/>
      <w:numFmt w:val="bullet"/>
      <w:lvlText w:val="●"/>
      <w:lvlJc w:val="left"/>
      <w:pPr>
        <w:ind w:left="4320" w:hanging="360"/>
      </w:pPr>
      <w:rPr>
        <w:rFonts w:ascii="Arial" w:eastAsia="Arial" w:hAnsi="Arial" w:cs="Arial"/>
        <w:sz w:val="20"/>
        <w:szCs w:val="20"/>
        <w:vertAlign w:val="baseline"/>
      </w:rPr>
    </w:lvl>
    <w:lvl w:ilvl="6">
      <w:start w:val="1"/>
      <w:numFmt w:val="bullet"/>
      <w:lvlText w:val="●"/>
      <w:lvlJc w:val="left"/>
      <w:pPr>
        <w:ind w:left="5040" w:hanging="360"/>
      </w:pPr>
      <w:rPr>
        <w:rFonts w:ascii="Arial" w:eastAsia="Arial" w:hAnsi="Arial" w:cs="Arial"/>
        <w:sz w:val="20"/>
        <w:szCs w:val="20"/>
        <w:vertAlign w:val="baseline"/>
      </w:rPr>
    </w:lvl>
    <w:lvl w:ilvl="7">
      <w:start w:val="1"/>
      <w:numFmt w:val="bullet"/>
      <w:lvlText w:val="●"/>
      <w:lvlJc w:val="left"/>
      <w:pPr>
        <w:ind w:left="5760" w:hanging="360"/>
      </w:pPr>
      <w:rPr>
        <w:rFonts w:ascii="Arial" w:eastAsia="Arial" w:hAnsi="Arial" w:cs="Arial"/>
        <w:sz w:val="20"/>
        <w:szCs w:val="20"/>
        <w:vertAlign w:val="baseline"/>
      </w:rPr>
    </w:lvl>
    <w:lvl w:ilvl="8">
      <w:start w:val="1"/>
      <w:numFmt w:val="bullet"/>
      <w:lvlText w:val="●"/>
      <w:lvlJc w:val="left"/>
      <w:pPr>
        <w:ind w:left="6480" w:hanging="360"/>
      </w:pPr>
      <w:rPr>
        <w:rFonts w:ascii="Arial" w:eastAsia="Arial" w:hAnsi="Arial" w:cs="Arial"/>
        <w:sz w:val="20"/>
        <w:szCs w:val="20"/>
        <w:vertAlign w:val="baseline"/>
      </w:rPr>
    </w:lvl>
  </w:abstractNum>
  <w:abstractNum w:abstractNumId="3">
    <w:nsid w:val="4A5F6652"/>
    <w:multiLevelType w:val="multilevel"/>
    <w:tmpl w:val="60EA71FE"/>
    <w:lvl w:ilvl="0">
      <w:start w:val="1"/>
      <w:numFmt w:val="bullet"/>
      <w:lvlText w:val="●"/>
      <w:lvlJc w:val="left"/>
      <w:pPr>
        <w:ind w:left="720" w:hanging="360"/>
      </w:pPr>
      <w:rPr>
        <w:rFonts w:ascii="Arial" w:eastAsia="Arial" w:hAnsi="Arial" w:cs="Arial"/>
        <w:sz w:val="20"/>
        <w:szCs w:val="20"/>
        <w:vertAlign w:val="baseline"/>
      </w:rPr>
    </w:lvl>
    <w:lvl w:ilvl="1">
      <w:start w:val="1"/>
      <w:numFmt w:val="bullet"/>
      <w:lvlText w:val="●"/>
      <w:lvlJc w:val="left"/>
      <w:pPr>
        <w:ind w:left="1440" w:hanging="360"/>
      </w:pPr>
      <w:rPr>
        <w:rFonts w:ascii="Arial" w:eastAsia="Arial" w:hAnsi="Arial" w:cs="Arial"/>
        <w:sz w:val="20"/>
        <w:szCs w:val="20"/>
        <w:vertAlign w:val="baseline"/>
      </w:rPr>
    </w:lvl>
    <w:lvl w:ilvl="2">
      <w:start w:val="1"/>
      <w:numFmt w:val="bullet"/>
      <w:lvlText w:val="●"/>
      <w:lvlJc w:val="left"/>
      <w:pPr>
        <w:ind w:left="2160" w:hanging="360"/>
      </w:pPr>
      <w:rPr>
        <w:rFonts w:ascii="Arial" w:eastAsia="Arial" w:hAnsi="Arial" w:cs="Arial"/>
        <w:sz w:val="20"/>
        <w:szCs w:val="20"/>
        <w:vertAlign w:val="baseline"/>
      </w:rPr>
    </w:lvl>
    <w:lvl w:ilvl="3">
      <w:start w:val="1"/>
      <w:numFmt w:val="bullet"/>
      <w:lvlText w:val="●"/>
      <w:lvlJc w:val="left"/>
      <w:pPr>
        <w:ind w:left="2880" w:hanging="360"/>
      </w:pPr>
      <w:rPr>
        <w:rFonts w:ascii="Arial" w:eastAsia="Arial" w:hAnsi="Arial" w:cs="Arial"/>
        <w:sz w:val="20"/>
        <w:szCs w:val="20"/>
        <w:vertAlign w:val="baseline"/>
      </w:rPr>
    </w:lvl>
    <w:lvl w:ilvl="4">
      <w:start w:val="1"/>
      <w:numFmt w:val="bullet"/>
      <w:lvlText w:val="●"/>
      <w:lvlJc w:val="left"/>
      <w:pPr>
        <w:ind w:left="3600" w:hanging="360"/>
      </w:pPr>
      <w:rPr>
        <w:rFonts w:ascii="Arial" w:eastAsia="Arial" w:hAnsi="Arial" w:cs="Arial"/>
        <w:sz w:val="20"/>
        <w:szCs w:val="20"/>
        <w:vertAlign w:val="baseline"/>
      </w:rPr>
    </w:lvl>
    <w:lvl w:ilvl="5">
      <w:start w:val="1"/>
      <w:numFmt w:val="bullet"/>
      <w:lvlText w:val="●"/>
      <w:lvlJc w:val="left"/>
      <w:pPr>
        <w:ind w:left="4320" w:hanging="360"/>
      </w:pPr>
      <w:rPr>
        <w:rFonts w:ascii="Arial" w:eastAsia="Arial" w:hAnsi="Arial" w:cs="Arial"/>
        <w:sz w:val="20"/>
        <w:szCs w:val="20"/>
        <w:vertAlign w:val="baseline"/>
      </w:rPr>
    </w:lvl>
    <w:lvl w:ilvl="6">
      <w:start w:val="1"/>
      <w:numFmt w:val="bullet"/>
      <w:lvlText w:val="●"/>
      <w:lvlJc w:val="left"/>
      <w:pPr>
        <w:ind w:left="5040" w:hanging="360"/>
      </w:pPr>
      <w:rPr>
        <w:rFonts w:ascii="Arial" w:eastAsia="Arial" w:hAnsi="Arial" w:cs="Arial"/>
        <w:sz w:val="20"/>
        <w:szCs w:val="20"/>
        <w:vertAlign w:val="baseline"/>
      </w:rPr>
    </w:lvl>
    <w:lvl w:ilvl="7">
      <w:start w:val="1"/>
      <w:numFmt w:val="bullet"/>
      <w:lvlText w:val="●"/>
      <w:lvlJc w:val="left"/>
      <w:pPr>
        <w:ind w:left="5760" w:hanging="360"/>
      </w:pPr>
      <w:rPr>
        <w:rFonts w:ascii="Arial" w:eastAsia="Arial" w:hAnsi="Arial" w:cs="Arial"/>
        <w:sz w:val="20"/>
        <w:szCs w:val="20"/>
        <w:vertAlign w:val="baseline"/>
      </w:rPr>
    </w:lvl>
    <w:lvl w:ilvl="8">
      <w:start w:val="1"/>
      <w:numFmt w:val="bullet"/>
      <w:lvlText w:val="●"/>
      <w:lvlJc w:val="left"/>
      <w:pPr>
        <w:ind w:left="6480" w:hanging="360"/>
      </w:pPr>
      <w:rPr>
        <w:rFonts w:ascii="Arial" w:eastAsia="Arial" w:hAnsi="Arial" w:cs="Arial"/>
        <w:sz w:val="20"/>
        <w:szCs w:val="20"/>
        <w:vertAlign w:val="baseline"/>
      </w:rPr>
    </w:lvl>
  </w:abstractNum>
  <w:abstractNum w:abstractNumId="4">
    <w:nsid w:val="72BA08CB"/>
    <w:multiLevelType w:val="multilevel"/>
    <w:tmpl w:val="009A92E2"/>
    <w:lvl w:ilvl="0">
      <w:start w:val="1"/>
      <w:numFmt w:val="bullet"/>
      <w:lvlText w:val="●"/>
      <w:lvlJc w:val="left"/>
      <w:pPr>
        <w:ind w:left="720" w:hanging="360"/>
      </w:pPr>
      <w:rPr>
        <w:rFonts w:ascii="Arial" w:eastAsia="Arial" w:hAnsi="Arial" w:cs="Arial"/>
        <w:sz w:val="20"/>
        <w:szCs w:val="20"/>
        <w:vertAlign w:val="baseline"/>
      </w:rPr>
    </w:lvl>
    <w:lvl w:ilvl="1">
      <w:start w:val="1"/>
      <w:numFmt w:val="bullet"/>
      <w:lvlText w:val="●"/>
      <w:lvlJc w:val="left"/>
      <w:pPr>
        <w:ind w:left="1440" w:hanging="360"/>
      </w:pPr>
      <w:rPr>
        <w:rFonts w:ascii="Arial" w:eastAsia="Arial" w:hAnsi="Arial" w:cs="Arial"/>
        <w:sz w:val="20"/>
        <w:szCs w:val="20"/>
        <w:vertAlign w:val="baseline"/>
      </w:rPr>
    </w:lvl>
    <w:lvl w:ilvl="2">
      <w:start w:val="1"/>
      <w:numFmt w:val="bullet"/>
      <w:lvlText w:val="●"/>
      <w:lvlJc w:val="left"/>
      <w:pPr>
        <w:ind w:left="2160" w:hanging="360"/>
      </w:pPr>
      <w:rPr>
        <w:rFonts w:ascii="Arial" w:eastAsia="Arial" w:hAnsi="Arial" w:cs="Arial"/>
        <w:sz w:val="20"/>
        <w:szCs w:val="20"/>
        <w:vertAlign w:val="baseline"/>
      </w:rPr>
    </w:lvl>
    <w:lvl w:ilvl="3">
      <w:start w:val="1"/>
      <w:numFmt w:val="bullet"/>
      <w:lvlText w:val="●"/>
      <w:lvlJc w:val="left"/>
      <w:pPr>
        <w:ind w:left="2880" w:hanging="360"/>
      </w:pPr>
      <w:rPr>
        <w:rFonts w:ascii="Arial" w:eastAsia="Arial" w:hAnsi="Arial" w:cs="Arial"/>
        <w:sz w:val="20"/>
        <w:szCs w:val="20"/>
        <w:vertAlign w:val="baseline"/>
      </w:rPr>
    </w:lvl>
    <w:lvl w:ilvl="4">
      <w:start w:val="1"/>
      <w:numFmt w:val="bullet"/>
      <w:lvlText w:val="●"/>
      <w:lvlJc w:val="left"/>
      <w:pPr>
        <w:ind w:left="3600" w:hanging="360"/>
      </w:pPr>
      <w:rPr>
        <w:rFonts w:ascii="Arial" w:eastAsia="Arial" w:hAnsi="Arial" w:cs="Arial"/>
        <w:sz w:val="20"/>
        <w:szCs w:val="20"/>
        <w:vertAlign w:val="baseline"/>
      </w:rPr>
    </w:lvl>
    <w:lvl w:ilvl="5">
      <w:start w:val="1"/>
      <w:numFmt w:val="bullet"/>
      <w:lvlText w:val="●"/>
      <w:lvlJc w:val="left"/>
      <w:pPr>
        <w:ind w:left="4320" w:hanging="360"/>
      </w:pPr>
      <w:rPr>
        <w:rFonts w:ascii="Arial" w:eastAsia="Arial" w:hAnsi="Arial" w:cs="Arial"/>
        <w:sz w:val="20"/>
        <w:szCs w:val="20"/>
        <w:vertAlign w:val="baseline"/>
      </w:rPr>
    </w:lvl>
    <w:lvl w:ilvl="6">
      <w:start w:val="1"/>
      <w:numFmt w:val="bullet"/>
      <w:lvlText w:val="●"/>
      <w:lvlJc w:val="left"/>
      <w:pPr>
        <w:ind w:left="5040" w:hanging="360"/>
      </w:pPr>
      <w:rPr>
        <w:rFonts w:ascii="Arial" w:eastAsia="Arial" w:hAnsi="Arial" w:cs="Arial"/>
        <w:sz w:val="20"/>
        <w:szCs w:val="20"/>
        <w:vertAlign w:val="baseline"/>
      </w:rPr>
    </w:lvl>
    <w:lvl w:ilvl="7">
      <w:start w:val="1"/>
      <w:numFmt w:val="bullet"/>
      <w:lvlText w:val="●"/>
      <w:lvlJc w:val="left"/>
      <w:pPr>
        <w:ind w:left="5760" w:hanging="360"/>
      </w:pPr>
      <w:rPr>
        <w:rFonts w:ascii="Arial" w:eastAsia="Arial" w:hAnsi="Arial" w:cs="Arial"/>
        <w:sz w:val="20"/>
        <w:szCs w:val="20"/>
        <w:vertAlign w:val="baseline"/>
      </w:rPr>
    </w:lvl>
    <w:lvl w:ilvl="8">
      <w:start w:val="1"/>
      <w:numFmt w:val="bullet"/>
      <w:lvlText w:val="●"/>
      <w:lvlJc w:val="left"/>
      <w:pPr>
        <w:ind w:left="6480" w:hanging="360"/>
      </w:pPr>
      <w:rPr>
        <w:rFonts w:ascii="Arial" w:eastAsia="Arial" w:hAnsi="Arial" w:cs="Arial"/>
        <w:sz w:val="20"/>
        <w:szCs w:val="20"/>
        <w:vertAlign w:val="baseli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2B1559"/>
    <w:rsid w:val="002B1559"/>
    <w:rsid w:val="00A3451D"/>
    <w:rsid w:val="00D81B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2B1559"/>
    <w:pPr>
      <w:keepNext/>
      <w:keepLines/>
      <w:spacing w:before="480" w:after="120"/>
      <w:outlineLvl w:val="0"/>
    </w:pPr>
    <w:rPr>
      <w:b/>
      <w:sz w:val="48"/>
      <w:szCs w:val="48"/>
    </w:rPr>
  </w:style>
  <w:style w:type="paragraph" w:styleId="Heading2">
    <w:name w:val="heading 2"/>
    <w:basedOn w:val="normal0"/>
    <w:next w:val="normal0"/>
    <w:rsid w:val="002B1559"/>
    <w:pPr>
      <w:keepNext/>
      <w:keepLines/>
      <w:spacing w:before="360" w:after="80"/>
      <w:outlineLvl w:val="1"/>
    </w:pPr>
    <w:rPr>
      <w:b/>
      <w:sz w:val="36"/>
      <w:szCs w:val="36"/>
    </w:rPr>
  </w:style>
  <w:style w:type="paragraph" w:styleId="Heading3">
    <w:name w:val="heading 3"/>
    <w:basedOn w:val="normal0"/>
    <w:next w:val="normal0"/>
    <w:rsid w:val="002B1559"/>
    <w:pPr>
      <w:keepNext/>
      <w:keepLines/>
      <w:spacing w:before="280" w:after="80"/>
      <w:outlineLvl w:val="2"/>
    </w:pPr>
    <w:rPr>
      <w:b/>
      <w:sz w:val="28"/>
      <w:szCs w:val="28"/>
    </w:rPr>
  </w:style>
  <w:style w:type="paragraph" w:styleId="Heading4">
    <w:name w:val="heading 4"/>
    <w:basedOn w:val="normal0"/>
    <w:next w:val="normal0"/>
    <w:rsid w:val="002B1559"/>
    <w:pPr>
      <w:pBdr>
        <w:top w:val="nil"/>
        <w:left w:val="nil"/>
        <w:bottom w:val="nil"/>
        <w:right w:val="nil"/>
        <w:between w:val="nil"/>
      </w:pBdr>
      <w:spacing w:before="100" w:after="100" w:line="240" w:lineRule="auto"/>
      <w:outlineLvl w:val="3"/>
    </w:pPr>
    <w:rPr>
      <w:rFonts w:ascii="Times New Roman" w:eastAsia="Times New Roman" w:hAnsi="Times New Roman" w:cs="Times New Roman"/>
      <w:b/>
      <w:color w:val="000000"/>
      <w:sz w:val="24"/>
      <w:szCs w:val="24"/>
    </w:rPr>
  </w:style>
  <w:style w:type="paragraph" w:styleId="Heading5">
    <w:name w:val="heading 5"/>
    <w:basedOn w:val="normal0"/>
    <w:next w:val="normal0"/>
    <w:rsid w:val="002B1559"/>
    <w:pPr>
      <w:keepNext/>
      <w:keepLines/>
      <w:spacing w:before="220" w:after="40"/>
      <w:outlineLvl w:val="4"/>
    </w:pPr>
    <w:rPr>
      <w:b/>
    </w:rPr>
  </w:style>
  <w:style w:type="paragraph" w:styleId="Heading6">
    <w:name w:val="heading 6"/>
    <w:basedOn w:val="normal0"/>
    <w:next w:val="normal0"/>
    <w:rsid w:val="002B155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B1559"/>
  </w:style>
  <w:style w:type="paragraph" w:styleId="Title">
    <w:name w:val="Title"/>
    <w:basedOn w:val="normal0"/>
    <w:next w:val="normal0"/>
    <w:rsid w:val="002B1559"/>
    <w:pPr>
      <w:keepNext/>
      <w:keepLines/>
      <w:spacing w:before="480" w:after="120"/>
    </w:pPr>
    <w:rPr>
      <w:b/>
      <w:sz w:val="72"/>
      <w:szCs w:val="72"/>
    </w:rPr>
  </w:style>
  <w:style w:type="paragraph" w:styleId="Subtitle">
    <w:name w:val="Subtitle"/>
    <w:basedOn w:val="normal0"/>
    <w:next w:val="normal0"/>
    <w:rsid w:val="002B155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stinterests.org.uk/excluded_decisions/" TargetMode="External"/><Relationship Id="rId5" Type="http://schemas.openxmlformats.org/officeDocument/2006/relationships/hyperlink" Target="http://www.bestinterests.org.uk/what_is_mental_capac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6954</Characters>
  <Application>Microsoft Office Word</Application>
  <DocSecurity>0</DocSecurity>
  <Lines>57</Lines>
  <Paragraphs>16</Paragraphs>
  <ScaleCrop>false</ScaleCrop>
  <Company>London Borough of Hillingdon</Company>
  <LinksUpToDate>false</LinksUpToDate>
  <CharactersWithSpaces>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Meissner</dc:creator>
  <cp:lastModifiedBy>cmeissner</cp:lastModifiedBy>
  <cp:revision>3</cp:revision>
  <dcterms:created xsi:type="dcterms:W3CDTF">2019-03-13T16:53:00Z</dcterms:created>
  <dcterms:modified xsi:type="dcterms:W3CDTF">2019-03-13T16:54:00Z</dcterms:modified>
</cp:coreProperties>
</file>