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Pr="00EE5AAC" w:rsidRDefault="00D368ED" w:rsidP="00BC36C7">
      <w:pPr>
        <w:rPr>
          <w:rFonts w:ascii="Verdana" w:hAnsi="Verdana"/>
          <w:b/>
        </w:rPr>
      </w:pPr>
      <w:r>
        <w:rPr>
          <w:rFonts w:ascii="Verdana" w:hAnsi="Verdana"/>
          <w:b/>
        </w:rPr>
        <w:t>Children Subject to ‘Dual Status’ – CLA/Child Protection Plan</w:t>
      </w:r>
    </w:p>
    <w:p w:rsidR="00D368ED" w:rsidRDefault="00D368ED" w:rsidP="00BC36C7">
      <w:pPr>
        <w:tabs>
          <w:tab w:val="left" w:pos="2767"/>
        </w:tabs>
        <w:rPr>
          <w:rFonts w:ascii="Verdana" w:hAnsi="Verdana"/>
        </w:rPr>
      </w:pPr>
    </w:p>
    <w:p w:rsidR="00D368ED" w:rsidRPr="00D368ED" w:rsidRDefault="00D368ED" w:rsidP="00D368ED">
      <w:pPr>
        <w:tabs>
          <w:tab w:val="left" w:pos="2767"/>
        </w:tabs>
        <w:jc w:val="both"/>
        <w:rPr>
          <w:rFonts w:ascii="Verdana" w:hAnsi="Verdana"/>
          <w:b/>
        </w:rPr>
      </w:pPr>
      <w:r w:rsidRPr="00D368ED">
        <w:rPr>
          <w:rFonts w:ascii="Verdana" w:hAnsi="Verdana"/>
          <w:b/>
        </w:rPr>
        <w:t>Scope &amp; Purpose</w:t>
      </w:r>
    </w:p>
    <w:p w:rsidR="00D368ED" w:rsidRPr="00D368ED" w:rsidRDefault="00D368ED" w:rsidP="00D368ED">
      <w:pPr>
        <w:tabs>
          <w:tab w:val="left" w:pos="2767"/>
        </w:tabs>
        <w:jc w:val="both"/>
        <w:rPr>
          <w:rFonts w:ascii="Verdana" w:hAnsi="Verdana"/>
          <w:b/>
        </w:rPr>
      </w:pPr>
    </w:p>
    <w:p w:rsidR="00D368ED" w:rsidRDefault="00D368ED" w:rsidP="00D368ED">
      <w:pPr>
        <w:tabs>
          <w:tab w:val="left" w:pos="2767"/>
        </w:tabs>
        <w:jc w:val="both"/>
        <w:rPr>
          <w:rFonts w:ascii="Verdana" w:hAnsi="Verdana"/>
        </w:rPr>
      </w:pPr>
      <w:r w:rsidRPr="00D368ED">
        <w:rPr>
          <w:rFonts w:ascii="Verdana" w:hAnsi="Verdana"/>
        </w:rPr>
        <w:t xml:space="preserve">This Practice Guidance is for situations when a child is subject to a Child Protection Plan and then becomes a </w:t>
      </w:r>
      <w:r w:rsidR="00D02816">
        <w:rPr>
          <w:rFonts w:ascii="Verdana" w:hAnsi="Verdana"/>
        </w:rPr>
        <w:t>Child Looked After by the Local Authority.</w:t>
      </w:r>
    </w:p>
    <w:p w:rsidR="00D368ED" w:rsidRPr="00D368ED" w:rsidRDefault="00D368ED" w:rsidP="00D368ED">
      <w:pPr>
        <w:tabs>
          <w:tab w:val="left" w:pos="2767"/>
        </w:tabs>
        <w:jc w:val="both"/>
        <w:rPr>
          <w:rFonts w:ascii="Verdana" w:hAnsi="Verdana"/>
        </w:rPr>
      </w:pPr>
    </w:p>
    <w:p w:rsidR="00D368ED" w:rsidRPr="00D368ED" w:rsidRDefault="00D368ED" w:rsidP="00D368ED">
      <w:pPr>
        <w:tabs>
          <w:tab w:val="left" w:pos="2767"/>
        </w:tabs>
        <w:jc w:val="both"/>
        <w:rPr>
          <w:rFonts w:ascii="Verdana" w:hAnsi="Verdana"/>
        </w:rPr>
      </w:pPr>
      <w:r w:rsidRPr="00D368ED">
        <w:rPr>
          <w:rFonts w:ascii="Verdana" w:hAnsi="Verdana"/>
        </w:rPr>
        <w:t xml:space="preserve">The purpose of this guidance is to ensure that children are subject to dual plans for the shortest possible period of time, to align and integrate safety planning arrangements whilst ensuring their continuing protection, and to avoid unnecessary duplication of effort by professionals. </w:t>
      </w:r>
    </w:p>
    <w:p w:rsidR="00D368ED" w:rsidRPr="00D368ED" w:rsidRDefault="00D368ED" w:rsidP="00D368ED">
      <w:pPr>
        <w:tabs>
          <w:tab w:val="left" w:pos="2767"/>
        </w:tabs>
        <w:jc w:val="both"/>
        <w:rPr>
          <w:rFonts w:ascii="Verdana" w:hAnsi="Verdana"/>
        </w:rPr>
      </w:pPr>
    </w:p>
    <w:p w:rsidR="00D368ED" w:rsidRDefault="00D368ED" w:rsidP="00D368ED">
      <w:pPr>
        <w:tabs>
          <w:tab w:val="left" w:pos="2767"/>
        </w:tabs>
        <w:jc w:val="both"/>
        <w:rPr>
          <w:rFonts w:ascii="Verdana" w:hAnsi="Verdana"/>
          <w:b/>
        </w:rPr>
      </w:pPr>
      <w:r w:rsidRPr="00D368ED">
        <w:rPr>
          <w:rFonts w:ascii="Verdana" w:hAnsi="Verdana"/>
          <w:b/>
        </w:rPr>
        <w:t>Background</w:t>
      </w:r>
    </w:p>
    <w:p w:rsidR="00D368ED" w:rsidRPr="00D368ED" w:rsidRDefault="00D368ED" w:rsidP="00D368ED">
      <w:pPr>
        <w:tabs>
          <w:tab w:val="left" w:pos="2767"/>
        </w:tabs>
        <w:jc w:val="both"/>
        <w:rPr>
          <w:rFonts w:ascii="Verdana" w:hAnsi="Verdana"/>
          <w:b/>
        </w:rPr>
      </w:pPr>
    </w:p>
    <w:p w:rsidR="00D368ED" w:rsidRDefault="00D368ED" w:rsidP="00D368ED">
      <w:pPr>
        <w:tabs>
          <w:tab w:val="left" w:pos="2767"/>
        </w:tabs>
        <w:jc w:val="both"/>
        <w:rPr>
          <w:rFonts w:ascii="Verdana" w:hAnsi="Verdana"/>
        </w:rPr>
      </w:pPr>
      <w:r w:rsidRPr="00D368ED">
        <w:rPr>
          <w:rFonts w:ascii="Verdana" w:hAnsi="Verdana"/>
        </w:rPr>
        <w:t>Generally, child</w:t>
      </w:r>
      <w:r>
        <w:rPr>
          <w:rFonts w:ascii="Verdana" w:hAnsi="Verdana"/>
        </w:rPr>
        <w:t xml:space="preserve">ren </w:t>
      </w:r>
      <w:r w:rsidRPr="00726880">
        <w:rPr>
          <w:rFonts w:ascii="Verdana" w:hAnsi="Verdana"/>
          <w:b/>
        </w:rPr>
        <w:t>should not be</w:t>
      </w:r>
      <w:r>
        <w:rPr>
          <w:rFonts w:ascii="Verdana" w:hAnsi="Verdana"/>
        </w:rPr>
        <w:t xml:space="preserve"> the subject to</w:t>
      </w:r>
      <w:r w:rsidRPr="00D368ED">
        <w:rPr>
          <w:rFonts w:ascii="Verdana" w:hAnsi="Verdana"/>
        </w:rPr>
        <w:t xml:space="preserve"> both </w:t>
      </w:r>
      <w:r>
        <w:rPr>
          <w:rFonts w:ascii="Verdana" w:hAnsi="Verdana"/>
        </w:rPr>
        <w:t>C</w:t>
      </w:r>
      <w:r w:rsidRPr="00D368ED">
        <w:rPr>
          <w:rFonts w:ascii="Verdana" w:hAnsi="Verdana"/>
        </w:rPr>
        <w:t xml:space="preserve">hild </w:t>
      </w:r>
      <w:r>
        <w:rPr>
          <w:rFonts w:ascii="Verdana" w:hAnsi="Verdana"/>
        </w:rPr>
        <w:t>P</w:t>
      </w:r>
      <w:r w:rsidRPr="00D368ED">
        <w:rPr>
          <w:rFonts w:ascii="Verdana" w:hAnsi="Verdana"/>
        </w:rPr>
        <w:t xml:space="preserve">rotection and </w:t>
      </w:r>
      <w:r>
        <w:rPr>
          <w:rFonts w:ascii="Verdana" w:hAnsi="Verdana"/>
        </w:rPr>
        <w:t>C</w:t>
      </w:r>
      <w:r w:rsidRPr="00D368ED">
        <w:rPr>
          <w:rFonts w:ascii="Verdana" w:hAnsi="Verdana"/>
        </w:rPr>
        <w:t xml:space="preserve">are </w:t>
      </w:r>
      <w:r>
        <w:rPr>
          <w:rFonts w:ascii="Verdana" w:hAnsi="Verdana"/>
        </w:rPr>
        <w:t>P</w:t>
      </w:r>
      <w:r w:rsidRPr="00D368ED">
        <w:rPr>
          <w:rFonts w:ascii="Verdana" w:hAnsi="Verdana"/>
        </w:rPr>
        <w:t>lanni</w:t>
      </w:r>
      <w:r>
        <w:rPr>
          <w:rFonts w:ascii="Verdana" w:hAnsi="Verdana"/>
        </w:rPr>
        <w:t>ng processes</w:t>
      </w:r>
      <w:r w:rsidRPr="00D368ED">
        <w:rPr>
          <w:rFonts w:ascii="Verdana" w:hAnsi="Verdana"/>
        </w:rPr>
        <w:t>. The general presumption should be that children who are looked after by a local authority should not be living with a continuing level of risk that requires a Child Protection Plan. This is especially so for those children placed in residential care, foster care or other regulated settings where the placement arrangements ensure that the child is safe from continuing significant harm.</w:t>
      </w:r>
      <w:r w:rsidR="00832DF0">
        <w:rPr>
          <w:rFonts w:ascii="Verdana" w:hAnsi="Verdana"/>
        </w:rPr>
        <w:t xml:space="preserve">  If a child is still considered to be at risk of significant harm despite being looked after (for example, at risk of exploitation outside the placement) this is not a reason to keep the child on a child protection plan, as </w:t>
      </w:r>
      <w:r w:rsidR="001D32A6">
        <w:rPr>
          <w:rFonts w:ascii="Verdana" w:hAnsi="Verdana"/>
        </w:rPr>
        <w:t xml:space="preserve">the </w:t>
      </w:r>
      <w:r w:rsidR="005455B5">
        <w:rPr>
          <w:rFonts w:ascii="Verdana" w:hAnsi="Verdana"/>
        </w:rPr>
        <w:t xml:space="preserve">CLA </w:t>
      </w:r>
      <w:r w:rsidR="001D32A6">
        <w:rPr>
          <w:rFonts w:ascii="Verdana" w:hAnsi="Verdana"/>
        </w:rPr>
        <w:t>C</w:t>
      </w:r>
      <w:r w:rsidR="005455B5">
        <w:rPr>
          <w:rFonts w:ascii="Verdana" w:hAnsi="Verdana"/>
        </w:rPr>
        <w:t>are</w:t>
      </w:r>
      <w:r w:rsidR="00832DF0">
        <w:rPr>
          <w:rFonts w:ascii="Verdana" w:hAnsi="Verdana"/>
        </w:rPr>
        <w:t xml:space="preserve"> </w:t>
      </w:r>
      <w:r w:rsidR="001D32A6">
        <w:rPr>
          <w:rFonts w:ascii="Verdana" w:hAnsi="Verdana"/>
        </w:rPr>
        <w:t>P</w:t>
      </w:r>
      <w:r w:rsidR="00832DF0">
        <w:rPr>
          <w:rFonts w:ascii="Verdana" w:hAnsi="Verdana"/>
        </w:rPr>
        <w:t>lan should be addressing those risks.</w:t>
      </w:r>
    </w:p>
    <w:p w:rsidR="00D368ED" w:rsidRPr="00D368ED" w:rsidRDefault="00D368ED" w:rsidP="00D368ED">
      <w:pPr>
        <w:tabs>
          <w:tab w:val="left" w:pos="2767"/>
        </w:tabs>
        <w:jc w:val="both"/>
        <w:rPr>
          <w:rFonts w:ascii="Verdana" w:hAnsi="Verdana"/>
        </w:rPr>
      </w:pPr>
    </w:p>
    <w:p w:rsidR="00D368ED" w:rsidRDefault="00D368ED" w:rsidP="00D368ED">
      <w:pPr>
        <w:tabs>
          <w:tab w:val="left" w:pos="2767"/>
        </w:tabs>
        <w:jc w:val="both"/>
        <w:rPr>
          <w:rFonts w:ascii="Verdana" w:hAnsi="Verdana"/>
        </w:rPr>
      </w:pPr>
      <w:r w:rsidRPr="00D368ED">
        <w:rPr>
          <w:rFonts w:ascii="Verdana" w:hAnsi="Verdana"/>
        </w:rPr>
        <w:t>When both planning processes are in operation it can result in unnecessary duplication but also create confusion about which forum is making key decisions; this may result in attention being diverted away from the child, safety arrangements and the management of risk. It can also be difficult and stressful for families to attend numerous meetings and understand the differing processes. There are also resource implications for professionals attending numerous meetings.</w:t>
      </w:r>
    </w:p>
    <w:p w:rsidR="00D368ED" w:rsidRDefault="00D368ED" w:rsidP="00D368ED">
      <w:pPr>
        <w:tabs>
          <w:tab w:val="left" w:pos="2767"/>
        </w:tabs>
        <w:jc w:val="both"/>
        <w:rPr>
          <w:rFonts w:ascii="Verdana" w:hAnsi="Verdana"/>
        </w:rPr>
      </w:pPr>
    </w:p>
    <w:p w:rsidR="00726880" w:rsidRDefault="00726880" w:rsidP="00D368ED">
      <w:pPr>
        <w:tabs>
          <w:tab w:val="left" w:pos="2767"/>
        </w:tabs>
        <w:jc w:val="both"/>
        <w:rPr>
          <w:rFonts w:ascii="Verdana" w:hAnsi="Verdana"/>
          <w:b/>
        </w:rPr>
      </w:pPr>
      <w:r w:rsidRPr="00726880">
        <w:rPr>
          <w:rFonts w:ascii="Verdana" w:hAnsi="Verdana"/>
          <w:b/>
        </w:rPr>
        <w:t>Decision M</w:t>
      </w:r>
      <w:r w:rsidR="00D368ED" w:rsidRPr="00726880">
        <w:rPr>
          <w:rFonts w:ascii="Verdana" w:hAnsi="Verdana"/>
          <w:b/>
        </w:rPr>
        <w:t>aking</w:t>
      </w:r>
    </w:p>
    <w:p w:rsidR="00726880" w:rsidRDefault="00726880" w:rsidP="00D368ED">
      <w:pPr>
        <w:tabs>
          <w:tab w:val="left" w:pos="2767"/>
        </w:tabs>
        <w:jc w:val="both"/>
        <w:rPr>
          <w:rFonts w:ascii="Verdana" w:hAnsi="Verdana"/>
          <w:b/>
        </w:rPr>
      </w:pPr>
    </w:p>
    <w:p w:rsidR="00726880" w:rsidRDefault="007428DD" w:rsidP="00D368ED">
      <w:pPr>
        <w:tabs>
          <w:tab w:val="left" w:pos="2767"/>
        </w:tabs>
        <w:jc w:val="both"/>
        <w:rPr>
          <w:rFonts w:ascii="Verdana" w:hAnsi="Verdana"/>
        </w:rPr>
      </w:pPr>
      <w:r>
        <w:rPr>
          <w:rFonts w:ascii="Verdana" w:hAnsi="Verdana"/>
        </w:rPr>
        <w:t>W</w:t>
      </w:r>
      <w:r w:rsidR="00D368ED" w:rsidRPr="00D368ED">
        <w:rPr>
          <w:rFonts w:ascii="Verdana" w:hAnsi="Verdana"/>
        </w:rPr>
        <w:t xml:space="preserve">hen a child becomes Looked </w:t>
      </w:r>
      <w:r w:rsidR="00726880">
        <w:rPr>
          <w:rFonts w:ascii="Verdana" w:hAnsi="Verdana"/>
        </w:rPr>
        <w:t>After;</w:t>
      </w:r>
      <w:r w:rsidR="00D368ED" w:rsidRPr="00D368ED">
        <w:rPr>
          <w:rFonts w:ascii="Verdana" w:hAnsi="Verdana"/>
        </w:rPr>
        <w:t xml:space="preserve"> either through a Cour</w:t>
      </w:r>
      <w:r w:rsidR="00726880">
        <w:rPr>
          <w:rFonts w:ascii="Verdana" w:hAnsi="Verdana"/>
        </w:rPr>
        <w:t>t Order or s20</w:t>
      </w:r>
      <w:r w:rsidR="00D368ED" w:rsidRPr="00D368ED">
        <w:rPr>
          <w:rFonts w:ascii="Verdana" w:hAnsi="Verdana"/>
        </w:rPr>
        <w:t xml:space="preserve"> this provides the child with a more robust safeguarding process than would be provided by a Child Protection Plan. </w:t>
      </w:r>
    </w:p>
    <w:p w:rsidR="004143C6" w:rsidRDefault="004143C6" w:rsidP="00D368ED">
      <w:pPr>
        <w:tabs>
          <w:tab w:val="left" w:pos="2767"/>
        </w:tabs>
        <w:jc w:val="both"/>
        <w:rPr>
          <w:rFonts w:ascii="Verdana" w:hAnsi="Verdana"/>
        </w:rPr>
      </w:pPr>
    </w:p>
    <w:p w:rsidR="007428DD" w:rsidRDefault="007428DD" w:rsidP="00D368ED">
      <w:pPr>
        <w:tabs>
          <w:tab w:val="left" w:pos="2767"/>
        </w:tabs>
        <w:jc w:val="both"/>
        <w:rPr>
          <w:rFonts w:ascii="Verdana" w:hAnsi="Verdana"/>
        </w:rPr>
      </w:pPr>
      <w:r>
        <w:rPr>
          <w:rFonts w:ascii="Verdana" w:hAnsi="Verdana"/>
        </w:rPr>
        <w:t>In the majority of cases, a Child Protection Plan will no longer be required with very few exceptions;</w:t>
      </w:r>
    </w:p>
    <w:p w:rsidR="00356A73" w:rsidRDefault="00356A73" w:rsidP="00D368ED">
      <w:pPr>
        <w:tabs>
          <w:tab w:val="left" w:pos="2767"/>
        </w:tabs>
        <w:jc w:val="both"/>
        <w:rPr>
          <w:rFonts w:ascii="Verdana" w:hAnsi="Verdana"/>
        </w:rPr>
      </w:pPr>
    </w:p>
    <w:p w:rsidR="004143C6" w:rsidRDefault="007428DD" w:rsidP="007428DD">
      <w:pPr>
        <w:pStyle w:val="ListParagraph"/>
        <w:numPr>
          <w:ilvl w:val="0"/>
          <w:numId w:val="10"/>
        </w:numPr>
        <w:tabs>
          <w:tab w:val="left" w:pos="2767"/>
        </w:tabs>
        <w:jc w:val="both"/>
        <w:rPr>
          <w:rFonts w:ascii="Verdana" w:hAnsi="Verdana"/>
        </w:rPr>
      </w:pPr>
      <w:r>
        <w:rPr>
          <w:rFonts w:ascii="Verdana" w:hAnsi="Verdana"/>
        </w:rPr>
        <w:t>w</w:t>
      </w:r>
      <w:r w:rsidR="004143C6" w:rsidRPr="007428DD">
        <w:rPr>
          <w:rFonts w:ascii="Verdana" w:hAnsi="Verdana"/>
        </w:rPr>
        <w:t>here there is a plan of rehabilitation before the 1</w:t>
      </w:r>
      <w:r w:rsidR="004143C6" w:rsidRPr="007428DD">
        <w:rPr>
          <w:rFonts w:ascii="Verdana" w:hAnsi="Verdana"/>
          <w:vertAlign w:val="superscript"/>
        </w:rPr>
        <w:t>st</w:t>
      </w:r>
      <w:r w:rsidR="004143C6" w:rsidRPr="007428DD">
        <w:rPr>
          <w:rFonts w:ascii="Verdana" w:hAnsi="Verdana"/>
        </w:rPr>
        <w:t xml:space="preserve"> CLA Review.  In these circumstances, the CPA may continue with the Child Protection Plan for a short period of time.</w:t>
      </w:r>
    </w:p>
    <w:p w:rsidR="007428DD" w:rsidRPr="007428DD" w:rsidRDefault="007428DD" w:rsidP="007428DD">
      <w:pPr>
        <w:pStyle w:val="ListParagraph"/>
        <w:numPr>
          <w:ilvl w:val="0"/>
          <w:numId w:val="10"/>
        </w:numPr>
        <w:tabs>
          <w:tab w:val="left" w:pos="2767"/>
        </w:tabs>
        <w:jc w:val="both"/>
        <w:rPr>
          <w:rFonts w:ascii="Verdana" w:hAnsi="Verdana"/>
        </w:rPr>
      </w:pPr>
      <w:r>
        <w:rPr>
          <w:rFonts w:ascii="Verdana" w:hAnsi="Verdana"/>
        </w:rPr>
        <w:t>where the child is subject of an ICO but remains placed at home with parents.</w:t>
      </w:r>
    </w:p>
    <w:p w:rsidR="007428DD" w:rsidRDefault="007428DD" w:rsidP="00D368ED">
      <w:pPr>
        <w:tabs>
          <w:tab w:val="left" w:pos="2767"/>
        </w:tabs>
        <w:jc w:val="both"/>
        <w:rPr>
          <w:rFonts w:ascii="Verdana" w:hAnsi="Verdana"/>
        </w:rPr>
      </w:pPr>
    </w:p>
    <w:p w:rsidR="007428DD" w:rsidRDefault="007428DD" w:rsidP="007428DD">
      <w:pPr>
        <w:tabs>
          <w:tab w:val="left" w:pos="2767"/>
        </w:tabs>
        <w:jc w:val="both"/>
        <w:rPr>
          <w:rFonts w:ascii="Verdana" w:hAnsi="Verdana"/>
        </w:rPr>
      </w:pPr>
      <w:r>
        <w:rPr>
          <w:rFonts w:ascii="Verdana" w:hAnsi="Verdana"/>
        </w:rPr>
        <w:lastRenderedPageBreak/>
        <w:t>When the child becomes Looked After, the CLA Care Plan should consider all risk factors; including the action required should a parent seek to remove the child from the care of the local authority through withdrawing s20 consent.</w:t>
      </w:r>
      <w:r w:rsidR="00832DF0">
        <w:rPr>
          <w:rFonts w:ascii="Verdana" w:hAnsi="Verdana"/>
        </w:rPr>
        <w:t xml:space="preserve"> </w:t>
      </w:r>
    </w:p>
    <w:p w:rsidR="007428DD" w:rsidRDefault="007428DD" w:rsidP="007428DD">
      <w:pPr>
        <w:tabs>
          <w:tab w:val="left" w:pos="2767"/>
        </w:tabs>
        <w:jc w:val="both"/>
        <w:rPr>
          <w:rFonts w:ascii="Verdana" w:hAnsi="Verdana"/>
        </w:rPr>
      </w:pPr>
    </w:p>
    <w:p w:rsidR="00356A73" w:rsidRDefault="00356A73" w:rsidP="00D368ED">
      <w:pPr>
        <w:tabs>
          <w:tab w:val="left" w:pos="2767"/>
        </w:tabs>
        <w:jc w:val="both"/>
        <w:rPr>
          <w:rFonts w:ascii="Verdana" w:hAnsi="Verdana"/>
          <w:b/>
        </w:rPr>
      </w:pPr>
    </w:p>
    <w:p w:rsidR="007428DD" w:rsidRDefault="007428DD" w:rsidP="00D368ED">
      <w:pPr>
        <w:tabs>
          <w:tab w:val="left" w:pos="2767"/>
        </w:tabs>
        <w:jc w:val="both"/>
        <w:rPr>
          <w:rFonts w:ascii="Verdana" w:hAnsi="Verdana"/>
          <w:b/>
        </w:rPr>
      </w:pPr>
      <w:r>
        <w:rPr>
          <w:rFonts w:ascii="Verdana" w:hAnsi="Verdana"/>
          <w:b/>
        </w:rPr>
        <w:t>Action Required</w:t>
      </w:r>
      <w:r w:rsidR="001B084B">
        <w:rPr>
          <w:rFonts w:ascii="Verdana" w:hAnsi="Verdana"/>
          <w:b/>
        </w:rPr>
        <w:t xml:space="preserve">  (refer also  to ‘Process’ document below)</w:t>
      </w:r>
    </w:p>
    <w:p w:rsidR="00D02816" w:rsidRDefault="00D02816" w:rsidP="007428DD">
      <w:pPr>
        <w:pStyle w:val="ListParagraph"/>
        <w:numPr>
          <w:ilvl w:val="0"/>
          <w:numId w:val="10"/>
        </w:numPr>
        <w:tabs>
          <w:tab w:val="left" w:pos="2767"/>
        </w:tabs>
        <w:jc w:val="both"/>
        <w:rPr>
          <w:rFonts w:ascii="Verdana" w:hAnsi="Verdana"/>
        </w:rPr>
      </w:pPr>
      <w:r>
        <w:rPr>
          <w:rFonts w:ascii="Verdana" w:hAnsi="Verdana"/>
        </w:rPr>
        <w:t>The Social Worker will notify the CPA that the child is now Looked After.</w:t>
      </w:r>
    </w:p>
    <w:p w:rsidR="00D02816" w:rsidRDefault="00D02816" w:rsidP="007428DD">
      <w:pPr>
        <w:pStyle w:val="ListParagraph"/>
        <w:numPr>
          <w:ilvl w:val="0"/>
          <w:numId w:val="10"/>
        </w:numPr>
        <w:tabs>
          <w:tab w:val="left" w:pos="2767"/>
        </w:tabs>
        <w:jc w:val="both"/>
        <w:rPr>
          <w:rFonts w:ascii="Verdana" w:hAnsi="Verdana"/>
        </w:rPr>
      </w:pPr>
    </w:p>
    <w:p w:rsidR="007428DD" w:rsidRPr="007428DD" w:rsidRDefault="007428DD" w:rsidP="007428DD">
      <w:pPr>
        <w:pStyle w:val="ListParagraph"/>
        <w:numPr>
          <w:ilvl w:val="0"/>
          <w:numId w:val="10"/>
        </w:numPr>
        <w:tabs>
          <w:tab w:val="left" w:pos="2767"/>
        </w:tabs>
        <w:jc w:val="both"/>
        <w:rPr>
          <w:rFonts w:ascii="Verdana" w:hAnsi="Verdana"/>
        </w:rPr>
      </w:pPr>
      <w:r w:rsidRPr="007428DD">
        <w:rPr>
          <w:rFonts w:ascii="Verdana" w:hAnsi="Verdana"/>
        </w:rPr>
        <w:t xml:space="preserve">When a child becomes Looked After, the CPA will review the case to ensure that the </w:t>
      </w:r>
      <w:r w:rsidR="001D32A6">
        <w:rPr>
          <w:rFonts w:ascii="Verdana" w:hAnsi="Verdana"/>
        </w:rPr>
        <w:t>initial Care Plan considers the risk factors and liaise with the child’s social worker, if required.</w:t>
      </w:r>
    </w:p>
    <w:p w:rsidR="007428DD" w:rsidRDefault="007428DD" w:rsidP="00D368ED">
      <w:pPr>
        <w:tabs>
          <w:tab w:val="left" w:pos="2767"/>
        </w:tabs>
        <w:jc w:val="both"/>
        <w:rPr>
          <w:rFonts w:ascii="Verdana" w:hAnsi="Verdana"/>
        </w:rPr>
      </w:pPr>
    </w:p>
    <w:p w:rsidR="007428DD" w:rsidRDefault="007428DD" w:rsidP="007428DD">
      <w:pPr>
        <w:pStyle w:val="ListParagraph"/>
        <w:numPr>
          <w:ilvl w:val="0"/>
          <w:numId w:val="10"/>
        </w:numPr>
        <w:tabs>
          <w:tab w:val="left" w:pos="2767"/>
        </w:tabs>
        <w:jc w:val="both"/>
        <w:rPr>
          <w:rFonts w:ascii="Verdana" w:hAnsi="Verdana"/>
        </w:rPr>
      </w:pPr>
      <w:r w:rsidRPr="007428DD">
        <w:rPr>
          <w:rFonts w:ascii="Verdana" w:hAnsi="Verdana"/>
        </w:rPr>
        <w:t>The CPA should write a brief summary of the decision on MOSAIC</w:t>
      </w:r>
      <w:r w:rsidR="00356A73">
        <w:rPr>
          <w:rFonts w:ascii="Verdana" w:hAnsi="Verdana"/>
        </w:rPr>
        <w:t xml:space="preserve"> – including any advice, guidance.</w:t>
      </w:r>
    </w:p>
    <w:p w:rsidR="00356A73" w:rsidRPr="00356A73" w:rsidRDefault="00356A73" w:rsidP="00356A73">
      <w:pPr>
        <w:pStyle w:val="ListParagraph"/>
        <w:rPr>
          <w:rFonts w:ascii="Verdana" w:hAnsi="Verdana"/>
        </w:rPr>
      </w:pPr>
    </w:p>
    <w:p w:rsidR="00356A73" w:rsidRPr="007428DD" w:rsidRDefault="00356A73" w:rsidP="007428DD">
      <w:pPr>
        <w:pStyle w:val="ListParagraph"/>
        <w:numPr>
          <w:ilvl w:val="0"/>
          <w:numId w:val="10"/>
        </w:numPr>
        <w:tabs>
          <w:tab w:val="left" w:pos="2767"/>
        </w:tabs>
        <w:jc w:val="both"/>
        <w:rPr>
          <w:rFonts w:ascii="Verdana" w:hAnsi="Verdana"/>
        </w:rPr>
      </w:pPr>
      <w:r>
        <w:rPr>
          <w:rFonts w:ascii="Verdana" w:hAnsi="Verdana"/>
        </w:rPr>
        <w:t>The CPA will inform the Team Manager who will approve the decision – on case notes.</w:t>
      </w:r>
    </w:p>
    <w:p w:rsidR="00726880" w:rsidRDefault="00726880" w:rsidP="00D368ED">
      <w:pPr>
        <w:tabs>
          <w:tab w:val="left" w:pos="2767"/>
        </w:tabs>
        <w:jc w:val="both"/>
        <w:rPr>
          <w:rFonts w:ascii="Verdana" w:hAnsi="Verdana"/>
        </w:rPr>
      </w:pPr>
    </w:p>
    <w:p w:rsidR="007428DD" w:rsidRDefault="007428DD" w:rsidP="00356A73">
      <w:pPr>
        <w:pStyle w:val="ListParagraph"/>
        <w:numPr>
          <w:ilvl w:val="0"/>
          <w:numId w:val="10"/>
        </w:numPr>
        <w:tabs>
          <w:tab w:val="left" w:pos="2767"/>
        </w:tabs>
        <w:jc w:val="both"/>
        <w:rPr>
          <w:rFonts w:ascii="Verdana" w:hAnsi="Verdana"/>
        </w:rPr>
      </w:pPr>
      <w:r w:rsidRPr="007428DD">
        <w:rPr>
          <w:rFonts w:ascii="Verdana" w:hAnsi="Verdana"/>
        </w:rPr>
        <w:t xml:space="preserve">The CPA </w:t>
      </w:r>
      <w:r w:rsidR="00D368ED" w:rsidRPr="007428DD">
        <w:rPr>
          <w:rFonts w:ascii="Verdana" w:hAnsi="Verdana"/>
        </w:rPr>
        <w:t xml:space="preserve">Unit will then write to all agencies involved to advise them that the Child Protection Plan will be discontinued </w:t>
      </w:r>
      <w:r w:rsidRPr="007428DD">
        <w:rPr>
          <w:rFonts w:ascii="Verdana" w:hAnsi="Verdana"/>
        </w:rPr>
        <w:t>a</w:t>
      </w:r>
      <w:r w:rsidR="00356A73">
        <w:rPr>
          <w:rFonts w:ascii="Verdana" w:hAnsi="Verdana"/>
        </w:rPr>
        <w:t>s the child is now Looked After (see standard letter below).</w:t>
      </w:r>
    </w:p>
    <w:p w:rsidR="00356A73" w:rsidRPr="00356A73" w:rsidRDefault="00356A73" w:rsidP="00356A73">
      <w:pPr>
        <w:pStyle w:val="ListParagraph"/>
        <w:rPr>
          <w:rFonts w:ascii="Verdana" w:hAnsi="Verdana"/>
        </w:rPr>
      </w:pPr>
    </w:p>
    <w:p w:rsidR="00356A73" w:rsidRDefault="00356A73" w:rsidP="00356A73">
      <w:pPr>
        <w:pStyle w:val="ListParagraph"/>
        <w:numPr>
          <w:ilvl w:val="0"/>
          <w:numId w:val="10"/>
        </w:numPr>
        <w:tabs>
          <w:tab w:val="left" w:pos="2767"/>
        </w:tabs>
        <w:jc w:val="both"/>
        <w:rPr>
          <w:rFonts w:ascii="Verdana" w:hAnsi="Verdana"/>
        </w:rPr>
      </w:pPr>
      <w:r>
        <w:rPr>
          <w:rFonts w:ascii="Verdana" w:hAnsi="Verdana"/>
        </w:rPr>
        <w:t>Agencies will be given 5 working days to respond before ending the Child Protection Plan.</w:t>
      </w:r>
    </w:p>
    <w:p w:rsidR="00356A73" w:rsidRPr="00356A73" w:rsidRDefault="00356A73" w:rsidP="00356A73">
      <w:pPr>
        <w:pStyle w:val="ListParagraph"/>
        <w:rPr>
          <w:rFonts w:ascii="Verdana" w:hAnsi="Verdana"/>
        </w:rPr>
      </w:pPr>
    </w:p>
    <w:p w:rsidR="00356A73" w:rsidRDefault="00356A73" w:rsidP="00356A73">
      <w:pPr>
        <w:pStyle w:val="ListParagraph"/>
        <w:numPr>
          <w:ilvl w:val="0"/>
          <w:numId w:val="10"/>
        </w:numPr>
        <w:tabs>
          <w:tab w:val="left" w:pos="2767"/>
        </w:tabs>
        <w:jc w:val="both"/>
        <w:rPr>
          <w:rFonts w:ascii="Verdana" w:hAnsi="Verdana"/>
        </w:rPr>
      </w:pPr>
      <w:r>
        <w:rPr>
          <w:rFonts w:ascii="Verdana" w:hAnsi="Verdana"/>
        </w:rPr>
        <w:t>The Team Manager will review any challenges and determine whether a Review Conference is required.</w:t>
      </w:r>
    </w:p>
    <w:p w:rsidR="00356A73" w:rsidRDefault="00356A73" w:rsidP="00356A73">
      <w:pPr>
        <w:pStyle w:val="ListParagraph"/>
        <w:rPr>
          <w:rFonts w:ascii="Verdana" w:hAnsi="Verdana"/>
        </w:rPr>
      </w:pPr>
    </w:p>
    <w:p w:rsidR="00356A73" w:rsidRDefault="00356A73" w:rsidP="00356A73">
      <w:pPr>
        <w:pStyle w:val="ListParagraph"/>
        <w:rPr>
          <w:rFonts w:ascii="Verdana" w:hAnsi="Verdana"/>
        </w:rPr>
      </w:pPr>
    </w:p>
    <w:p w:rsidR="00BC36C7" w:rsidRPr="00BC36C7" w:rsidRDefault="005810A6" w:rsidP="00BC36C7">
      <w:pPr>
        <w:tabs>
          <w:tab w:val="left" w:pos="2767"/>
        </w:tabs>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44A4A069" wp14:editId="7AAAA964">
                <wp:simplePos x="0" y="0"/>
                <wp:positionH relativeFrom="column">
                  <wp:posOffset>-567204</wp:posOffset>
                </wp:positionH>
                <wp:positionV relativeFrom="paragraph">
                  <wp:posOffset>268007</wp:posOffset>
                </wp:positionV>
                <wp:extent cx="6860540" cy="1571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625"/>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bookmarkStart w:id="0" w:name="_MON_1609663888"/>
                          <w:bookmarkEnd w:id="0"/>
                          <w:p w:rsidR="00BC36C7" w:rsidRDefault="002135EB"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45pt;height:50.25pt" o:ole="">
                                  <v:imagedata r:id="rId9" o:title=""/>
                                </v:shape>
                                <o:OLEObject Type="Embed" ProgID="Word.Document.12" ShapeID="_x0000_i1026" DrawAspect="Icon" ObjectID="_1614070711" r:id="rId10">
                                  <o:FieldCodes>\s</o:FieldCodes>
                                </o:OLEObject>
                              </w:object>
                            </w:r>
                            <w:r w:rsidR="001B084B">
                              <w:rPr>
                                <w:rFonts w:ascii="MS Reference Sans Serif" w:eastAsia="Calibri" w:hAnsi="MS Reference Sans Serif"/>
                                <w:sz w:val="20"/>
                                <w:szCs w:val="20"/>
                                <w:lang w:eastAsia="en-US"/>
                              </w:rPr>
                              <w:t xml:space="preserve">        </w:t>
                            </w:r>
                            <w:bookmarkStart w:id="1" w:name="_MON_1614066400"/>
                            <w:bookmarkEnd w:id="1"/>
                            <w:r w:rsidR="001B084B">
                              <w:rPr>
                                <w:rFonts w:ascii="MS Reference Sans Serif" w:eastAsia="Calibri" w:hAnsi="MS Reference Sans Serif"/>
                                <w:sz w:val="20"/>
                                <w:szCs w:val="20"/>
                                <w:lang w:eastAsia="en-US"/>
                              </w:rPr>
                              <w:object w:dxaOrig="1551" w:dyaOrig="1004">
                                <v:shape id="_x0000_i1028" type="#_x0000_t75" style="width:77.45pt;height:50.25pt" o:ole="">
                                  <v:imagedata r:id="rId11" o:title=""/>
                                </v:shape>
                                <o:OLEObject Type="Embed" ProgID="Word.Document.12" ShapeID="_x0000_i1028" DrawAspect="Icon" ObjectID="_1614070712" r:id="rId12">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4.65pt;margin-top:21.1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4wZwIAAM4EAAAOAAAAZHJzL2Uyb0RvYy54bWysVF1P2zAUfZ+0/2D5fSTp2tJVpKiAOk1i&#10;gAYTz67jtJEcX89227Bfv2MnBcb2NO3FvV+5H+ee27PzrtVsr5xvyJS8OMk5U0ZS1ZhNyb8/rD7M&#10;OPNBmEpoMqrkT8rz88X7d2cHO1cj2pKulGNIYvz8YEu+DcHOs8zLrWqFPyGrDJw1uVYEqG6TVU4c&#10;kL3V2SjPp9mBXGUdSeU9rFe9ky9S/rpWMtzWtVeB6ZKjt5Bel951fLPFmZhvnLDbRg5tiH/oohWN&#10;QdHnVFciCLZzzR+p2kY68lSHE0ltRnXdSJVmwDRF/maa+62wKs0CcLx9hsn/v7TyZn/nWFNhd5wZ&#10;0WJFD6oL7II6VkR0DtbPEXRvERY6mGPkYPcwxqG72rXxF+Mw+IHz0zO2MZmEcTqb5pMxXBK+YnJa&#10;TEeTmCd7+dw6Hz4ralkUSu5oZ6pv2GACVuyvfejjj3GxpCfdVKtG66S4zfpSO7YX2PZ4NSsurtK3&#10;etd+pao3gzT5sHaYQY7ePDua0Y/v06TefsuvDTtgko+TPKU1FAv3PWkTG1CJcUOjEbkeoSiFbt0N&#10;OA/oral6AqiOelJ6K1cNBr8WPtwJBxYCLFxWuMVTa0JlGiTOtuR+/s0e40EOeDk7gNUl9z92winO&#10;9BcD2nwqxnEHISnjyekIinvtWb/2mF17SYAS1EB3SYzxQR/F2lH7iANcxqpwCSNRu+ThKF6G/tZw&#10;wFItlykIxLciXJt7K2PqiFvc6EP3KJwddh9Amxs68l/M32y/j41fGlruAtVNokbEuUcVu4sKjiZt&#10;cTjweJWv9RT18je0+AUAAP//AwBQSwMEFAAGAAgAAAAhAIygKPXiAAAACgEAAA8AAABkcnMvZG93&#10;bnJldi54bWxMj8tOwzAQRfdI/IM1SOxaJy4PO8SpUCUQG4poK3XrxIMTGttR7Lbp32NWsBzdo3vP&#10;lMvJ9uSEY+i8k5DPMyDoGq87ZyTsti8zDiRE5bTqvUMJFwywrK6vSlVof3afeNpEQ1KJC4WS0MY4&#10;FJSGpkWrwtwP6FL25UerYjpHQ/Wozqnc9pRl2QO1qnNpoVUDrlpsDpujlSDMfnW47Gq/eP1++7g3&#10;E1+zdy7l7c30/AQk4hT/YPjVT+pQJafaH50OpJcw42KRUAl3jAFJgBB5DqSWwLh4BFqV9P8L1Q8A&#10;AAD//wMAUEsBAi0AFAAGAAgAAAAhALaDOJL+AAAA4QEAABMAAAAAAAAAAAAAAAAAAAAAAFtDb250&#10;ZW50X1R5cGVzXS54bWxQSwECLQAUAAYACAAAACEAOP0h/9YAAACUAQAACwAAAAAAAAAAAAAAAAAv&#10;AQAAX3JlbHMvLnJlbHNQSwECLQAUAAYACAAAACEAwop+MGcCAADOBAAADgAAAAAAAAAAAAAAAAAu&#10;AgAAZHJzL2Uyb0RvYy54bWxQSwECLQAUAAYACAAAACEAjKAo9eIAAAAKAQAADwAAAAAAAAAAAAAA&#10;AADBBAAAZHJzL2Rvd25yZXYueG1sUEsFBgAAAAAEAAQA8wAAANAFA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bookmarkStart w:id="3" w:name="_MON_1609663888"/>
                    <w:bookmarkEnd w:id="3"/>
                    <w:p w:rsidR="00BC36C7" w:rsidRDefault="002135EB"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object w:dxaOrig="1551" w:dyaOrig="1004">
                          <v:shape id="_x0000_i1030" type="#_x0000_t75" style="width:77.45pt;height:50.25pt" o:ole="">
                            <v:imagedata r:id="rId13" o:title=""/>
                          </v:shape>
                          <o:OLEObject Type="Embed" ProgID="Word.Document.12" ShapeID="_x0000_i1030" DrawAspect="Icon" ObjectID="_1614066545" r:id="rId14">
                            <o:FieldCodes>\s</o:FieldCodes>
                          </o:OLEObject>
                        </w:object>
                      </w:r>
                      <w:r w:rsidR="001B084B">
                        <w:rPr>
                          <w:rFonts w:ascii="MS Reference Sans Serif" w:eastAsia="Calibri" w:hAnsi="MS Reference Sans Serif"/>
                          <w:sz w:val="20"/>
                          <w:szCs w:val="20"/>
                          <w:lang w:eastAsia="en-US"/>
                        </w:rPr>
                        <w:t xml:space="preserve">        </w:t>
                      </w:r>
                      <w:bookmarkStart w:id="4" w:name="_MON_1614066400"/>
                      <w:bookmarkEnd w:id="4"/>
                      <w:r w:rsidR="001B084B">
                        <w:rPr>
                          <w:rFonts w:ascii="MS Reference Sans Serif" w:eastAsia="Calibri" w:hAnsi="MS Reference Sans Serif"/>
                          <w:sz w:val="20"/>
                          <w:szCs w:val="20"/>
                          <w:lang w:eastAsia="en-US"/>
                        </w:rPr>
                        <w:object w:dxaOrig="1551" w:dyaOrig="1004">
                          <v:shape id="_x0000_i1031" type="#_x0000_t75" style="width:77.45pt;height:50.25pt" o:ole="">
                            <v:imagedata r:id="rId15" o:title=""/>
                          </v:shape>
                          <o:OLEObject Type="Embed" ProgID="Word.Document.12" ShapeID="_x0000_i1031" DrawAspect="Icon" ObjectID="_1614066546" r:id="rId16">
                            <o:FieldCodes>\s</o:FieldCodes>
                          </o:OLEObject>
                        </w:object>
                      </w:r>
                    </w:p>
                  </w:txbxContent>
                </v:textbox>
              </v:roundrect>
            </w:pict>
          </mc:Fallback>
        </mc:AlternateContent>
      </w:r>
    </w:p>
    <w:sectPr w:rsidR="00BC36C7" w:rsidRPr="00BC36C7" w:rsidSect="00EE5AAC">
      <w:headerReference w:type="even" r:id="rId17"/>
      <w:headerReference w:type="default" r:id="rId18"/>
      <w:footerReference w:type="even" r:id="rId19"/>
      <w:footerReference w:type="default" r:id="rId20"/>
      <w:headerReference w:type="first" r:id="rId21"/>
      <w:footerReference w:type="first" r:id="rId22"/>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854E2E">
          <w:rPr>
            <w:noProof/>
          </w:rPr>
          <w:t>1</w:t>
        </w:r>
        <w:r>
          <w:rPr>
            <w:noProof/>
          </w:rPr>
          <w:fldChar w:fldCharType="end"/>
        </w:r>
      </w:p>
    </w:sdtContent>
  </w:sdt>
  <w:p w:rsidR="00A46795" w:rsidRPr="00854E2E" w:rsidRDefault="00854E2E">
    <w:pPr>
      <w:pStyle w:val="Footer"/>
      <w:rPr>
        <w:rFonts w:ascii="Verdana" w:hAnsi="Verdana"/>
        <w:sz w:val="16"/>
        <w:szCs w:val="16"/>
      </w:rPr>
    </w:pPr>
    <w:bookmarkStart w:id="2" w:name="_GoBack"/>
    <w:r w:rsidRPr="00854E2E">
      <w:rPr>
        <w:rFonts w:ascii="Verdana" w:hAnsi="Verdana"/>
        <w:sz w:val="16"/>
        <w:szCs w:val="16"/>
      </w:rPr>
      <w:t>V2. 14/03/19</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7542"/>
    <w:multiLevelType w:val="hybridMultilevel"/>
    <w:tmpl w:val="8AE26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6C2E80"/>
    <w:multiLevelType w:val="hybridMultilevel"/>
    <w:tmpl w:val="F1920692"/>
    <w:lvl w:ilvl="0" w:tplc="F428379E">
      <w:start w:val="4"/>
      <w:numFmt w:val="bullet"/>
      <w:lvlText w:val="-"/>
      <w:lvlJc w:val="left"/>
      <w:pPr>
        <w:ind w:left="72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222F1"/>
    <w:multiLevelType w:val="multilevel"/>
    <w:tmpl w:val="4E3C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F224F"/>
    <w:multiLevelType w:val="hybridMultilevel"/>
    <w:tmpl w:val="EAE03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8E778A1"/>
    <w:multiLevelType w:val="hybridMultilevel"/>
    <w:tmpl w:val="317C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E6F70"/>
    <w:multiLevelType w:val="hybridMultilevel"/>
    <w:tmpl w:val="197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1777ED"/>
    <w:multiLevelType w:val="hybridMultilevel"/>
    <w:tmpl w:val="F0B28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3D5C7B"/>
    <w:multiLevelType w:val="hybridMultilevel"/>
    <w:tmpl w:val="2D5A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7"/>
  </w:num>
  <w:num w:numId="6">
    <w:abstractNumId w:val="4"/>
  </w:num>
  <w:num w:numId="7">
    <w:abstractNumId w:val="1"/>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678FC"/>
    <w:rsid w:val="000701FA"/>
    <w:rsid w:val="00114BB2"/>
    <w:rsid w:val="001B084B"/>
    <w:rsid w:val="001C1640"/>
    <w:rsid w:val="001D32A6"/>
    <w:rsid w:val="002135EB"/>
    <w:rsid w:val="00241DF1"/>
    <w:rsid w:val="002A5A4C"/>
    <w:rsid w:val="00356A73"/>
    <w:rsid w:val="003C1F55"/>
    <w:rsid w:val="004143C6"/>
    <w:rsid w:val="00451CCB"/>
    <w:rsid w:val="004F157B"/>
    <w:rsid w:val="005365EF"/>
    <w:rsid w:val="00542EDD"/>
    <w:rsid w:val="005455B5"/>
    <w:rsid w:val="005810A6"/>
    <w:rsid w:val="005956EE"/>
    <w:rsid w:val="005F0F17"/>
    <w:rsid w:val="006A15F4"/>
    <w:rsid w:val="00726880"/>
    <w:rsid w:val="007428DD"/>
    <w:rsid w:val="007B5FA3"/>
    <w:rsid w:val="00805420"/>
    <w:rsid w:val="00825A27"/>
    <w:rsid w:val="00832DF0"/>
    <w:rsid w:val="00854E2E"/>
    <w:rsid w:val="00990000"/>
    <w:rsid w:val="00994645"/>
    <w:rsid w:val="009E6C39"/>
    <w:rsid w:val="00A1042A"/>
    <w:rsid w:val="00A276F9"/>
    <w:rsid w:val="00A30A26"/>
    <w:rsid w:val="00A46795"/>
    <w:rsid w:val="00B60A7F"/>
    <w:rsid w:val="00BC36C7"/>
    <w:rsid w:val="00C55A45"/>
    <w:rsid w:val="00C706E4"/>
    <w:rsid w:val="00CF0F80"/>
    <w:rsid w:val="00D02816"/>
    <w:rsid w:val="00D368ED"/>
    <w:rsid w:val="00DE482E"/>
    <w:rsid w:val="00E33B70"/>
    <w:rsid w:val="00E81281"/>
    <w:rsid w:val="00EE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CommentReference">
    <w:name w:val="annotation reference"/>
    <w:basedOn w:val="DefaultParagraphFont"/>
    <w:uiPriority w:val="99"/>
    <w:semiHidden/>
    <w:unhideWhenUsed/>
    <w:rsid w:val="005455B5"/>
    <w:rPr>
      <w:sz w:val="16"/>
      <w:szCs w:val="16"/>
    </w:rPr>
  </w:style>
  <w:style w:type="paragraph" w:styleId="CommentText">
    <w:name w:val="annotation text"/>
    <w:basedOn w:val="Normal"/>
    <w:link w:val="CommentTextChar"/>
    <w:uiPriority w:val="99"/>
    <w:semiHidden/>
    <w:unhideWhenUsed/>
    <w:rsid w:val="005455B5"/>
    <w:rPr>
      <w:sz w:val="20"/>
      <w:szCs w:val="20"/>
    </w:rPr>
  </w:style>
  <w:style w:type="character" w:customStyle="1" w:styleId="CommentTextChar">
    <w:name w:val="Comment Text Char"/>
    <w:basedOn w:val="DefaultParagraphFont"/>
    <w:link w:val="CommentText"/>
    <w:uiPriority w:val="99"/>
    <w:semiHidden/>
    <w:rsid w:val="005455B5"/>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5455B5"/>
    <w:rPr>
      <w:b/>
      <w:bCs/>
    </w:rPr>
  </w:style>
  <w:style w:type="character" w:customStyle="1" w:styleId="CommentSubjectChar">
    <w:name w:val="Comment Subject Char"/>
    <w:basedOn w:val="CommentTextChar"/>
    <w:link w:val="CommentSubject"/>
    <w:uiPriority w:val="99"/>
    <w:semiHidden/>
    <w:rsid w:val="005455B5"/>
    <w:rPr>
      <w:rFonts w:ascii="Times New Roman" w:eastAsiaTheme="minorEastAsia" w:hAnsi="Times New Roman"/>
      <w:b/>
      <w:bCs/>
    </w:rPr>
  </w:style>
  <w:style w:type="paragraph" w:styleId="BalloonText">
    <w:name w:val="Balloon Text"/>
    <w:basedOn w:val="Normal"/>
    <w:link w:val="BalloonTextChar"/>
    <w:uiPriority w:val="99"/>
    <w:semiHidden/>
    <w:unhideWhenUsed/>
    <w:rsid w:val="005455B5"/>
    <w:rPr>
      <w:rFonts w:ascii="Tahoma" w:hAnsi="Tahoma" w:cs="Tahoma"/>
      <w:sz w:val="16"/>
      <w:szCs w:val="16"/>
    </w:rPr>
  </w:style>
  <w:style w:type="character" w:customStyle="1" w:styleId="BalloonTextChar">
    <w:name w:val="Balloon Text Char"/>
    <w:basedOn w:val="DefaultParagraphFont"/>
    <w:link w:val="BalloonText"/>
    <w:uiPriority w:val="99"/>
    <w:semiHidden/>
    <w:rsid w:val="005455B5"/>
    <w:rPr>
      <w:rFonts w:ascii="Tahoma" w:eastAsiaTheme="minorEastAsia" w:hAnsi="Tahoma" w:cs="Tahoma"/>
      <w:sz w:val="16"/>
      <w:szCs w:val="16"/>
    </w:rPr>
  </w:style>
  <w:style w:type="paragraph" w:styleId="NoSpacing">
    <w:name w:val="No Spacing"/>
    <w:uiPriority w:val="1"/>
    <w:qFormat/>
    <w:rsid w:val="001B08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CommentReference">
    <w:name w:val="annotation reference"/>
    <w:basedOn w:val="DefaultParagraphFont"/>
    <w:uiPriority w:val="99"/>
    <w:semiHidden/>
    <w:unhideWhenUsed/>
    <w:rsid w:val="005455B5"/>
    <w:rPr>
      <w:sz w:val="16"/>
      <w:szCs w:val="16"/>
    </w:rPr>
  </w:style>
  <w:style w:type="paragraph" w:styleId="CommentText">
    <w:name w:val="annotation text"/>
    <w:basedOn w:val="Normal"/>
    <w:link w:val="CommentTextChar"/>
    <w:uiPriority w:val="99"/>
    <w:semiHidden/>
    <w:unhideWhenUsed/>
    <w:rsid w:val="005455B5"/>
    <w:rPr>
      <w:sz w:val="20"/>
      <w:szCs w:val="20"/>
    </w:rPr>
  </w:style>
  <w:style w:type="character" w:customStyle="1" w:styleId="CommentTextChar">
    <w:name w:val="Comment Text Char"/>
    <w:basedOn w:val="DefaultParagraphFont"/>
    <w:link w:val="CommentText"/>
    <w:uiPriority w:val="99"/>
    <w:semiHidden/>
    <w:rsid w:val="005455B5"/>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5455B5"/>
    <w:rPr>
      <w:b/>
      <w:bCs/>
    </w:rPr>
  </w:style>
  <w:style w:type="character" w:customStyle="1" w:styleId="CommentSubjectChar">
    <w:name w:val="Comment Subject Char"/>
    <w:basedOn w:val="CommentTextChar"/>
    <w:link w:val="CommentSubject"/>
    <w:uiPriority w:val="99"/>
    <w:semiHidden/>
    <w:rsid w:val="005455B5"/>
    <w:rPr>
      <w:rFonts w:ascii="Times New Roman" w:eastAsiaTheme="minorEastAsia" w:hAnsi="Times New Roman"/>
      <w:b/>
      <w:bCs/>
    </w:rPr>
  </w:style>
  <w:style w:type="paragraph" w:styleId="BalloonText">
    <w:name w:val="Balloon Text"/>
    <w:basedOn w:val="Normal"/>
    <w:link w:val="BalloonTextChar"/>
    <w:uiPriority w:val="99"/>
    <w:semiHidden/>
    <w:unhideWhenUsed/>
    <w:rsid w:val="005455B5"/>
    <w:rPr>
      <w:rFonts w:ascii="Tahoma" w:hAnsi="Tahoma" w:cs="Tahoma"/>
      <w:sz w:val="16"/>
      <w:szCs w:val="16"/>
    </w:rPr>
  </w:style>
  <w:style w:type="character" w:customStyle="1" w:styleId="BalloonTextChar">
    <w:name w:val="Balloon Text Char"/>
    <w:basedOn w:val="DefaultParagraphFont"/>
    <w:link w:val="BalloonText"/>
    <w:uiPriority w:val="99"/>
    <w:semiHidden/>
    <w:rsid w:val="005455B5"/>
    <w:rPr>
      <w:rFonts w:ascii="Tahoma" w:eastAsiaTheme="minorEastAsia" w:hAnsi="Tahoma" w:cs="Tahoma"/>
      <w:sz w:val="16"/>
      <w:szCs w:val="16"/>
    </w:rPr>
  </w:style>
  <w:style w:type="paragraph" w:styleId="NoSpacing">
    <w:name w:val="No Spacing"/>
    <w:uiPriority w:val="1"/>
    <w:qFormat/>
    <w:rsid w:val="001B08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4352">
      <w:bodyDiv w:val="1"/>
      <w:marLeft w:val="0"/>
      <w:marRight w:val="0"/>
      <w:marTop w:val="0"/>
      <w:marBottom w:val="0"/>
      <w:divBdr>
        <w:top w:val="none" w:sz="0" w:space="0" w:color="auto"/>
        <w:left w:val="none" w:sz="0" w:space="0" w:color="auto"/>
        <w:bottom w:val="none" w:sz="0" w:space="0" w:color="auto"/>
        <w:right w:val="none" w:sz="0" w:space="0" w:color="auto"/>
      </w:divBdr>
      <w:divsChild>
        <w:div w:id="118766998">
          <w:marLeft w:val="0"/>
          <w:marRight w:val="0"/>
          <w:marTop w:val="75"/>
          <w:marBottom w:val="0"/>
          <w:divBdr>
            <w:top w:val="none" w:sz="0" w:space="0" w:color="auto"/>
            <w:left w:val="none" w:sz="0" w:space="0" w:color="auto"/>
            <w:bottom w:val="none" w:sz="0" w:space="0" w:color="auto"/>
            <w:right w:val="none" w:sz="0" w:space="0" w:color="auto"/>
          </w:divBdr>
          <w:divsChild>
            <w:div w:id="1213690982">
              <w:marLeft w:val="0"/>
              <w:marRight w:val="0"/>
              <w:marTop w:val="0"/>
              <w:marBottom w:val="0"/>
              <w:divBdr>
                <w:top w:val="single" w:sz="6" w:space="8" w:color="CCCCCC"/>
                <w:left w:val="single" w:sz="6" w:space="11" w:color="CCCCCC"/>
                <w:bottom w:val="single" w:sz="18" w:space="19" w:color="999999"/>
                <w:right w:val="single" w:sz="18" w:space="8" w:color="999999"/>
              </w:divBdr>
              <w:divsChild>
                <w:div w:id="6656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0.emf"/><Relationship Id="rId23"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A476-4D77-481D-9714-47800432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2018-11-28T16:05:00Z</cp:lastPrinted>
  <dcterms:created xsi:type="dcterms:W3CDTF">2019-03-14T12:12:00Z</dcterms:created>
  <dcterms:modified xsi:type="dcterms:W3CDTF">2019-03-14T12:12:00Z</dcterms:modified>
</cp:coreProperties>
</file>