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39D" w:rsidRDefault="007D439D" w:rsidP="00732699">
      <w:pPr>
        <w:jc w:val="both"/>
        <w:rPr>
          <w:b/>
          <w:sz w:val="36"/>
          <w:u w:val="single"/>
        </w:rPr>
      </w:pPr>
    </w:p>
    <w:p w:rsidR="000A3725" w:rsidRPr="00642A73" w:rsidRDefault="000A3725" w:rsidP="00732699">
      <w:pPr>
        <w:jc w:val="both"/>
        <w:rPr>
          <w:b/>
          <w:sz w:val="36"/>
          <w:u w:val="single"/>
        </w:rPr>
      </w:pPr>
      <w:r w:rsidRPr="00642A73">
        <w:rPr>
          <w:b/>
          <w:sz w:val="36"/>
          <w:u w:val="single"/>
        </w:rPr>
        <w:t>POhWER Hillingdon Advocacy Services Overview</w:t>
      </w:r>
    </w:p>
    <w:p w:rsidR="000A3725" w:rsidRPr="00642A73" w:rsidRDefault="000A3725" w:rsidP="00732699">
      <w:pPr>
        <w:jc w:val="both"/>
        <w:rPr>
          <w:b/>
          <w:sz w:val="28"/>
          <w:u w:val="single"/>
        </w:rPr>
      </w:pPr>
      <w:r w:rsidRPr="00642A73">
        <w:rPr>
          <w:b/>
          <w:sz w:val="28"/>
          <w:u w:val="single"/>
        </w:rPr>
        <w:t xml:space="preserve">Community Advocacy </w:t>
      </w:r>
    </w:p>
    <w:p w:rsidR="000A3725" w:rsidRPr="00642A73" w:rsidRDefault="000A3725" w:rsidP="00732699">
      <w:pPr>
        <w:jc w:val="both"/>
        <w:rPr>
          <w:rFonts w:cs="Arial"/>
          <w:lang w:eastAsia="en-GB"/>
        </w:rPr>
      </w:pPr>
      <w:r w:rsidRPr="00642A73">
        <w:t xml:space="preserve">This </w:t>
      </w:r>
      <w:r w:rsidRPr="00642A73">
        <w:rPr>
          <w:b/>
        </w:rPr>
        <w:t>non-statutory</w:t>
      </w:r>
      <w:r w:rsidRPr="00642A73">
        <w:t xml:space="preserve"> service is to support LBH residents to access g</w:t>
      </w:r>
      <w:r w:rsidRPr="00642A73">
        <w:rPr>
          <w:rFonts w:cs="Arial"/>
          <w:lang w:eastAsia="en-GB"/>
        </w:rPr>
        <w:t>eneral community advocacy for</w:t>
      </w:r>
      <w:r w:rsidRPr="00642A73">
        <w:t xml:space="preserve"> </w:t>
      </w:r>
      <w:r w:rsidRPr="00642A73">
        <w:rPr>
          <w:rFonts w:cs="Arial"/>
          <w:lang w:eastAsia="en-GB"/>
        </w:rPr>
        <w:t xml:space="preserve">Hillingdon residents and/or their representatives, who are not eligible for a statutory service but still requiring a lower level advocacy support in relation to </w:t>
      </w:r>
      <w:r w:rsidRPr="00642A73">
        <w:rPr>
          <w:rFonts w:cs="Arial"/>
          <w:b/>
          <w:lang w:eastAsia="en-GB"/>
        </w:rPr>
        <w:t>health and social care</w:t>
      </w:r>
      <w:r w:rsidRPr="00642A73">
        <w:rPr>
          <w:rFonts w:cs="Arial"/>
          <w:lang w:eastAsia="en-GB"/>
        </w:rPr>
        <w:t xml:space="preserve"> </w:t>
      </w:r>
      <w:r w:rsidRPr="00642A73">
        <w:rPr>
          <w:rFonts w:cs="Arial"/>
          <w:u w:val="single"/>
          <w:lang w:eastAsia="en-GB"/>
        </w:rPr>
        <w:t>only</w:t>
      </w:r>
      <w:r w:rsidRPr="00642A73">
        <w:rPr>
          <w:rFonts w:cs="Arial"/>
          <w:lang w:eastAsia="en-GB"/>
        </w:rPr>
        <w:t xml:space="preserve">. </w:t>
      </w:r>
    </w:p>
    <w:p w:rsidR="000A3725" w:rsidRPr="00642A73" w:rsidRDefault="000A3725" w:rsidP="00732699">
      <w:pPr>
        <w:jc w:val="both"/>
        <w:rPr>
          <w:rFonts w:cs="Arial"/>
          <w:lang w:eastAsia="en-GB"/>
        </w:rPr>
      </w:pPr>
      <w:r w:rsidRPr="00642A73">
        <w:rPr>
          <w:rFonts w:cs="Arial"/>
          <w:lang w:eastAsia="en-GB"/>
        </w:rPr>
        <w:t xml:space="preserve">This could include LBH residents whom are not statutorily entitled to advocacy under the Care Act, yet are having an assessment or care plan review, or safeguarding procedures under the Care Act, and wish to access advocacy support. </w:t>
      </w:r>
    </w:p>
    <w:p w:rsidR="000A3725" w:rsidRPr="00642A73" w:rsidRDefault="000A3725" w:rsidP="00732699">
      <w:pPr>
        <w:jc w:val="both"/>
        <w:rPr>
          <w:rFonts w:cs="Arial"/>
          <w:lang w:eastAsia="en-GB"/>
        </w:rPr>
      </w:pPr>
      <w:r w:rsidRPr="00642A73">
        <w:rPr>
          <w:rFonts w:cs="Arial"/>
          <w:lang w:eastAsia="en-GB"/>
        </w:rPr>
        <w:t xml:space="preserve">Eligible referrals may include anything where liaising with social services or LBH is involved including complaints, or if someone wishes to access social care support but are not yet known to social services. </w:t>
      </w:r>
    </w:p>
    <w:p w:rsidR="000A3725" w:rsidRPr="00642A73" w:rsidRDefault="000A3725" w:rsidP="00732699">
      <w:pPr>
        <w:jc w:val="both"/>
        <w:rPr>
          <w:rFonts w:cs="Arial"/>
          <w:lang w:eastAsia="en-GB"/>
        </w:rPr>
      </w:pPr>
      <w:r w:rsidRPr="00642A73">
        <w:rPr>
          <w:rFonts w:cs="Arial"/>
          <w:lang w:eastAsia="en-GB"/>
        </w:rPr>
        <w:t xml:space="preserve">Accessing or support to access health services (including OT, physio, SALT or medical adaptations for disability need) would be eligible, and this may involve attending medical appointments for this contract. </w:t>
      </w:r>
    </w:p>
    <w:p w:rsidR="00601F2B" w:rsidRPr="00642A73" w:rsidRDefault="00601F2B" w:rsidP="00732699">
      <w:pPr>
        <w:jc w:val="both"/>
        <w:rPr>
          <w:rFonts w:cs="Arial"/>
          <w:lang w:eastAsia="en-GB"/>
        </w:rPr>
      </w:pPr>
      <w:r w:rsidRPr="00642A73">
        <w:rPr>
          <w:rFonts w:cs="Arial"/>
          <w:lang w:eastAsia="en-GB"/>
        </w:rPr>
        <w:t xml:space="preserve">Anything which does not involve access to health and social care would not be eligible for this service. </w:t>
      </w:r>
    </w:p>
    <w:p w:rsidR="00601F2B" w:rsidRPr="00642A73" w:rsidRDefault="00601F2B" w:rsidP="00732699">
      <w:pPr>
        <w:jc w:val="both"/>
        <w:rPr>
          <w:rFonts w:cs="Arial"/>
          <w:lang w:eastAsia="en-GB"/>
        </w:rPr>
      </w:pPr>
    </w:p>
    <w:p w:rsidR="000A3725" w:rsidRPr="00642A73" w:rsidRDefault="000A3725" w:rsidP="00732699">
      <w:pPr>
        <w:jc w:val="both"/>
        <w:rPr>
          <w:b/>
          <w:sz w:val="28"/>
          <w:u w:val="single"/>
        </w:rPr>
      </w:pPr>
      <w:r w:rsidRPr="00642A73">
        <w:rPr>
          <w:b/>
          <w:sz w:val="28"/>
          <w:u w:val="single"/>
        </w:rPr>
        <w:t xml:space="preserve">Advocacy under the Care Act </w:t>
      </w:r>
    </w:p>
    <w:p w:rsidR="000A3725" w:rsidRPr="00642A73" w:rsidRDefault="000A3725" w:rsidP="00732699">
      <w:pPr>
        <w:jc w:val="both"/>
      </w:pPr>
      <w:r w:rsidRPr="00642A73">
        <w:t xml:space="preserve">Adults and/or their representatives aged 18 and over and living in London Borough of Hillingdon (LBH) or elsewhere within </w:t>
      </w:r>
      <w:r w:rsidRPr="00642A73">
        <w:rPr>
          <w:b/>
        </w:rPr>
        <w:t>10 mile radius</w:t>
      </w:r>
      <w:r w:rsidRPr="00642A73">
        <w:t xml:space="preserve"> of LBH borders, and where client is normally resident in LBH, and are eligible for statutory advocacy under the Care Act</w:t>
      </w:r>
    </w:p>
    <w:p w:rsidR="000A3725" w:rsidRPr="00642A73" w:rsidRDefault="000A3725" w:rsidP="00732699">
      <w:pPr>
        <w:jc w:val="both"/>
        <w:rPr>
          <w:b/>
          <w:u w:val="single"/>
        </w:rPr>
      </w:pPr>
      <w:r w:rsidRPr="00642A73">
        <w:rPr>
          <w:b/>
          <w:u w:val="single"/>
        </w:rPr>
        <w:t>Eligibility Criteria:</w:t>
      </w:r>
    </w:p>
    <w:p w:rsidR="000A3725" w:rsidRPr="00642A73" w:rsidRDefault="000A3725" w:rsidP="00732699">
      <w:pPr>
        <w:pStyle w:val="ListParagraph"/>
        <w:numPr>
          <w:ilvl w:val="0"/>
          <w:numId w:val="1"/>
        </w:numPr>
        <w:jc w:val="both"/>
        <w:rPr>
          <w:rFonts w:cs="Arial"/>
        </w:rPr>
      </w:pPr>
      <w:r w:rsidRPr="00642A73">
        <w:rPr>
          <w:rFonts w:cs="Arial"/>
        </w:rPr>
        <w:t xml:space="preserve">Has the client been assessed by referrer as having </w:t>
      </w:r>
      <w:r w:rsidRPr="00642A73">
        <w:rPr>
          <w:rFonts w:cs="Arial"/>
          <w:b/>
        </w:rPr>
        <w:t>substantial difficulty</w:t>
      </w:r>
      <w:r w:rsidRPr="00642A73">
        <w:rPr>
          <w:rFonts w:cs="Arial"/>
        </w:rPr>
        <w:t xml:space="preserve"> to engage in assessment/safeguarding process?</w:t>
      </w:r>
    </w:p>
    <w:p w:rsidR="000A3725" w:rsidRPr="00642A73" w:rsidRDefault="000A3725" w:rsidP="00732699">
      <w:pPr>
        <w:pStyle w:val="BodyText"/>
        <w:numPr>
          <w:ilvl w:val="0"/>
          <w:numId w:val="1"/>
        </w:numPr>
        <w:jc w:val="both"/>
        <w:rPr>
          <w:rFonts w:asciiTheme="minorHAnsi" w:hAnsiTheme="minorHAnsi" w:cs="Arial"/>
          <w:b w:val="0"/>
          <w:sz w:val="22"/>
          <w:szCs w:val="22"/>
        </w:rPr>
      </w:pPr>
      <w:r w:rsidRPr="00642A73">
        <w:rPr>
          <w:rFonts w:asciiTheme="minorHAnsi" w:hAnsiTheme="minorHAnsi" w:cs="Arial"/>
          <w:b w:val="0"/>
          <w:sz w:val="22"/>
          <w:szCs w:val="22"/>
        </w:rPr>
        <w:t xml:space="preserve">Has the client been </w:t>
      </w:r>
      <w:r w:rsidRPr="00642A73">
        <w:rPr>
          <w:rFonts w:asciiTheme="minorHAnsi" w:hAnsiTheme="minorHAnsi" w:cs="Arial"/>
          <w:sz w:val="22"/>
          <w:szCs w:val="22"/>
        </w:rPr>
        <w:t>deemed by referrer</w:t>
      </w:r>
      <w:r w:rsidRPr="00642A73">
        <w:rPr>
          <w:rFonts w:asciiTheme="minorHAnsi" w:hAnsiTheme="minorHAnsi" w:cs="Arial"/>
          <w:b w:val="0"/>
          <w:sz w:val="22"/>
          <w:szCs w:val="22"/>
        </w:rPr>
        <w:t xml:space="preserve"> as having </w:t>
      </w:r>
      <w:r w:rsidRPr="00642A73">
        <w:rPr>
          <w:rFonts w:asciiTheme="minorHAnsi" w:hAnsiTheme="minorHAnsi" w:cs="Arial"/>
          <w:sz w:val="22"/>
          <w:szCs w:val="22"/>
        </w:rPr>
        <w:t xml:space="preserve">no appropriate person </w:t>
      </w:r>
      <w:r w:rsidRPr="00642A73">
        <w:rPr>
          <w:rFonts w:asciiTheme="minorHAnsi" w:hAnsiTheme="minorHAnsi" w:cs="Arial"/>
          <w:b w:val="0"/>
          <w:sz w:val="22"/>
          <w:szCs w:val="22"/>
        </w:rPr>
        <w:t xml:space="preserve">to support them to engage in assessment/safeguarding process? </w:t>
      </w:r>
    </w:p>
    <w:p w:rsidR="000A3725" w:rsidRPr="00642A73" w:rsidRDefault="000A3725" w:rsidP="00732699">
      <w:pPr>
        <w:jc w:val="both"/>
        <w:rPr>
          <w:rFonts w:cs="Arial"/>
        </w:rPr>
      </w:pPr>
    </w:p>
    <w:p w:rsidR="000A3725" w:rsidRPr="00642A73" w:rsidRDefault="000A3725" w:rsidP="00732699">
      <w:pPr>
        <w:jc w:val="both"/>
        <w:rPr>
          <w:rFonts w:cs="Arial"/>
        </w:rPr>
      </w:pPr>
      <w:r w:rsidRPr="00642A73">
        <w:rPr>
          <w:rFonts w:cs="Arial"/>
        </w:rPr>
        <w:t xml:space="preserve">We can support qualifying clients for: </w:t>
      </w:r>
    </w:p>
    <w:p w:rsidR="000A3725" w:rsidRPr="00642A73" w:rsidRDefault="000A3725" w:rsidP="00732699">
      <w:pPr>
        <w:pStyle w:val="ListParagraph"/>
        <w:numPr>
          <w:ilvl w:val="0"/>
          <w:numId w:val="2"/>
        </w:numPr>
        <w:jc w:val="both"/>
        <w:rPr>
          <w:rFonts w:cs="Arial"/>
          <w:szCs w:val="24"/>
        </w:rPr>
      </w:pPr>
      <w:r w:rsidRPr="00642A73">
        <w:rPr>
          <w:rFonts w:cs="Arial"/>
        </w:rPr>
        <w:t>A needs assessment under Section 9</w:t>
      </w:r>
    </w:p>
    <w:p w:rsidR="000A3725" w:rsidRPr="00642A73" w:rsidRDefault="000A3725" w:rsidP="00732699">
      <w:pPr>
        <w:pStyle w:val="ListParagraph"/>
        <w:numPr>
          <w:ilvl w:val="0"/>
          <w:numId w:val="2"/>
        </w:numPr>
        <w:jc w:val="both"/>
        <w:rPr>
          <w:rFonts w:cs="Arial"/>
          <w:szCs w:val="24"/>
        </w:rPr>
      </w:pPr>
      <w:r w:rsidRPr="00642A73">
        <w:rPr>
          <w:rFonts w:cs="Arial"/>
        </w:rPr>
        <w:t>A carer’s assessment under Section 10</w:t>
      </w:r>
    </w:p>
    <w:p w:rsidR="000A3725" w:rsidRPr="00642A73" w:rsidRDefault="000A3725" w:rsidP="00732699">
      <w:pPr>
        <w:pStyle w:val="ListParagraph"/>
        <w:numPr>
          <w:ilvl w:val="0"/>
          <w:numId w:val="2"/>
        </w:numPr>
        <w:jc w:val="both"/>
        <w:rPr>
          <w:rFonts w:cs="Arial"/>
          <w:szCs w:val="24"/>
        </w:rPr>
      </w:pPr>
      <w:r w:rsidRPr="00642A73">
        <w:rPr>
          <w:rFonts w:cs="Arial"/>
        </w:rPr>
        <w:t>Preparation of a care and support plan or support plan under Section 25</w:t>
      </w:r>
    </w:p>
    <w:p w:rsidR="000A3725" w:rsidRPr="00642A73" w:rsidRDefault="000A3725" w:rsidP="00732699">
      <w:pPr>
        <w:pStyle w:val="ListParagraph"/>
        <w:numPr>
          <w:ilvl w:val="0"/>
          <w:numId w:val="2"/>
        </w:numPr>
        <w:jc w:val="both"/>
        <w:rPr>
          <w:rFonts w:cs="Arial"/>
          <w:szCs w:val="24"/>
        </w:rPr>
      </w:pPr>
      <w:r w:rsidRPr="00642A73">
        <w:rPr>
          <w:rFonts w:cs="Arial"/>
        </w:rPr>
        <w:t>A review of a care and support plan or support plan under Section 27</w:t>
      </w:r>
    </w:p>
    <w:p w:rsidR="000A3725" w:rsidRPr="00642A73" w:rsidRDefault="000A3725" w:rsidP="00732699">
      <w:pPr>
        <w:pStyle w:val="ListParagraph"/>
        <w:numPr>
          <w:ilvl w:val="0"/>
          <w:numId w:val="2"/>
        </w:numPr>
        <w:jc w:val="both"/>
        <w:rPr>
          <w:sz w:val="20"/>
        </w:rPr>
      </w:pPr>
      <w:r w:rsidRPr="00642A73">
        <w:rPr>
          <w:rFonts w:cs="Arial"/>
        </w:rPr>
        <w:lastRenderedPageBreak/>
        <w:t>A safeguarding enquiry or Safeguarding Adult Review</w:t>
      </w:r>
    </w:p>
    <w:p w:rsidR="000A3725" w:rsidRPr="00642A73" w:rsidRDefault="00732699" w:rsidP="00732699">
      <w:pPr>
        <w:jc w:val="both"/>
      </w:pPr>
      <w:r w:rsidRPr="00642A73">
        <w:t xml:space="preserve">If </w:t>
      </w:r>
      <w:r w:rsidR="00432239" w:rsidRPr="00642A73">
        <w:t xml:space="preserve">the </w:t>
      </w:r>
      <w:r w:rsidRPr="00642A73">
        <w:t xml:space="preserve">above </w:t>
      </w:r>
      <w:r w:rsidR="00432239" w:rsidRPr="00642A73">
        <w:t xml:space="preserve">criteria </w:t>
      </w:r>
      <w:r w:rsidRPr="00642A73">
        <w:t xml:space="preserve">are met prior to </w:t>
      </w:r>
      <w:r w:rsidR="00432239" w:rsidRPr="00642A73">
        <w:t xml:space="preserve">the assessor </w:t>
      </w:r>
      <w:r w:rsidRPr="00642A73">
        <w:t xml:space="preserve">making referral then the client is eligible at this stage and casework can commence. Clients may be able to consent to advocates being involved or not, and if they refuse to engage and have capacity to do this then there may be no role for us at that point. </w:t>
      </w:r>
    </w:p>
    <w:p w:rsidR="00432239" w:rsidRPr="00642A73" w:rsidRDefault="00432239" w:rsidP="00732699">
      <w:pPr>
        <w:jc w:val="both"/>
      </w:pPr>
    </w:p>
    <w:p w:rsidR="00432239" w:rsidRPr="00642A73" w:rsidRDefault="00CB5736" w:rsidP="00732699">
      <w:pPr>
        <w:jc w:val="both"/>
        <w:rPr>
          <w:b/>
          <w:sz w:val="28"/>
          <w:u w:val="single"/>
        </w:rPr>
      </w:pPr>
      <w:r w:rsidRPr="00642A73">
        <w:rPr>
          <w:b/>
          <w:sz w:val="28"/>
          <w:u w:val="single"/>
        </w:rPr>
        <w:t>Independent Mental Health Advocacy (IMHA)</w:t>
      </w:r>
    </w:p>
    <w:p w:rsidR="00432239" w:rsidRPr="00642A73" w:rsidRDefault="00432239" w:rsidP="00432239">
      <w:pPr>
        <w:rPr>
          <w:rFonts w:cs="Arial"/>
        </w:rPr>
      </w:pPr>
      <w:r w:rsidRPr="00642A73">
        <w:rPr>
          <w:rFonts w:cs="Arial"/>
        </w:rPr>
        <w:t>Hillingdon Council is responsible for commissioning an IMHA service for qualifying Service Users registered with a Hillingdon GP practice, or where there is no GP registration, qualifying Service Users who are usually resident in the borough of Hillingdon.</w:t>
      </w:r>
    </w:p>
    <w:p w:rsidR="00432239" w:rsidRPr="00642A73" w:rsidRDefault="00432239" w:rsidP="00432239">
      <w:pPr>
        <w:rPr>
          <w:rFonts w:cs="Arial"/>
        </w:rPr>
      </w:pPr>
      <w:r w:rsidRPr="00642A73">
        <w:rPr>
          <w:rFonts w:cs="Arial"/>
        </w:rPr>
        <w:t>Qualifying Service Users are those Service Users who are;</w:t>
      </w:r>
    </w:p>
    <w:p w:rsidR="00432239" w:rsidRPr="00642A73" w:rsidRDefault="00432239" w:rsidP="00432239">
      <w:pPr>
        <w:pStyle w:val="ListParagraph"/>
        <w:numPr>
          <w:ilvl w:val="0"/>
          <w:numId w:val="4"/>
        </w:numPr>
        <w:rPr>
          <w:rFonts w:cs="Arial"/>
        </w:rPr>
      </w:pPr>
      <w:r w:rsidRPr="00642A73">
        <w:rPr>
          <w:rFonts w:cs="Arial"/>
        </w:rPr>
        <w:t xml:space="preserve">Detained under the Mental Health Act (even if they are currently on leave of absence from hospital) with the exception of those detailed under sections 4, 5(2), 5(4), 135 or 136; </w:t>
      </w:r>
    </w:p>
    <w:p w:rsidR="00432239" w:rsidRPr="00642A73" w:rsidRDefault="00432239" w:rsidP="00432239">
      <w:pPr>
        <w:pStyle w:val="ListParagraph"/>
        <w:numPr>
          <w:ilvl w:val="0"/>
          <w:numId w:val="4"/>
        </w:numPr>
        <w:rPr>
          <w:rFonts w:cs="Arial"/>
        </w:rPr>
      </w:pPr>
      <w:r w:rsidRPr="00642A73">
        <w:rPr>
          <w:rFonts w:cs="Arial"/>
        </w:rPr>
        <w:t>Conditionally discharged restricted Service Users;</w:t>
      </w:r>
    </w:p>
    <w:p w:rsidR="00432239" w:rsidRPr="00642A73" w:rsidRDefault="00432239" w:rsidP="00432239">
      <w:pPr>
        <w:pStyle w:val="ListParagraph"/>
        <w:numPr>
          <w:ilvl w:val="0"/>
          <w:numId w:val="4"/>
        </w:numPr>
        <w:rPr>
          <w:rFonts w:cs="Arial"/>
        </w:rPr>
      </w:pPr>
      <w:r w:rsidRPr="00642A73">
        <w:rPr>
          <w:rFonts w:cs="Arial"/>
        </w:rPr>
        <w:t>Subject to Guardianship under the Act; or</w:t>
      </w:r>
    </w:p>
    <w:p w:rsidR="00432239" w:rsidRPr="00642A73" w:rsidRDefault="00432239" w:rsidP="00432239">
      <w:pPr>
        <w:pStyle w:val="ListParagraph"/>
        <w:numPr>
          <w:ilvl w:val="0"/>
          <w:numId w:val="4"/>
        </w:numPr>
        <w:rPr>
          <w:rFonts w:cs="Arial"/>
        </w:rPr>
      </w:pPr>
      <w:r w:rsidRPr="00642A73">
        <w:rPr>
          <w:rFonts w:cs="Arial"/>
        </w:rPr>
        <w:t>On Supervised Community Treatment.</w:t>
      </w:r>
    </w:p>
    <w:p w:rsidR="00432239" w:rsidRPr="00642A73" w:rsidRDefault="00432239" w:rsidP="00432239">
      <w:pPr>
        <w:pStyle w:val="ListParagraph"/>
        <w:numPr>
          <w:ilvl w:val="0"/>
          <w:numId w:val="4"/>
        </w:numPr>
        <w:rPr>
          <w:rFonts w:cs="Arial"/>
        </w:rPr>
      </w:pPr>
      <w:r w:rsidRPr="00642A73">
        <w:rPr>
          <w:rFonts w:cs="Arial"/>
        </w:rPr>
        <w:t>And Service Users not covered by the above that are:</w:t>
      </w:r>
    </w:p>
    <w:p w:rsidR="00432239" w:rsidRPr="00642A73" w:rsidRDefault="00432239" w:rsidP="00432239">
      <w:pPr>
        <w:pStyle w:val="ListParagraph"/>
        <w:numPr>
          <w:ilvl w:val="0"/>
          <w:numId w:val="4"/>
        </w:numPr>
        <w:rPr>
          <w:rFonts w:cs="Arial"/>
        </w:rPr>
      </w:pPr>
      <w:r w:rsidRPr="00642A73">
        <w:rPr>
          <w:rFonts w:cs="Arial"/>
        </w:rPr>
        <w:t>Being considered for a treatment to which section 57 applies (“a   Section 57 treatment”); or</w:t>
      </w:r>
    </w:p>
    <w:p w:rsidR="00432239" w:rsidRPr="00642A73" w:rsidRDefault="00432239" w:rsidP="00432239">
      <w:pPr>
        <w:pStyle w:val="ListParagraph"/>
        <w:numPr>
          <w:ilvl w:val="0"/>
          <w:numId w:val="4"/>
        </w:numPr>
        <w:rPr>
          <w:rFonts w:cs="Arial"/>
        </w:rPr>
      </w:pPr>
      <w:r w:rsidRPr="00642A73">
        <w:rPr>
          <w:rFonts w:cs="Arial"/>
        </w:rPr>
        <w:t xml:space="preserve">Under 18 years of age and being considered for electro-convulsive therapy or any other treatment to which section 58A applies (“a  section 58A treatment”). </w:t>
      </w:r>
    </w:p>
    <w:p w:rsidR="00432239" w:rsidRPr="00642A73" w:rsidRDefault="00432239" w:rsidP="00432239">
      <w:pPr>
        <w:rPr>
          <w:rFonts w:cs="Arial"/>
        </w:rPr>
      </w:pPr>
      <w:r w:rsidRPr="00642A73">
        <w:rPr>
          <w:rFonts w:cs="Arial"/>
        </w:rPr>
        <w:t xml:space="preserve">For clarification, detention </w:t>
      </w:r>
      <w:r w:rsidRPr="00642A73">
        <w:rPr>
          <w:rFonts w:cs="Arial"/>
          <w:u w:val="single"/>
        </w:rPr>
        <w:t>does not</w:t>
      </w:r>
      <w:r w:rsidRPr="00642A73">
        <w:rPr>
          <w:rFonts w:cs="Arial"/>
        </w:rPr>
        <w:t xml:space="preserve"> include the following:</w:t>
      </w:r>
    </w:p>
    <w:p w:rsidR="00432239" w:rsidRPr="00642A73" w:rsidRDefault="00432239" w:rsidP="00432239">
      <w:pPr>
        <w:ind w:left="540" w:hanging="540"/>
        <w:rPr>
          <w:rFonts w:cs="Arial"/>
        </w:rPr>
      </w:pPr>
      <w:r w:rsidRPr="00642A73">
        <w:rPr>
          <w:rFonts w:cs="Arial"/>
        </w:rPr>
        <w:t>On the basis of an emergency application, Service Users:</w:t>
      </w:r>
    </w:p>
    <w:p w:rsidR="00432239" w:rsidRPr="00642A73" w:rsidRDefault="00432239" w:rsidP="00432239">
      <w:pPr>
        <w:pStyle w:val="ListParagraph"/>
        <w:numPr>
          <w:ilvl w:val="0"/>
          <w:numId w:val="3"/>
        </w:numPr>
        <w:rPr>
          <w:rFonts w:cs="Arial"/>
        </w:rPr>
      </w:pPr>
      <w:r w:rsidRPr="00642A73">
        <w:rPr>
          <w:rFonts w:cs="Arial"/>
        </w:rPr>
        <w:t>being detained under S.4 of the Act pending the second medical recommendation being   received;</w:t>
      </w:r>
    </w:p>
    <w:p w:rsidR="00432239" w:rsidRPr="00642A73" w:rsidRDefault="00432239" w:rsidP="00432239">
      <w:pPr>
        <w:pStyle w:val="ListParagraph"/>
        <w:numPr>
          <w:ilvl w:val="0"/>
          <w:numId w:val="3"/>
        </w:numPr>
        <w:rPr>
          <w:rFonts w:cs="Arial"/>
        </w:rPr>
      </w:pPr>
      <w:r w:rsidRPr="00642A73">
        <w:rPr>
          <w:rFonts w:cs="Arial"/>
        </w:rPr>
        <w:t>Service Users under the holding powers in Section 5;</w:t>
      </w:r>
    </w:p>
    <w:p w:rsidR="00432239" w:rsidRPr="00642A73" w:rsidRDefault="00432239" w:rsidP="00432239">
      <w:pPr>
        <w:pStyle w:val="ListParagraph"/>
        <w:numPr>
          <w:ilvl w:val="0"/>
          <w:numId w:val="3"/>
        </w:numPr>
        <w:rPr>
          <w:rFonts w:cs="Arial"/>
        </w:rPr>
      </w:pPr>
      <w:r w:rsidRPr="00642A73">
        <w:rPr>
          <w:rFonts w:cs="Arial"/>
        </w:rPr>
        <w:t>Service Users in a place of safety under Section 135 or 136.</w:t>
      </w:r>
    </w:p>
    <w:p w:rsidR="00432239" w:rsidRPr="00642A73" w:rsidRDefault="00432239" w:rsidP="00432239">
      <w:pPr>
        <w:rPr>
          <w:rFonts w:cs="Arial"/>
        </w:rPr>
      </w:pPr>
      <w:r w:rsidRPr="00642A73">
        <w:rPr>
          <w:rFonts w:cs="Arial"/>
        </w:rPr>
        <w:t xml:space="preserve">The rules in the NHS functions and regulations about responsibility for commissioning continuing care for people placed “out of area” (e.g. in accommodation in a care home, independent hospital in the area of another CCG or a child placed in accommodation in the area of another CCG) do not apply to the IMHA services as IMHA services do not fall within the definition of continuing care. Nor do the rules about commissioning aftercare under S 117 of the Mental Health Act </w:t>
      </w:r>
    </w:p>
    <w:p w:rsidR="00432239" w:rsidRPr="00642A73" w:rsidRDefault="0030536E" w:rsidP="00732699">
      <w:pPr>
        <w:jc w:val="both"/>
      </w:pPr>
      <w:r w:rsidRPr="00642A73">
        <w:t>IMHAs operate within the boundaries of MHA and Code of Practice and can support  clients with issues around their section status including:</w:t>
      </w:r>
    </w:p>
    <w:p w:rsidR="0030536E" w:rsidRPr="00642A73" w:rsidRDefault="0030536E" w:rsidP="0030536E">
      <w:pPr>
        <w:pStyle w:val="ListParagraph"/>
        <w:numPr>
          <w:ilvl w:val="0"/>
          <w:numId w:val="5"/>
        </w:numPr>
        <w:jc w:val="both"/>
      </w:pPr>
      <w:r w:rsidRPr="00642A73">
        <w:t>Rights under the MHA</w:t>
      </w:r>
    </w:p>
    <w:p w:rsidR="0030536E" w:rsidRPr="00642A73" w:rsidRDefault="0030536E" w:rsidP="0030536E">
      <w:pPr>
        <w:pStyle w:val="ListParagraph"/>
        <w:numPr>
          <w:ilvl w:val="0"/>
          <w:numId w:val="5"/>
        </w:numPr>
        <w:jc w:val="both"/>
      </w:pPr>
      <w:r w:rsidRPr="00642A73">
        <w:t xml:space="preserve">Access to solicitors </w:t>
      </w:r>
    </w:p>
    <w:p w:rsidR="0030536E" w:rsidRPr="00642A73" w:rsidRDefault="0030536E" w:rsidP="0030536E">
      <w:pPr>
        <w:pStyle w:val="ListParagraph"/>
        <w:numPr>
          <w:ilvl w:val="0"/>
          <w:numId w:val="5"/>
        </w:numPr>
        <w:jc w:val="both"/>
      </w:pPr>
      <w:r w:rsidRPr="00642A73">
        <w:lastRenderedPageBreak/>
        <w:t>Medication</w:t>
      </w:r>
    </w:p>
    <w:p w:rsidR="0030536E" w:rsidRPr="00642A73" w:rsidRDefault="0030536E" w:rsidP="0030536E">
      <w:pPr>
        <w:pStyle w:val="ListParagraph"/>
        <w:numPr>
          <w:ilvl w:val="0"/>
          <w:numId w:val="5"/>
        </w:numPr>
        <w:jc w:val="both"/>
      </w:pPr>
      <w:r w:rsidRPr="00642A73">
        <w:t xml:space="preserve">Ward rounds </w:t>
      </w:r>
    </w:p>
    <w:p w:rsidR="0030536E" w:rsidRPr="00642A73" w:rsidRDefault="0030536E" w:rsidP="0030536E">
      <w:pPr>
        <w:pStyle w:val="ListParagraph"/>
        <w:numPr>
          <w:ilvl w:val="0"/>
          <w:numId w:val="5"/>
        </w:numPr>
        <w:jc w:val="both"/>
      </w:pPr>
      <w:r w:rsidRPr="00642A73">
        <w:t xml:space="preserve">Support to appeal </w:t>
      </w:r>
    </w:p>
    <w:p w:rsidR="0030536E" w:rsidRPr="00642A73" w:rsidRDefault="0030536E" w:rsidP="0030536E">
      <w:pPr>
        <w:pStyle w:val="ListParagraph"/>
        <w:numPr>
          <w:ilvl w:val="0"/>
          <w:numId w:val="5"/>
        </w:numPr>
        <w:jc w:val="both"/>
      </w:pPr>
      <w:r w:rsidRPr="00642A73">
        <w:t>Managers hearings</w:t>
      </w:r>
    </w:p>
    <w:p w:rsidR="0030536E" w:rsidRPr="00642A73" w:rsidRDefault="0030536E" w:rsidP="0030536E">
      <w:pPr>
        <w:jc w:val="both"/>
      </w:pPr>
    </w:p>
    <w:p w:rsidR="00C941C8" w:rsidRPr="00642A73" w:rsidRDefault="00C941C8" w:rsidP="0030536E">
      <w:pPr>
        <w:jc w:val="both"/>
        <w:rPr>
          <w:b/>
          <w:sz w:val="28"/>
          <w:u w:val="single"/>
        </w:rPr>
      </w:pPr>
      <w:r w:rsidRPr="00642A73">
        <w:rPr>
          <w:b/>
          <w:sz w:val="28"/>
          <w:u w:val="single"/>
        </w:rPr>
        <w:t>Independent Mental Capacity Advocates (IMCA)</w:t>
      </w:r>
    </w:p>
    <w:p w:rsidR="00C941C8" w:rsidRPr="00642A73" w:rsidRDefault="000E56BD" w:rsidP="00642A73">
      <w:pPr>
        <w:spacing w:before="100" w:beforeAutospacing="1" w:after="100" w:afterAutospacing="1" w:line="240" w:lineRule="auto"/>
        <w:rPr>
          <w:rFonts w:eastAsia="Times New Roman" w:cs="Times New Roman"/>
          <w:szCs w:val="24"/>
          <w:lang w:eastAsia="en-GB"/>
        </w:rPr>
      </w:pPr>
      <w:r w:rsidRPr="00642A73">
        <w:rPr>
          <w:rFonts w:eastAsia="Times New Roman" w:cs="Times New Roman"/>
          <w:b/>
          <w:bCs/>
          <w:szCs w:val="24"/>
          <w:lang w:eastAsia="en-GB"/>
        </w:rPr>
        <w:t>Independent Mental Capacity Advocacy (IMCA)</w:t>
      </w:r>
      <w:r w:rsidRPr="00642A73">
        <w:rPr>
          <w:rFonts w:eastAsia="Times New Roman" w:cs="Times New Roman"/>
          <w:szCs w:val="24"/>
          <w:lang w:eastAsia="en-GB"/>
        </w:rPr>
        <w:t xml:space="preserve">, including </w:t>
      </w:r>
      <w:r w:rsidRPr="00642A73">
        <w:rPr>
          <w:rFonts w:eastAsia="Times New Roman" w:cs="Times New Roman"/>
          <w:b/>
          <w:bCs/>
          <w:szCs w:val="24"/>
          <w:lang w:eastAsia="en-GB"/>
        </w:rPr>
        <w:t>Deprivation of Liberty Safeguards (DoLS)</w:t>
      </w:r>
      <w:r w:rsidRPr="00642A73">
        <w:rPr>
          <w:rFonts w:eastAsia="Times New Roman" w:cs="Times New Roman"/>
          <w:szCs w:val="24"/>
          <w:lang w:eastAsia="en-GB"/>
        </w:rPr>
        <w:t>. This is a statutory advocacy service to support vulnerable people who lack capacity and need to make important decisions but have no representatives as defined unde</w:t>
      </w:r>
      <w:r w:rsidR="00642A73" w:rsidRPr="00642A73">
        <w:rPr>
          <w:rFonts w:eastAsia="Times New Roman" w:cs="Times New Roman"/>
          <w:szCs w:val="24"/>
          <w:lang w:eastAsia="en-GB"/>
        </w:rPr>
        <w:t>r the Mental Capacity Act 2005.</w:t>
      </w:r>
    </w:p>
    <w:p w:rsidR="00C941C8" w:rsidRPr="00642A73" w:rsidRDefault="00C941C8" w:rsidP="0030536E">
      <w:pPr>
        <w:jc w:val="both"/>
      </w:pPr>
      <w:r w:rsidRPr="00642A73">
        <w:t>Statutory IMCA referral types are:</w:t>
      </w:r>
    </w:p>
    <w:p w:rsidR="00C941C8" w:rsidRPr="00642A73" w:rsidRDefault="00C941C8" w:rsidP="00642A73">
      <w:pPr>
        <w:pStyle w:val="ListParagraph"/>
        <w:numPr>
          <w:ilvl w:val="0"/>
          <w:numId w:val="7"/>
        </w:numPr>
        <w:jc w:val="both"/>
      </w:pPr>
      <w:r w:rsidRPr="00642A73">
        <w:t xml:space="preserve">Long term change of accommodation </w:t>
      </w:r>
      <w:r w:rsidR="00642A73" w:rsidRPr="00642A73">
        <w:t>where someone will be moved for over 8 weeks</w:t>
      </w:r>
    </w:p>
    <w:p w:rsidR="00C941C8" w:rsidRPr="00642A73" w:rsidRDefault="00C941C8" w:rsidP="00642A73">
      <w:pPr>
        <w:pStyle w:val="ListParagraph"/>
        <w:numPr>
          <w:ilvl w:val="0"/>
          <w:numId w:val="7"/>
        </w:numPr>
        <w:jc w:val="both"/>
      </w:pPr>
      <w:r w:rsidRPr="00642A73">
        <w:t>Serious medical treatment</w:t>
      </w:r>
    </w:p>
    <w:p w:rsidR="00C941C8" w:rsidRPr="00642A73" w:rsidRDefault="00C941C8" w:rsidP="00642A73">
      <w:pPr>
        <w:pStyle w:val="ListParagraph"/>
        <w:numPr>
          <w:ilvl w:val="0"/>
          <w:numId w:val="7"/>
        </w:numPr>
        <w:jc w:val="both"/>
      </w:pPr>
      <w:r w:rsidRPr="00642A73">
        <w:t xml:space="preserve">39A DoLS request for urgent/standard deprivation of liberty authorisation </w:t>
      </w:r>
    </w:p>
    <w:p w:rsidR="00C941C8" w:rsidRPr="00642A73" w:rsidRDefault="00C941C8" w:rsidP="00642A73">
      <w:pPr>
        <w:pStyle w:val="ListParagraph"/>
        <w:numPr>
          <w:ilvl w:val="0"/>
          <w:numId w:val="7"/>
        </w:numPr>
        <w:jc w:val="both"/>
      </w:pPr>
      <w:r w:rsidRPr="00642A73">
        <w:t xml:space="preserve">39C DoLS cover period acting as Relevant Person’s Representative </w:t>
      </w:r>
    </w:p>
    <w:p w:rsidR="000E56BD" w:rsidRPr="00642A73" w:rsidRDefault="000E56BD" w:rsidP="00642A73">
      <w:pPr>
        <w:pStyle w:val="ListParagraph"/>
        <w:numPr>
          <w:ilvl w:val="0"/>
          <w:numId w:val="7"/>
        </w:numPr>
        <w:jc w:val="both"/>
      </w:pPr>
      <w:r w:rsidRPr="00642A73">
        <w:t>39D DoLS providing support and aiding upholding of statutory rights to the person being deprived, their family/friend representative, or both.</w:t>
      </w:r>
    </w:p>
    <w:p w:rsidR="000E56BD" w:rsidRPr="00642A73" w:rsidRDefault="00642A73" w:rsidP="000E56BD">
      <w:pPr>
        <w:jc w:val="both"/>
        <w:rPr>
          <w:sz w:val="20"/>
        </w:rPr>
      </w:pPr>
      <w:r w:rsidRPr="00642A73">
        <w:rPr>
          <w:sz w:val="20"/>
        </w:rPr>
        <w:t>Discretionary IMCA referral types are:</w:t>
      </w:r>
    </w:p>
    <w:p w:rsidR="00642A73" w:rsidRPr="00642A73" w:rsidRDefault="00642A73" w:rsidP="00642A73">
      <w:pPr>
        <w:pStyle w:val="ListParagraph"/>
        <w:numPr>
          <w:ilvl w:val="0"/>
          <w:numId w:val="8"/>
        </w:numPr>
        <w:jc w:val="both"/>
        <w:rPr>
          <w:sz w:val="20"/>
        </w:rPr>
      </w:pPr>
      <w:r w:rsidRPr="00642A73">
        <w:rPr>
          <w:sz w:val="20"/>
        </w:rPr>
        <w:t xml:space="preserve">Safeguarding Adults where there is a proposed protective measure </w:t>
      </w:r>
    </w:p>
    <w:p w:rsidR="00642A73" w:rsidRDefault="00642A73" w:rsidP="00642A73">
      <w:pPr>
        <w:pStyle w:val="ListParagraph"/>
        <w:numPr>
          <w:ilvl w:val="0"/>
          <w:numId w:val="8"/>
        </w:numPr>
        <w:jc w:val="both"/>
        <w:rPr>
          <w:sz w:val="20"/>
        </w:rPr>
      </w:pPr>
      <w:r w:rsidRPr="00642A73">
        <w:rPr>
          <w:sz w:val="20"/>
        </w:rPr>
        <w:t>Care Review where there is a review of a client’s placement, and there are significant changes to their care plan proposed</w:t>
      </w:r>
    </w:p>
    <w:p w:rsidR="00642A73" w:rsidRPr="00642A73" w:rsidRDefault="00642A73" w:rsidP="00642A73">
      <w:pPr>
        <w:pStyle w:val="ListParagraph"/>
        <w:jc w:val="both"/>
        <w:rPr>
          <w:sz w:val="20"/>
        </w:rPr>
      </w:pPr>
    </w:p>
    <w:p w:rsidR="00642A73" w:rsidRPr="00642A73" w:rsidRDefault="00642A73" w:rsidP="000E56BD">
      <w:pPr>
        <w:jc w:val="both"/>
        <w:rPr>
          <w:b/>
          <w:sz w:val="24"/>
          <w:u w:val="single"/>
        </w:rPr>
      </w:pPr>
      <w:r w:rsidRPr="00642A73">
        <w:rPr>
          <w:rFonts w:eastAsia="Times New Roman" w:cs="Times New Roman"/>
          <w:b/>
          <w:bCs/>
          <w:sz w:val="28"/>
          <w:szCs w:val="24"/>
          <w:u w:val="single"/>
          <w:lang w:eastAsia="en-GB"/>
        </w:rPr>
        <w:t>Relevant Person’s Paid Representative (RPPR)</w:t>
      </w:r>
      <w:r w:rsidRPr="00642A73">
        <w:rPr>
          <w:rFonts w:eastAsia="Times New Roman" w:cs="Times New Roman"/>
          <w:b/>
          <w:sz w:val="28"/>
          <w:szCs w:val="24"/>
          <w:u w:val="single"/>
          <w:lang w:eastAsia="en-GB"/>
        </w:rPr>
        <w:t>,</w:t>
      </w:r>
    </w:p>
    <w:p w:rsidR="000E56BD" w:rsidRDefault="000E56BD" w:rsidP="000E56BD">
      <w:pPr>
        <w:jc w:val="both"/>
        <w:rPr>
          <w:rFonts w:eastAsia="Times New Roman" w:cs="Times New Roman"/>
          <w:szCs w:val="24"/>
          <w:lang w:eastAsia="en-GB"/>
        </w:rPr>
      </w:pPr>
      <w:r w:rsidRPr="00642A73">
        <w:rPr>
          <w:rFonts w:eastAsia="Times New Roman" w:cs="Times New Roman"/>
          <w:b/>
          <w:bCs/>
          <w:szCs w:val="24"/>
          <w:lang w:eastAsia="en-GB"/>
        </w:rPr>
        <w:t>Relevant Person’s Paid Representative (RPPR)</w:t>
      </w:r>
      <w:r w:rsidRPr="00642A73">
        <w:rPr>
          <w:rFonts w:eastAsia="Times New Roman" w:cs="Times New Roman"/>
          <w:szCs w:val="24"/>
          <w:lang w:eastAsia="en-GB"/>
        </w:rPr>
        <w:t>, is a service for those people (or Relevant Person) whom have been legally deprived of their liberty under the safeguards (DoLS) set out in Mental Capacity Act 2005, and have no family or friend whom can appropriately act as their representative. The role of the RPPR is to assist the Relevant Person to understand and execute their rights which includes calling a review of the DoL, or challenging the DoL or elements of it by accessing the Court of Protection, or by exercising them of behalf of the Relevant Person.</w:t>
      </w:r>
    </w:p>
    <w:p w:rsidR="007D439D" w:rsidRPr="00642A73" w:rsidRDefault="007D439D" w:rsidP="000E56BD">
      <w:pPr>
        <w:jc w:val="both"/>
        <w:rPr>
          <w:rFonts w:eastAsia="Times New Roman" w:cs="Times New Roman"/>
          <w:szCs w:val="24"/>
          <w:lang w:eastAsia="en-GB"/>
        </w:rPr>
      </w:pPr>
    </w:p>
    <w:p w:rsidR="000E56BD" w:rsidRPr="00642A73" w:rsidRDefault="00642A73" w:rsidP="0030536E">
      <w:pPr>
        <w:jc w:val="both"/>
        <w:rPr>
          <w:sz w:val="28"/>
          <w:u w:val="single"/>
        </w:rPr>
      </w:pPr>
      <w:r w:rsidRPr="00642A73">
        <w:rPr>
          <w:rStyle w:val="Strong"/>
          <w:sz w:val="28"/>
          <w:u w:val="single"/>
          <w:lang/>
        </w:rPr>
        <w:t>Independent Health Complaints Advocacy (IHCAS)</w:t>
      </w:r>
    </w:p>
    <w:p w:rsidR="00642A73" w:rsidRDefault="00642A73" w:rsidP="0030536E">
      <w:pPr>
        <w:jc w:val="both"/>
        <w:rPr>
          <w:lang/>
        </w:rPr>
      </w:pPr>
      <w:r w:rsidRPr="00642A73">
        <w:rPr>
          <w:rStyle w:val="Strong"/>
          <w:lang/>
        </w:rPr>
        <w:t>Independent Health Complaints Advocacy (IHCAS)</w:t>
      </w:r>
      <w:r w:rsidRPr="00642A73">
        <w:rPr>
          <w:lang/>
        </w:rPr>
        <w:t xml:space="preserve"> </w:t>
      </w:r>
      <w:r>
        <w:rPr>
          <w:lang/>
        </w:rPr>
        <w:t xml:space="preserve">is </w:t>
      </w:r>
      <w:r w:rsidRPr="00642A73">
        <w:rPr>
          <w:lang/>
        </w:rPr>
        <w:t>for people who wish to make a complaint about treatment provided under the NHS</w:t>
      </w:r>
      <w:r>
        <w:rPr>
          <w:lang/>
        </w:rPr>
        <w:t xml:space="preserve"> from all aspects including hospitals and GPs, to pharmacies, opticians and NHS Continuing Healthcare Services </w:t>
      </w:r>
    </w:p>
    <w:p w:rsidR="007D439D" w:rsidRDefault="007D439D" w:rsidP="0030536E">
      <w:pPr>
        <w:jc w:val="both"/>
        <w:rPr>
          <w:lang/>
        </w:rPr>
      </w:pPr>
    </w:p>
    <w:p w:rsidR="007D439D" w:rsidRPr="007D439D" w:rsidRDefault="007D439D" w:rsidP="007D439D">
      <w:pPr>
        <w:spacing w:before="360" w:after="240" w:line="240" w:lineRule="auto"/>
        <w:outlineLvl w:val="0"/>
        <w:rPr>
          <w:rFonts w:eastAsia="Times New Roman" w:cs="Arial"/>
          <w:b/>
          <w:bCs/>
          <w:kern w:val="36"/>
          <w:sz w:val="28"/>
          <w:u w:val="single"/>
          <w:lang w:eastAsia="en-GB"/>
        </w:rPr>
      </w:pPr>
      <w:r w:rsidRPr="007D439D">
        <w:rPr>
          <w:rFonts w:eastAsia="Times New Roman" w:cs="Arial"/>
          <w:b/>
          <w:bCs/>
          <w:kern w:val="36"/>
          <w:sz w:val="28"/>
          <w:u w:val="single"/>
          <w:lang w:eastAsia="en-GB"/>
        </w:rPr>
        <w:lastRenderedPageBreak/>
        <w:t>Contact us</w:t>
      </w:r>
      <w:r>
        <w:rPr>
          <w:rFonts w:eastAsia="Times New Roman" w:cs="Arial"/>
          <w:b/>
          <w:bCs/>
          <w:kern w:val="36"/>
          <w:sz w:val="28"/>
          <w:u w:val="single"/>
          <w:lang w:eastAsia="en-GB"/>
        </w:rPr>
        <w:t>:</w:t>
      </w:r>
    </w:p>
    <w:p w:rsidR="00C726B2" w:rsidRDefault="007D439D" w:rsidP="007D439D">
      <w:pPr>
        <w:spacing w:line="240" w:lineRule="auto"/>
        <w:rPr>
          <w:rFonts w:eastAsia="Times New Roman" w:cs="Times New Roman"/>
          <w:lang w:eastAsia="en-GB"/>
        </w:rPr>
      </w:pPr>
      <w:r w:rsidRPr="007D439D">
        <w:rPr>
          <w:rFonts w:eastAsia="Times New Roman" w:cs="Times New Roman"/>
          <w:lang w:eastAsia="en-GB"/>
        </w:rPr>
        <w:t xml:space="preserve">You can contact us via one of the methods below. Our support centre is open from Monday to Friday 8am to 6pm. </w:t>
      </w:r>
      <w:r w:rsidRPr="007D439D">
        <w:rPr>
          <w:rFonts w:eastAsia="Times New Roman" w:cs="Times New Roman"/>
          <w:lang w:eastAsia="en-GB"/>
        </w:rPr>
        <w:br/>
      </w:r>
      <w:r w:rsidRPr="007D439D">
        <w:rPr>
          <w:rFonts w:eastAsia="Times New Roman" w:cs="Times New Roman"/>
          <w:lang w:eastAsia="en-GB"/>
        </w:rPr>
        <w:br/>
        <w:t xml:space="preserve">Telephone: 0300 456 2370 </w:t>
      </w:r>
      <w:r w:rsidRPr="007D439D">
        <w:rPr>
          <w:rFonts w:eastAsia="Times New Roman" w:cs="Times New Roman"/>
          <w:lang w:eastAsia="en-GB"/>
        </w:rPr>
        <w:br/>
        <w:t xml:space="preserve">Minicom: 0300 456 2364 </w:t>
      </w:r>
      <w:r w:rsidRPr="007D439D">
        <w:rPr>
          <w:rFonts w:eastAsia="Times New Roman" w:cs="Times New Roman"/>
          <w:lang w:eastAsia="en-GB"/>
        </w:rPr>
        <w:br/>
        <w:t xml:space="preserve">Text: send the word ’pohwer’ with your name and number to 81025 </w:t>
      </w:r>
      <w:r w:rsidRPr="007D439D">
        <w:rPr>
          <w:rFonts w:eastAsia="Times New Roman" w:cs="Times New Roman"/>
          <w:lang w:eastAsia="en-GB"/>
        </w:rPr>
        <w:br/>
        <w:t xml:space="preserve">Email: pohwer@pohwer.net </w:t>
      </w:r>
      <w:r w:rsidRPr="007D439D">
        <w:rPr>
          <w:rFonts w:eastAsia="Times New Roman" w:cs="Times New Roman"/>
          <w:lang w:eastAsia="en-GB"/>
        </w:rPr>
        <w:br/>
        <w:t xml:space="preserve">Skype: pohwer.advocacy </w:t>
      </w:r>
      <w:r w:rsidRPr="007D439D">
        <w:rPr>
          <w:rFonts w:eastAsia="Times New Roman" w:cs="Times New Roman"/>
          <w:lang w:eastAsia="en-GB"/>
        </w:rPr>
        <w:br/>
        <w:t xml:space="preserve">Fax: 0300 456 2365 </w:t>
      </w:r>
      <w:r w:rsidRPr="007D439D">
        <w:rPr>
          <w:rFonts w:eastAsia="Times New Roman" w:cs="Times New Roman"/>
          <w:lang w:eastAsia="en-GB"/>
        </w:rPr>
        <w:br/>
        <w:t>Post: PO Box 14043, Birmingham, B6 9BL</w:t>
      </w:r>
    </w:p>
    <w:p w:rsidR="00C726B2" w:rsidRPr="007D439D" w:rsidRDefault="00C726B2" w:rsidP="007D439D">
      <w:pPr>
        <w:spacing w:line="240" w:lineRule="auto"/>
        <w:rPr>
          <w:rFonts w:eastAsia="Times New Roman" w:cs="Times New Roman"/>
          <w:lang w:eastAsia="en-GB"/>
        </w:rPr>
      </w:pPr>
      <w:bookmarkStart w:id="0" w:name="_GoBack"/>
      <w:bookmarkEnd w:id="0"/>
      <w:r>
        <w:rPr>
          <w:rFonts w:eastAsia="Times New Roman" w:cs="Times New Roman"/>
          <w:lang w:eastAsia="en-GB"/>
        </w:rPr>
        <w:t xml:space="preserve">Website: </w:t>
      </w:r>
      <w:r w:rsidRPr="00C726B2">
        <w:rPr>
          <w:rFonts w:eastAsia="Times New Roman" w:cs="Times New Roman"/>
          <w:lang w:eastAsia="en-GB"/>
        </w:rPr>
        <w:t>https://www.pohwer.net/hillingdon</w:t>
      </w:r>
    </w:p>
    <w:p w:rsidR="007D439D" w:rsidRPr="00642A73" w:rsidRDefault="007D439D" w:rsidP="0030536E">
      <w:pPr>
        <w:jc w:val="both"/>
      </w:pPr>
    </w:p>
    <w:sectPr w:rsidR="007D439D" w:rsidRPr="00642A73" w:rsidSect="003A73F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9D" w:rsidRDefault="007D439D" w:rsidP="007D439D">
      <w:pPr>
        <w:spacing w:after="0" w:line="240" w:lineRule="auto"/>
      </w:pPr>
      <w:r>
        <w:separator/>
      </w:r>
    </w:p>
  </w:endnote>
  <w:endnote w:type="continuationSeparator" w:id="0">
    <w:p w:rsidR="007D439D" w:rsidRDefault="007D439D" w:rsidP="007D4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9D" w:rsidRDefault="007D439D" w:rsidP="007D439D">
      <w:pPr>
        <w:spacing w:after="0" w:line="240" w:lineRule="auto"/>
      </w:pPr>
      <w:r>
        <w:separator/>
      </w:r>
    </w:p>
  </w:footnote>
  <w:footnote w:type="continuationSeparator" w:id="0">
    <w:p w:rsidR="007D439D" w:rsidRDefault="007D439D" w:rsidP="007D43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39D" w:rsidRDefault="007D439D">
    <w:pPr>
      <w:pStyle w:val="Header"/>
    </w:pPr>
    <w:r>
      <w:rPr>
        <w:noProof/>
        <w:lang w:eastAsia="en-GB"/>
      </w:rPr>
      <w:drawing>
        <wp:anchor distT="0" distB="0" distL="114300" distR="114300" simplePos="0" relativeHeight="251659264" behindDoc="0" locked="0" layoutInCell="1" allowOverlap="1">
          <wp:simplePos x="0" y="0"/>
          <wp:positionH relativeFrom="margin">
            <wp:posOffset>1549400</wp:posOffset>
          </wp:positionH>
          <wp:positionV relativeFrom="margin">
            <wp:posOffset>-641985</wp:posOffset>
          </wp:positionV>
          <wp:extent cx="2493010" cy="725805"/>
          <wp:effectExtent l="0" t="0" r="254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3010" cy="72580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E0501"/>
    <w:multiLevelType w:val="hybridMultilevel"/>
    <w:tmpl w:val="6DC6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BC11D7"/>
    <w:multiLevelType w:val="hybridMultilevel"/>
    <w:tmpl w:val="1F46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7D703C"/>
    <w:multiLevelType w:val="hybridMultilevel"/>
    <w:tmpl w:val="DEB2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4C0F2C"/>
    <w:multiLevelType w:val="hybridMultilevel"/>
    <w:tmpl w:val="595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7E7C28"/>
    <w:multiLevelType w:val="hybridMultilevel"/>
    <w:tmpl w:val="C0C0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632BC4"/>
    <w:multiLevelType w:val="hybridMultilevel"/>
    <w:tmpl w:val="7B1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AB394B"/>
    <w:multiLevelType w:val="multilevel"/>
    <w:tmpl w:val="827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A40605"/>
    <w:multiLevelType w:val="hybridMultilevel"/>
    <w:tmpl w:val="1AB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0A3725"/>
    <w:rsid w:val="000A3725"/>
    <w:rsid w:val="000E56BD"/>
    <w:rsid w:val="00274441"/>
    <w:rsid w:val="0030536E"/>
    <w:rsid w:val="003A73F8"/>
    <w:rsid w:val="00432239"/>
    <w:rsid w:val="00601F2B"/>
    <w:rsid w:val="00642A73"/>
    <w:rsid w:val="00732699"/>
    <w:rsid w:val="007D439D"/>
    <w:rsid w:val="00B07426"/>
    <w:rsid w:val="00C726B2"/>
    <w:rsid w:val="00C941C8"/>
    <w:rsid w:val="00CB57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725"/>
  </w:style>
  <w:style w:type="paragraph" w:styleId="Heading1">
    <w:name w:val="heading 1"/>
    <w:basedOn w:val="Normal"/>
    <w:link w:val="Heading1Char"/>
    <w:uiPriority w:val="9"/>
    <w:qFormat/>
    <w:rsid w:val="007D439D"/>
    <w:pPr>
      <w:spacing w:before="360" w:after="240" w:line="240" w:lineRule="auto"/>
      <w:outlineLvl w:val="0"/>
    </w:pPr>
    <w:rPr>
      <w:rFonts w:ascii="Arial" w:eastAsia="Times New Roman" w:hAnsi="Arial" w:cs="Arial"/>
      <w:b/>
      <w:bCs/>
      <w:color w:val="B21F39"/>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25"/>
    <w:pPr>
      <w:ind w:left="720"/>
      <w:contextualSpacing/>
    </w:pPr>
  </w:style>
  <w:style w:type="paragraph" w:styleId="BodyText">
    <w:name w:val="Body Text"/>
    <w:basedOn w:val="Normal"/>
    <w:link w:val="BodyTextChar"/>
    <w:rsid w:val="000A3725"/>
    <w:pPr>
      <w:autoSpaceDE w:val="0"/>
      <w:autoSpaceDN w:val="0"/>
      <w:spacing w:after="0" w:line="240" w:lineRule="auto"/>
    </w:pPr>
    <w:rPr>
      <w:rFonts w:ascii="Arial" w:eastAsia="Times New Roman" w:hAnsi="Arial" w:cs="Times New Roman"/>
      <w:b/>
      <w:sz w:val="32"/>
      <w:szCs w:val="24"/>
      <w:lang w:eastAsia="en-GB"/>
    </w:rPr>
  </w:style>
  <w:style w:type="character" w:customStyle="1" w:styleId="BodyTextChar">
    <w:name w:val="Body Text Char"/>
    <w:basedOn w:val="DefaultParagraphFont"/>
    <w:link w:val="BodyText"/>
    <w:rsid w:val="000A3725"/>
    <w:rPr>
      <w:rFonts w:ascii="Arial" w:eastAsia="Times New Roman" w:hAnsi="Arial" w:cs="Times New Roman"/>
      <w:b/>
      <w:sz w:val="32"/>
      <w:szCs w:val="24"/>
      <w:lang w:eastAsia="en-GB"/>
    </w:rPr>
  </w:style>
  <w:style w:type="character" w:styleId="Strong">
    <w:name w:val="Strong"/>
    <w:basedOn w:val="DefaultParagraphFont"/>
    <w:uiPriority w:val="22"/>
    <w:qFormat/>
    <w:rsid w:val="000E56BD"/>
    <w:rPr>
      <w:b/>
      <w:bCs/>
    </w:rPr>
  </w:style>
  <w:style w:type="paragraph" w:styleId="Header">
    <w:name w:val="header"/>
    <w:basedOn w:val="Normal"/>
    <w:link w:val="HeaderChar"/>
    <w:uiPriority w:val="99"/>
    <w:unhideWhenUsed/>
    <w:rsid w:val="007D4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39D"/>
  </w:style>
  <w:style w:type="paragraph" w:styleId="Footer">
    <w:name w:val="footer"/>
    <w:basedOn w:val="Normal"/>
    <w:link w:val="FooterChar"/>
    <w:uiPriority w:val="99"/>
    <w:unhideWhenUsed/>
    <w:rsid w:val="007D4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39D"/>
  </w:style>
  <w:style w:type="character" w:customStyle="1" w:styleId="Heading1Char">
    <w:name w:val="Heading 1 Char"/>
    <w:basedOn w:val="DefaultParagraphFont"/>
    <w:link w:val="Heading1"/>
    <w:uiPriority w:val="9"/>
    <w:rsid w:val="007D439D"/>
    <w:rPr>
      <w:rFonts w:ascii="Arial" w:eastAsia="Times New Roman" w:hAnsi="Arial" w:cs="Arial"/>
      <w:b/>
      <w:bCs/>
      <w:color w:val="B21F39"/>
      <w:kern w:val="36"/>
      <w:sz w:val="54"/>
      <w:szCs w:val="54"/>
      <w:lang w:eastAsia="en-GB"/>
    </w:rPr>
  </w:style>
  <w:style w:type="paragraph" w:styleId="NormalWeb">
    <w:name w:val="Normal (Web)"/>
    <w:basedOn w:val="Normal"/>
    <w:uiPriority w:val="99"/>
    <w:semiHidden/>
    <w:unhideWhenUsed/>
    <w:rsid w:val="007D439D"/>
    <w:pPr>
      <w:spacing w:after="15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725"/>
  </w:style>
  <w:style w:type="paragraph" w:styleId="Heading1">
    <w:name w:val="heading 1"/>
    <w:basedOn w:val="Normal"/>
    <w:link w:val="Heading1Char"/>
    <w:uiPriority w:val="9"/>
    <w:qFormat/>
    <w:rsid w:val="007D439D"/>
    <w:pPr>
      <w:spacing w:before="360" w:after="240" w:line="240" w:lineRule="auto"/>
      <w:outlineLvl w:val="0"/>
    </w:pPr>
    <w:rPr>
      <w:rFonts w:ascii="Arial" w:eastAsia="Times New Roman" w:hAnsi="Arial" w:cs="Arial"/>
      <w:b/>
      <w:bCs/>
      <w:color w:val="B21F39"/>
      <w:kern w:val="36"/>
      <w:sz w:val="54"/>
      <w:szCs w:val="5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25"/>
    <w:pPr>
      <w:ind w:left="720"/>
      <w:contextualSpacing/>
    </w:pPr>
  </w:style>
  <w:style w:type="paragraph" w:styleId="BodyText">
    <w:name w:val="Body Text"/>
    <w:basedOn w:val="Normal"/>
    <w:link w:val="BodyTextChar"/>
    <w:rsid w:val="000A3725"/>
    <w:pPr>
      <w:autoSpaceDE w:val="0"/>
      <w:autoSpaceDN w:val="0"/>
      <w:spacing w:after="0" w:line="240" w:lineRule="auto"/>
    </w:pPr>
    <w:rPr>
      <w:rFonts w:ascii="Arial" w:eastAsia="Times New Roman" w:hAnsi="Arial" w:cs="Times New Roman"/>
      <w:b/>
      <w:sz w:val="32"/>
      <w:szCs w:val="24"/>
      <w:lang w:eastAsia="en-GB"/>
    </w:rPr>
  </w:style>
  <w:style w:type="character" w:customStyle="1" w:styleId="BodyTextChar">
    <w:name w:val="Body Text Char"/>
    <w:basedOn w:val="DefaultParagraphFont"/>
    <w:link w:val="BodyText"/>
    <w:rsid w:val="000A3725"/>
    <w:rPr>
      <w:rFonts w:ascii="Arial" w:eastAsia="Times New Roman" w:hAnsi="Arial" w:cs="Times New Roman"/>
      <w:b/>
      <w:sz w:val="32"/>
      <w:szCs w:val="24"/>
      <w:lang w:eastAsia="en-GB"/>
    </w:rPr>
  </w:style>
  <w:style w:type="character" w:styleId="Strong">
    <w:name w:val="Strong"/>
    <w:basedOn w:val="DefaultParagraphFont"/>
    <w:uiPriority w:val="22"/>
    <w:qFormat/>
    <w:rsid w:val="000E56BD"/>
    <w:rPr>
      <w:b/>
      <w:bCs/>
    </w:rPr>
  </w:style>
  <w:style w:type="paragraph" w:styleId="Header">
    <w:name w:val="header"/>
    <w:basedOn w:val="Normal"/>
    <w:link w:val="HeaderChar"/>
    <w:uiPriority w:val="99"/>
    <w:unhideWhenUsed/>
    <w:rsid w:val="007D4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39D"/>
  </w:style>
  <w:style w:type="paragraph" w:styleId="Footer">
    <w:name w:val="footer"/>
    <w:basedOn w:val="Normal"/>
    <w:link w:val="FooterChar"/>
    <w:uiPriority w:val="99"/>
    <w:unhideWhenUsed/>
    <w:rsid w:val="007D4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39D"/>
  </w:style>
  <w:style w:type="character" w:customStyle="1" w:styleId="Heading1Char">
    <w:name w:val="Heading 1 Char"/>
    <w:basedOn w:val="DefaultParagraphFont"/>
    <w:link w:val="Heading1"/>
    <w:uiPriority w:val="9"/>
    <w:rsid w:val="007D439D"/>
    <w:rPr>
      <w:rFonts w:ascii="Arial" w:eastAsia="Times New Roman" w:hAnsi="Arial" w:cs="Arial"/>
      <w:b/>
      <w:bCs/>
      <w:color w:val="B21F39"/>
      <w:kern w:val="36"/>
      <w:sz w:val="54"/>
      <w:szCs w:val="54"/>
      <w:lang w:eastAsia="en-GB"/>
    </w:rPr>
  </w:style>
  <w:style w:type="paragraph" w:styleId="NormalWeb">
    <w:name w:val="Normal (Web)"/>
    <w:basedOn w:val="Normal"/>
    <w:uiPriority w:val="99"/>
    <w:semiHidden/>
    <w:unhideWhenUsed/>
    <w:rsid w:val="007D439D"/>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63465150">
      <w:bodyDiv w:val="1"/>
      <w:marLeft w:val="0"/>
      <w:marRight w:val="0"/>
      <w:marTop w:val="0"/>
      <w:marBottom w:val="0"/>
      <w:divBdr>
        <w:top w:val="none" w:sz="0" w:space="0" w:color="auto"/>
        <w:left w:val="none" w:sz="0" w:space="0" w:color="auto"/>
        <w:bottom w:val="none" w:sz="0" w:space="0" w:color="auto"/>
        <w:right w:val="none" w:sz="0" w:space="0" w:color="auto"/>
      </w:divBdr>
      <w:divsChild>
        <w:div w:id="826749777">
          <w:marLeft w:val="0"/>
          <w:marRight w:val="0"/>
          <w:marTop w:val="0"/>
          <w:marBottom w:val="0"/>
          <w:divBdr>
            <w:top w:val="none" w:sz="0" w:space="0" w:color="auto"/>
            <w:left w:val="none" w:sz="0" w:space="0" w:color="auto"/>
            <w:bottom w:val="none" w:sz="0" w:space="0" w:color="auto"/>
            <w:right w:val="none" w:sz="0" w:space="0" w:color="auto"/>
          </w:divBdr>
          <w:divsChild>
            <w:div w:id="1063020102">
              <w:marLeft w:val="0"/>
              <w:marRight w:val="0"/>
              <w:marTop w:val="0"/>
              <w:marBottom w:val="300"/>
              <w:divBdr>
                <w:top w:val="none" w:sz="0" w:space="0" w:color="auto"/>
                <w:left w:val="none" w:sz="0" w:space="0" w:color="auto"/>
                <w:bottom w:val="none" w:sz="0" w:space="0" w:color="auto"/>
                <w:right w:val="none" w:sz="0" w:space="0" w:color="auto"/>
              </w:divBdr>
              <w:divsChild>
                <w:div w:id="1637372558">
                  <w:marLeft w:val="0"/>
                  <w:marRight w:val="0"/>
                  <w:marTop w:val="0"/>
                  <w:marBottom w:val="0"/>
                  <w:divBdr>
                    <w:top w:val="none" w:sz="0" w:space="0" w:color="auto"/>
                    <w:left w:val="none" w:sz="0" w:space="0" w:color="auto"/>
                    <w:bottom w:val="none" w:sz="0" w:space="0" w:color="auto"/>
                    <w:right w:val="none" w:sz="0" w:space="0" w:color="auto"/>
                  </w:divBdr>
                  <w:divsChild>
                    <w:div w:id="19185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Humes</dc:creator>
  <cp:lastModifiedBy>cmeissner</cp:lastModifiedBy>
  <cp:revision>2</cp:revision>
  <dcterms:created xsi:type="dcterms:W3CDTF">2019-03-25T16:31:00Z</dcterms:created>
  <dcterms:modified xsi:type="dcterms:W3CDTF">2019-03-25T16:31:00Z</dcterms:modified>
</cp:coreProperties>
</file>