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7E" w:rsidRPr="003F2457" w:rsidRDefault="00FA394C" w:rsidP="00460F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F2457">
        <w:rPr>
          <w:rFonts w:ascii="Verdana" w:hAnsi="Verdana"/>
          <w:b/>
          <w:sz w:val="20"/>
          <w:szCs w:val="20"/>
          <w:u w:val="single"/>
        </w:rPr>
        <w:t>Children’s Casework Transfer Policy</w:t>
      </w:r>
      <w:r w:rsidR="00460F7E" w:rsidRPr="003F2457">
        <w:rPr>
          <w:rFonts w:ascii="Verdana" w:hAnsi="Verdana"/>
          <w:b/>
          <w:sz w:val="20"/>
          <w:szCs w:val="20"/>
          <w:u w:val="single"/>
        </w:rPr>
        <w:t>.</w:t>
      </w:r>
    </w:p>
    <w:p w:rsidR="000702C5" w:rsidRPr="003F2457" w:rsidRDefault="00B956A9" w:rsidP="003F2457">
      <w:pPr>
        <w:jc w:val="both"/>
        <w:rPr>
          <w:rFonts w:ascii="Verdana" w:hAnsi="Verdana"/>
          <w:b/>
          <w:sz w:val="20"/>
          <w:szCs w:val="20"/>
        </w:rPr>
      </w:pPr>
      <w:r w:rsidRPr="003F2457">
        <w:rPr>
          <w:rFonts w:ascii="Verdana" w:hAnsi="Verdana"/>
          <w:b/>
          <w:sz w:val="20"/>
          <w:szCs w:val="20"/>
        </w:rPr>
        <w:t xml:space="preserve">The basic principle agreed between the Service Leaders is that the </w:t>
      </w:r>
      <w:r w:rsidR="000702C5" w:rsidRPr="003F2457">
        <w:rPr>
          <w:rFonts w:ascii="Verdana" w:hAnsi="Verdana"/>
          <w:b/>
          <w:sz w:val="20"/>
          <w:szCs w:val="20"/>
        </w:rPr>
        <w:t xml:space="preserve">casework </w:t>
      </w:r>
      <w:r w:rsidRPr="003F2457">
        <w:rPr>
          <w:rFonts w:ascii="Verdana" w:hAnsi="Verdana"/>
          <w:b/>
          <w:sz w:val="20"/>
          <w:szCs w:val="20"/>
        </w:rPr>
        <w:t>transfer points are adhered too at all times and</w:t>
      </w:r>
      <w:r w:rsidR="000702C5" w:rsidRPr="003F2457">
        <w:rPr>
          <w:rFonts w:ascii="Verdana" w:hAnsi="Verdana"/>
          <w:b/>
          <w:sz w:val="20"/>
          <w:szCs w:val="20"/>
        </w:rPr>
        <w:t xml:space="preserve"> any </w:t>
      </w:r>
      <w:r w:rsidRPr="003F2457">
        <w:rPr>
          <w:rFonts w:ascii="Verdana" w:hAnsi="Verdana"/>
          <w:b/>
          <w:sz w:val="20"/>
          <w:szCs w:val="20"/>
        </w:rPr>
        <w:t xml:space="preserve">issues of </w:t>
      </w:r>
      <w:r w:rsidR="000702C5" w:rsidRPr="003F2457">
        <w:rPr>
          <w:rFonts w:ascii="Verdana" w:hAnsi="Verdana"/>
          <w:b/>
          <w:sz w:val="20"/>
          <w:szCs w:val="20"/>
        </w:rPr>
        <w:t xml:space="preserve">service area </w:t>
      </w:r>
      <w:r w:rsidRPr="003F2457">
        <w:rPr>
          <w:rFonts w:ascii="Verdana" w:hAnsi="Verdana"/>
          <w:b/>
          <w:sz w:val="20"/>
          <w:szCs w:val="20"/>
        </w:rPr>
        <w:t xml:space="preserve">capacity are then addressed </w:t>
      </w:r>
      <w:r w:rsidR="000702C5" w:rsidRPr="003F2457">
        <w:rPr>
          <w:rFonts w:ascii="Verdana" w:hAnsi="Verdana"/>
          <w:b/>
          <w:sz w:val="20"/>
          <w:szCs w:val="20"/>
        </w:rPr>
        <w:t xml:space="preserve">to </w:t>
      </w:r>
      <w:r w:rsidRPr="003F2457">
        <w:rPr>
          <w:rFonts w:ascii="Verdana" w:hAnsi="Verdana"/>
          <w:b/>
          <w:sz w:val="20"/>
          <w:szCs w:val="20"/>
        </w:rPr>
        <w:t>the Senior Leadership team</w:t>
      </w:r>
      <w:r w:rsidR="003F2457" w:rsidRPr="003F2457">
        <w:rPr>
          <w:rFonts w:ascii="Verdana" w:hAnsi="Verdana"/>
          <w:b/>
          <w:sz w:val="20"/>
          <w:szCs w:val="20"/>
        </w:rPr>
        <w:t>, capacity</w:t>
      </w:r>
      <w:r w:rsidRPr="003F2457">
        <w:rPr>
          <w:rFonts w:ascii="Verdana" w:hAnsi="Verdana"/>
          <w:b/>
          <w:sz w:val="20"/>
          <w:szCs w:val="20"/>
        </w:rPr>
        <w:t xml:space="preserve"> </w:t>
      </w:r>
      <w:r w:rsidR="000702C5" w:rsidRPr="003F2457">
        <w:rPr>
          <w:rFonts w:ascii="Verdana" w:hAnsi="Verdana"/>
          <w:b/>
          <w:sz w:val="20"/>
          <w:szCs w:val="20"/>
        </w:rPr>
        <w:t>should not override skills</w:t>
      </w:r>
      <w:r w:rsidR="00E81F2E" w:rsidRPr="003F2457">
        <w:rPr>
          <w:rFonts w:ascii="Verdana" w:hAnsi="Verdana"/>
          <w:b/>
          <w:sz w:val="20"/>
          <w:szCs w:val="20"/>
        </w:rPr>
        <w:t xml:space="preserve"> </w:t>
      </w:r>
      <w:r w:rsidR="000702C5" w:rsidRPr="003F2457">
        <w:rPr>
          <w:rFonts w:ascii="Verdana" w:hAnsi="Verdana"/>
          <w:b/>
          <w:sz w:val="20"/>
          <w:szCs w:val="20"/>
        </w:rPr>
        <w:t>base</w:t>
      </w:r>
      <w:r w:rsidR="00E81F2E" w:rsidRPr="003F2457">
        <w:rPr>
          <w:rFonts w:ascii="Verdana" w:hAnsi="Verdana"/>
          <w:b/>
          <w:sz w:val="20"/>
          <w:szCs w:val="20"/>
        </w:rPr>
        <w:t xml:space="preserve"> </w:t>
      </w:r>
      <w:r w:rsidR="000702C5" w:rsidRPr="003F2457">
        <w:rPr>
          <w:rFonts w:ascii="Verdana" w:hAnsi="Verdana"/>
          <w:b/>
          <w:sz w:val="20"/>
          <w:szCs w:val="20"/>
        </w:rPr>
        <w:t xml:space="preserve">in the </w:t>
      </w:r>
      <w:r w:rsidR="003F2457" w:rsidRPr="003F2457">
        <w:rPr>
          <w:rFonts w:ascii="Verdana" w:hAnsi="Verdana"/>
          <w:b/>
          <w:sz w:val="20"/>
          <w:szCs w:val="20"/>
        </w:rPr>
        <w:t>need for</w:t>
      </w:r>
      <w:r w:rsidRPr="003F2457">
        <w:rPr>
          <w:rFonts w:ascii="Verdana" w:hAnsi="Verdana"/>
          <w:b/>
          <w:sz w:val="20"/>
          <w:szCs w:val="20"/>
        </w:rPr>
        <w:t xml:space="preserve"> transfer.</w:t>
      </w:r>
      <w:r w:rsidR="007729D7" w:rsidRPr="003F2457">
        <w:rPr>
          <w:rFonts w:ascii="Verdana" w:hAnsi="Verdana"/>
          <w:b/>
          <w:sz w:val="20"/>
          <w:szCs w:val="20"/>
        </w:rPr>
        <w:t xml:space="preserve"> </w:t>
      </w:r>
    </w:p>
    <w:p w:rsidR="00246BF0" w:rsidRPr="003F2457" w:rsidRDefault="007729D7" w:rsidP="003F2457">
      <w:pPr>
        <w:jc w:val="both"/>
        <w:rPr>
          <w:rFonts w:ascii="Verdana" w:hAnsi="Verdana"/>
          <w:b/>
          <w:sz w:val="20"/>
          <w:szCs w:val="20"/>
        </w:rPr>
      </w:pPr>
      <w:r w:rsidRPr="003F2457">
        <w:rPr>
          <w:rFonts w:ascii="Verdana" w:hAnsi="Verdana"/>
          <w:b/>
          <w:sz w:val="20"/>
          <w:szCs w:val="20"/>
        </w:rPr>
        <w:t xml:space="preserve">These principles are supported by transfer checklists to </w:t>
      </w:r>
      <w:r w:rsidR="003F2457" w:rsidRPr="003F2457">
        <w:rPr>
          <w:rFonts w:ascii="Verdana" w:hAnsi="Verdana"/>
          <w:b/>
          <w:sz w:val="20"/>
          <w:szCs w:val="20"/>
        </w:rPr>
        <w:t>clarify what</w:t>
      </w:r>
      <w:r w:rsidRPr="003F2457">
        <w:rPr>
          <w:rFonts w:ascii="Verdana" w:hAnsi="Verdana"/>
          <w:b/>
          <w:sz w:val="20"/>
          <w:szCs w:val="20"/>
        </w:rPr>
        <w:t xml:space="preserve"> work will have been completed prior to transfer.  </w:t>
      </w:r>
    </w:p>
    <w:p w:rsidR="00175A88" w:rsidRPr="003F2457" w:rsidRDefault="000702C5" w:rsidP="00252109">
      <w:pPr>
        <w:rPr>
          <w:rFonts w:ascii="Verdana" w:hAnsi="Verdana"/>
          <w:i/>
          <w:sz w:val="20"/>
          <w:szCs w:val="20"/>
        </w:rPr>
      </w:pPr>
      <w:r w:rsidRPr="003F2457">
        <w:rPr>
          <w:rFonts w:ascii="Verdana" w:hAnsi="Verdana"/>
          <w:sz w:val="20"/>
          <w:szCs w:val="20"/>
        </w:rPr>
        <w:t>Key Principles</w:t>
      </w:r>
      <w:r w:rsidR="00B956A9" w:rsidRPr="003F2457">
        <w:rPr>
          <w:rFonts w:ascii="Verdana" w:hAnsi="Verdana"/>
          <w:i/>
          <w:sz w:val="20"/>
          <w:szCs w:val="20"/>
        </w:rPr>
        <w:t xml:space="preserve"> </w:t>
      </w:r>
    </w:p>
    <w:p w:rsidR="00246BF0" w:rsidRPr="003F2457" w:rsidRDefault="00246BF0" w:rsidP="00246BF0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F2457">
        <w:rPr>
          <w:rFonts w:ascii="Verdana" w:hAnsi="Verdana"/>
          <w:sz w:val="18"/>
          <w:szCs w:val="18"/>
        </w:rPr>
        <w:t>Children and families are</w:t>
      </w:r>
      <w:r w:rsidR="000702C5" w:rsidRPr="003F2457">
        <w:rPr>
          <w:rFonts w:ascii="Verdana" w:hAnsi="Verdana"/>
          <w:sz w:val="18"/>
          <w:szCs w:val="18"/>
        </w:rPr>
        <w:t xml:space="preserve"> and </w:t>
      </w:r>
      <w:r w:rsidR="003F2457" w:rsidRPr="003F2457">
        <w:rPr>
          <w:rFonts w:ascii="Verdana" w:hAnsi="Verdana"/>
          <w:sz w:val="18"/>
          <w:szCs w:val="18"/>
        </w:rPr>
        <w:t>remain at</w:t>
      </w:r>
      <w:r w:rsidRPr="003F2457">
        <w:rPr>
          <w:rFonts w:ascii="Verdana" w:hAnsi="Verdana"/>
          <w:sz w:val="18"/>
          <w:szCs w:val="18"/>
        </w:rPr>
        <w:t xml:space="preserve"> the heart of all our planning.</w:t>
      </w:r>
    </w:p>
    <w:p w:rsidR="00246BF0" w:rsidRPr="003F2457" w:rsidRDefault="00246BF0" w:rsidP="00246BF0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F2457">
        <w:rPr>
          <w:rFonts w:ascii="Verdana" w:hAnsi="Verdana"/>
          <w:sz w:val="18"/>
          <w:szCs w:val="18"/>
        </w:rPr>
        <w:t xml:space="preserve">Children are in the right part of the service at the right time </w:t>
      </w:r>
      <w:r w:rsidR="000702C5" w:rsidRPr="003F2457">
        <w:rPr>
          <w:rFonts w:ascii="Verdana" w:hAnsi="Verdana"/>
          <w:sz w:val="18"/>
          <w:szCs w:val="18"/>
        </w:rPr>
        <w:t xml:space="preserve">to reduce unnecessary delay in their </w:t>
      </w:r>
      <w:r w:rsidRPr="003F2457">
        <w:rPr>
          <w:rFonts w:ascii="Verdana" w:hAnsi="Verdana"/>
          <w:sz w:val="18"/>
          <w:szCs w:val="18"/>
        </w:rPr>
        <w:t xml:space="preserve">journey. </w:t>
      </w:r>
    </w:p>
    <w:p w:rsidR="00246BF0" w:rsidRPr="003F2457" w:rsidRDefault="000702C5" w:rsidP="00246BF0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F2457">
        <w:rPr>
          <w:rFonts w:ascii="Verdana" w:hAnsi="Verdana"/>
          <w:sz w:val="18"/>
          <w:szCs w:val="18"/>
        </w:rPr>
        <w:t xml:space="preserve">Services </w:t>
      </w:r>
      <w:proofErr w:type="gramStart"/>
      <w:r w:rsidR="00246BF0" w:rsidRPr="003F2457">
        <w:rPr>
          <w:rFonts w:ascii="Verdana" w:hAnsi="Verdana"/>
          <w:sz w:val="18"/>
          <w:szCs w:val="18"/>
        </w:rPr>
        <w:t>work together to support</w:t>
      </w:r>
      <w:r w:rsidR="00FA394C" w:rsidRPr="003F2457">
        <w:rPr>
          <w:rFonts w:ascii="Verdana" w:hAnsi="Verdana"/>
          <w:sz w:val="18"/>
          <w:szCs w:val="18"/>
        </w:rPr>
        <w:t xml:space="preserve"> </w:t>
      </w:r>
      <w:r w:rsidR="003F2457" w:rsidRPr="003F2457">
        <w:rPr>
          <w:rFonts w:ascii="Verdana" w:hAnsi="Verdana"/>
          <w:sz w:val="18"/>
          <w:szCs w:val="18"/>
        </w:rPr>
        <w:t>timely transfers</w:t>
      </w:r>
      <w:r w:rsidR="00246BF0" w:rsidRPr="003F2457">
        <w:rPr>
          <w:rFonts w:ascii="Verdana" w:hAnsi="Verdana"/>
          <w:sz w:val="18"/>
          <w:szCs w:val="18"/>
        </w:rPr>
        <w:t xml:space="preserve"> for children</w:t>
      </w:r>
      <w:r w:rsidR="00FA394C" w:rsidRPr="003F2457">
        <w:rPr>
          <w:rFonts w:ascii="Verdana" w:hAnsi="Verdana"/>
          <w:sz w:val="18"/>
          <w:szCs w:val="18"/>
        </w:rPr>
        <w:t xml:space="preserve"> and ensure families are</w:t>
      </w:r>
      <w:proofErr w:type="gramEnd"/>
      <w:r w:rsidR="00FA394C" w:rsidRPr="003F2457">
        <w:rPr>
          <w:rFonts w:ascii="Verdana" w:hAnsi="Verdana"/>
          <w:sz w:val="18"/>
          <w:szCs w:val="18"/>
        </w:rPr>
        <w:t xml:space="preserve"> informed of changes</w:t>
      </w:r>
      <w:r w:rsidR="00246BF0" w:rsidRPr="003F2457">
        <w:rPr>
          <w:rFonts w:ascii="Verdana" w:hAnsi="Verdana"/>
          <w:sz w:val="18"/>
          <w:szCs w:val="18"/>
        </w:rPr>
        <w:t>.</w:t>
      </w:r>
    </w:p>
    <w:p w:rsidR="00246BF0" w:rsidRPr="003F2457" w:rsidRDefault="00246BF0" w:rsidP="00246BF0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F2457">
        <w:rPr>
          <w:rFonts w:ascii="Verdana" w:hAnsi="Verdana"/>
          <w:sz w:val="18"/>
          <w:szCs w:val="18"/>
        </w:rPr>
        <w:t xml:space="preserve">Everyone is committed to make sure that </w:t>
      </w:r>
      <w:r w:rsidR="00FA394C" w:rsidRPr="003F2457">
        <w:rPr>
          <w:rFonts w:ascii="Verdana" w:hAnsi="Verdana"/>
          <w:sz w:val="18"/>
          <w:szCs w:val="18"/>
        </w:rPr>
        <w:t xml:space="preserve">intervention and case work </w:t>
      </w:r>
      <w:r w:rsidRPr="003F2457">
        <w:rPr>
          <w:rFonts w:ascii="Verdana" w:hAnsi="Verdana"/>
          <w:sz w:val="18"/>
          <w:szCs w:val="18"/>
        </w:rPr>
        <w:t xml:space="preserve">planning is </w:t>
      </w:r>
      <w:r w:rsidR="00FA394C" w:rsidRPr="003F2457">
        <w:rPr>
          <w:rFonts w:ascii="Verdana" w:hAnsi="Verdana"/>
          <w:sz w:val="18"/>
          <w:szCs w:val="18"/>
        </w:rPr>
        <w:t xml:space="preserve">increasingly </w:t>
      </w:r>
      <w:r w:rsidRPr="003F2457">
        <w:rPr>
          <w:rFonts w:ascii="Verdana" w:hAnsi="Verdana"/>
          <w:sz w:val="18"/>
          <w:szCs w:val="18"/>
        </w:rPr>
        <w:t xml:space="preserve">smarter and </w:t>
      </w:r>
      <w:r w:rsidR="00FA394C" w:rsidRPr="003F2457">
        <w:rPr>
          <w:rFonts w:ascii="Verdana" w:hAnsi="Verdana"/>
          <w:sz w:val="18"/>
          <w:szCs w:val="18"/>
        </w:rPr>
        <w:t xml:space="preserve">effectively </w:t>
      </w:r>
      <w:r w:rsidRPr="003F2457">
        <w:rPr>
          <w:rFonts w:ascii="Verdana" w:hAnsi="Verdana"/>
          <w:sz w:val="18"/>
          <w:szCs w:val="18"/>
        </w:rPr>
        <w:t>impacts on children and families.</w:t>
      </w:r>
    </w:p>
    <w:p w:rsidR="00246BF0" w:rsidRPr="003F2457" w:rsidRDefault="00246BF0" w:rsidP="00246BF0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F2457">
        <w:rPr>
          <w:rFonts w:ascii="Verdana" w:hAnsi="Verdana"/>
          <w:sz w:val="18"/>
          <w:szCs w:val="18"/>
        </w:rPr>
        <w:t xml:space="preserve">This policy </w:t>
      </w:r>
      <w:r w:rsidR="00FA394C" w:rsidRPr="003F2457">
        <w:rPr>
          <w:rFonts w:ascii="Verdana" w:hAnsi="Verdana"/>
          <w:sz w:val="18"/>
          <w:szCs w:val="18"/>
        </w:rPr>
        <w:t xml:space="preserve">sets out </w:t>
      </w:r>
      <w:r w:rsidRPr="003F2457">
        <w:rPr>
          <w:rFonts w:ascii="Verdana" w:hAnsi="Verdana"/>
          <w:sz w:val="18"/>
          <w:szCs w:val="18"/>
        </w:rPr>
        <w:t xml:space="preserve">principles of transfer across all areas </w:t>
      </w:r>
      <w:r w:rsidR="00FA394C" w:rsidRPr="003F2457">
        <w:rPr>
          <w:rFonts w:ascii="Verdana" w:hAnsi="Verdana"/>
          <w:sz w:val="18"/>
          <w:szCs w:val="18"/>
        </w:rPr>
        <w:t xml:space="preserve">of </w:t>
      </w:r>
      <w:r w:rsidRPr="003F2457">
        <w:rPr>
          <w:rFonts w:ascii="Verdana" w:hAnsi="Verdana"/>
          <w:sz w:val="18"/>
          <w:szCs w:val="18"/>
        </w:rPr>
        <w:t xml:space="preserve">Early Help and </w:t>
      </w:r>
      <w:r w:rsidR="003F2457" w:rsidRPr="003F2457">
        <w:rPr>
          <w:rFonts w:ascii="Verdana" w:hAnsi="Verdana"/>
          <w:sz w:val="18"/>
          <w:szCs w:val="18"/>
        </w:rPr>
        <w:t>across Children</w:t>
      </w:r>
      <w:r w:rsidR="00FA394C" w:rsidRPr="003F2457">
        <w:rPr>
          <w:rFonts w:ascii="Verdana" w:hAnsi="Verdana"/>
          <w:sz w:val="18"/>
          <w:szCs w:val="18"/>
        </w:rPr>
        <w:t xml:space="preserve"> and </w:t>
      </w:r>
      <w:r w:rsidRPr="003F2457">
        <w:rPr>
          <w:rFonts w:ascii="Verdana" w:hAnsi="Verdana"/>
          <w:sz w:val="18"/>
          <w:szCs w:val="18"/>
        </w:rPr>
        <w:t>Young People</w:t>
      </w:r>
      <w:r w:rsidR="00FA394C" w:rsidRPr="003F2457">
        <w:rPr>
          <w:rFonts w:ascii="Verdana" w:hAnsi="Verdana"/>
          <w:sz w:val="18"/>
          <w:szCs w:val="18"/>
        </w:rPr>
        <w:t>’</w:t>
      </w:r>
      <w:r w:rsidRPr="003F2457">
        <w:rPr>
          <w:rFonts w:ascii="Verdana" w:hAnsi="Verdana"/>
          <w:sz w:val="18"/>
          <w:szCs w:val="18"/>
        </w:rPr>
        <w:t>s Service</w:t>
      </w:r>
      <w:r w:rsidR="00FA394C" w:rsidRPr="003F2457">
        <w:rPr>
          <w:rFonts w:ascii="Verdana" w:hAnsi="Verdana"/>
          <w:sz w:val="18"/>
          <w:szCs w:val="18"/>
        </w:rPr>
        <w:t>s</w:t>
      </w:r>
      <w:r w:rsidRPr="003F2457">
        <w:rPr>
          <w:rFonts w:ascii="Verdana" w:hAnsi="Verdana"/>
          <w:sz w:val="18"/>
          <w:szCs w:val="18"/>
        </w:rPr>
        <w:t>.</w:t>
      </w:r>
    </w:p>
    <w:p w:rsidR="00B956A9" w:rsidRPr="003F2457" w:rsidRDefault="003F2457" w:rsidP="003F245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F2457">
        <w:rPr>
          <w:rFonts w:ascii="Verdana" w:hAnsi="Verdana"/>
          <w:sz w:val="18"/>
          <w:szCs w:val="18"/>
        </w:rPr>
        <w:t>The Children’s</w:t>
      </w:r>
      <w:r w:rsidR="00FA394C" w:rsidRPr="003F2457">
        <w:rPr>
          <w:rFonts w:ascii="Verdana" w:hAnsi="Verdana"/>
          <w:sz w:val="18"/>
          <w:szCs w:val="18"/>
        </w:rPr>
        <w:t xml:space="preserve"> </w:t>
      </w:r>
      <w:r w:rsidRPr="003F2457">
        <w:rPr>
          <w:rFonts w:ascii="Verdana" w:hAnsi="Verdana"/>
          <w:sz w:val="18"/>
          <w:szCs w:val="18"/>
        </w:rPr>
        <w:t>Casework Transfer</w:t>
      </w:r>
      <w:r w:rsidR="00246BF0" w:rsidRPr="003F2457">
        <w:rPr>
          <w:rFonts w:ascii="Verdana" w:hAnsi="Verdana"/>
          <w:sz w:val="18"/>
          <w:szCs w:val="18"/>
        </w:rPr>
        <w:t xml:space="preserve"> Policy is owned and implemented by all</w:t>
      </w:r>
      <w:r w:rsidR="007729D7" w:rsidRPr="003F2457">
        <w:rPr>
          <w:rFonts w:ascii="Verdana" w:hAnsi="Verdana"/>
          <w:sz w:val="18"/>
          <w:szCs w:val="18"/>
        </w:rPr>
        <w:t xml:space="preserve"> </w:t>
      </w:r>
      <w:r w:rsidR="00FA394C" w:rsidRPr="003F2457">
        <w:rPr>
          <w:rFonts w:ascii="Verdana" w:hAnsi="Verdana"/>
          <w:sz w:val="18"/>
          <w:szCs w:val="18"/>
        </w:rPr>
        <w:t>service areas. T</w:t>
      </w:r>
      <w:r w:rsidR="007729D7" w:rsidRPr="003F2457">
        <w:rPr>
          <w:rFonts w:ascii="Verdana" w:hAnsi="Verdana"/>
          <w:sz w:val="18"/>
          <w:szCs w:val="18"/>
        </w:rPr>
        <w:t xml:space="preserve">ransfers </w:t>
      </w:r>
      <w:r w:rsidR="00E81F2E" w:rsidRPr="003F2457">
        <w:rPr>
          <w:rFonts w:ascii="Verdana" w:hAnsi="Verdana"/>
          <w:sz w:val="18"/>
          <w:szCs w:val="18"/>
        </w:rPr>
        <w:t xml:space="preserve">will not be </w:t>
      </w:r>
      <w:r w:rsidR="007729D7" w:rsidRPr="003F2457">
        <w:rPr>
          <w:rFonts w:ascii="Verdana" w:hAnsi="Verdana"/>
          <w:sz w:val="18"/>
          <w:szCs w:val="18"/>
        </w:rPr>
        <w:t xml:space="preserve">requested prior to checklist being signed off by </w:t>
      </w:r>
      <w:r w:rsidR="00FA394C" w:rsidRPr="003F2457">
        <w:rPr>
          <w:rFonts w:ascii="Verdana" w:hAnsi="Verdana"/>
          <w:sz w:val="18"/>
          <w:szCs w:val="18"/>
        </w:rPr>
        <w:t xml:space="preserve">a </w:t>
      </w:r>
      <w:r w:rsidR="007729D7" w:rsidRPr="003F2457">
        <w:rPr>
          <w:rFonts w:ascii="Verdana" w:hAnsi="Verdana"/>
          <w:sz w:val="18"/>
          <w:szCs w:val="18"/>
        </w:rPr>
        <w:t>P</w:t>
      </w:r>
      <w:r w:rsidR="00FA394C" w:rsidRPr="003F2457">
        <w:rPr>
          <w:rFonts w:ascii="Verdana" w:hAnsi="Verdana"/>
          <w:sz w:val="18"/>
          <w:szCs w:val="18"/>
        </w:rPr>
        <w:t>ractice Manager (PM)</w:t>
      </w:r>
      <w:r w:rsidR="007729D7" w:rsidRPr="003F2457">
        <w:rPr>
          <w:rFonts w:ascii="Verdana" w:hAnsi="Verdana"/>
          <w:sz w:val="18"/>
          <w:szCs w:val="18"/>
        </w:rPr>
        <w:t xml:space="preserve"> </w:t>
      </w:r>
      <w:r w:rsidR="00E81F2E" w:rsidRPr="003F2457">
        <w:rPr>
          <w:rFonts w:ascii="Verdana" w:hAnsi="Verdana"/>
          <w:sz w:val="18"/>
          <w:szCs w:val="18"/>
        </w:rPr>
        <w:t xml:space="preserve">where this may cause unnecessary delay for a child the Group Manager will be contacted. In normal circumstances transfers </w:t>
      </w:r>
      <w:r w:rsidR="00246BF0" w:rsidRPr="003F2457">
        <w:rPr>
          <w:rFonts w:ascii="Verdana" w:hAnsi="Verdana"/>
          <w:sz w:val="18"/>
          <w:szCs w:val="18"/>
        </w:rPr>
        <w:t xml:space="preserve">are completed at the agreed transfer points and within agreed timescales. </w:t>
      </w:r>
      <w:r w:rsidR="00244375" w:rsidRPr="003F2457">
        <w:rPr>
          <w:rFonts w:ascii="Verdana" w:hAnsi="Verdana"/>
          <w:sz w:val="18"/>
          <w:szCs w:val="18"/>
        </w:rPr>
        <w:t>All Care Proceedings wi</w:t>
      </w:r>
      <w:r w:rsidR="00A028AB" w:rsidRPr="003F2457">
        <w:rPr>
          <w:rFonts w:ascii="Verdana" w:hAnsi="Verdana"/>
          <w:sz w:val="18"/>
          <w:szCs w:val="18"/>
        </w:rPr>
        <w:t>ll</w:t>
      </w:r>
      <w:r w:rsidR="00244375" w:rsidRPr="003F2457">
        <w:rPr>
          <w:rFonts w:ascii="Verdana" w:hAnsi="Verdana"/>
          <w:sz w:val="18"/>
          <w:szCs w:val="18"/>
        </w:rPr>
        <w:t xml:space="preserve"> sit within </w:t>
      </w:r>
      <w:r w:rsidR="00252109" w:rsidRPr="003F2457">
        <w:rPr>
          <w:rFonts w:ascii="Verdana" w:hAnsi="Verdana"/>
          <w:sz w:val="18"/>
          <w:szCs w:val="18"/>
        </w:rPr>
        <w:t>FSP and CLA</w:t>
      </w:r>
      <w:r w:rsidR="00244375" w:rsidRPr="003F2457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48"/>
        <w:gridCol w:w="2076"/>
        <w:gridCol w:w="2392"/>
      </w:tblGrid>
      <w:tr w:rsidR="003F2457" w:rsidRPr="003F2457" w:rsidTr="003F2457">
        <w:tc>
          <w:tcPr>
            <w:tcW w:w="1526" w:type="dxa"/>
          </w:tcPr>
          <w:p w:rsidR="00A1364A" w:rsidRPr="003F2457" w:rsidRDefault="00A1364A" w:rsidP="00A136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457">
              <w:rPr>
                <w:rFonts w:ascii="Verdana" w:hAnsi="Verdana"/>
                <w:b/>
                <w:sz w:val="20"/>
                <w:szCs w:val="20"/>
              </w:rPr>
              <w:t>Service child is in</w:t>
            </w:r>
          </w:p>
        </w:tc>
        <w:tc>
          <w:tcPr>
            <w:tcW w:w="3248" w:type="dxa"/>
          </w:tcPr>
          <w:p w:rsidR="00A1364A" w:rsidRPr="003F2457" w:rsidRDefault="00A1364A" w:rsidP="00A136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457">
              <w:rPr>
                <w:rFonts w:ascii="Verdana" w:hAnsi="Verdana"/>
                <w:b/>
                <w:sz w:val="20"/>
                <w:szCs w:val="20"/>
              </w:rPr>
              <w:t>Commentary</w:t>
            </w:r>
          </w:p>
        </w:tc>
        <w:tc>
          <w:tcPr>
            <w:tcW w:w="2076" w:type="dxa"/>
          </w:tcPr>
          <w:p w:rsidR="00A1364A" w:rsidRPr="003F2457" w:rsidRDefault="00A1364A" w:rsidP="00A136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457">
              <w:rPr>
                <w:rFonts w:ascii="Verdana" w:hAnsi="Verdana"/>
                <w:b/>
                <w:sz w:val="20"/>
                <w:szCs w:val="20"/>
              </w:rPr>
              <w:t>Service child will move too.</w:t>
            </w:r>
          </w:p>
        </w:tc>
        <w:tc>
          <w:tcPr>
            <w:tcW w:w="2392" w:type="dxa"/>
          </w:tcPr>
          <w:p w:rsidR="00A1364A" w:rsidRPr="003F2457" w:rsidRDefault="00A1364A" w:rsidP="00A136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457">
              <w:rPr>
                <w:rFonts w:ascii="Verdana" w:hAnsi="Verdana"/>
                <w:b/>
                <w:sz w:val="20"/>
                <w:szCs w:val="20"/>
              </w:rPr>
              <w:t>At what point</w:t>
            </w:r>
          </w:p>
        </w:tc>
      </w:tr>
      <w:tr w:rsidR="003F2457" w:rsidRPr="003F2457" w:rsidTr="003F2457">
        <w:tc>
          <w:tcPr>
            <w:tcW w:w="1526" w:type="dxa"/>
          </w:tcPr>
          <w:p w:rsidR="00244375" w:rsidRPr="003F2457" w:rsidRDefault="00244375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MASH</w:t>
            </w:r>
          </w:p>
        </w:tc>
        <w:tc>
          <w:tcPr>
            <w:tcW w:w="3248" w:type="dxa"/>
          </w:tcPr>
          <w:p w:rsidR="00244375" w:rsidRPr="003F2457" w:rsidRDefault="00244375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Transfer in Child Protection Conference</w:t>
            </w:r>
            <w:r w:rsidR="00A84660" w:rsidRPr="003F2457">
              <w:rPr>
                <w:rFonts w:ascii="Verdana" w:hAnsi="Verdana"/>
                <w:sz w:val="20"/>
                <w:szCs w:val="20"/>
              </w:rPr>
              <w:t>.  MASH/CPU complete necessary checks and paperwork to assess suitability for transfer request</w:t>
            </w:r>
          </w:p>
        </w:tc>
        <w:tc>
          <w:tcPr>
            <w:tcW w:w="2076" w:type="dxa"/>
          </w:tcPr>
          <w:p w:rsidR="00244375" w:rsidRPr="003F2457" w:rsidRDefault="00A8466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FSP</w:t>
            </w:r>
            <w:r w:rsidR="00252109" w:rsidRPr="003F2457">
              <w:rPr>
                <w:rFonts w:ascii="Verdana" w:hAnsi="Verdana"/>
                <w:sz w:val="20"/>
                <w:szCs w:val="20"/>
              </w:rPr>
              <w:t xml:space="preserve"> if CP</w:t>
            </w:r>
          </w:p>
          <w:p w:rsidR="00252109" w:rsidRPr="003F2457" w:rsidRDefault="00252109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A&amp;I if CIN</w:t>
            </w:r>
          </w:p>
        </w:tc>
        <w:tc>
          <w:tcPr>
            <w:tcW w:w="2392" w:type="dxa"/>
          </w:tcPr>
          <w:p w:rsidR="00244375" w:rsidRPr="003F2457" w:rsidRDefault="00A84660" w:rsidP="00252109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Transfer RCPC </w:t>
            </w:r>
          </w:p>
        </w:tc>
      </w:tr>
      <w:tr w:rsidR="003F2457" w:rsidRPr="003F2457" w:rsidTr="003F2457">
        <w:tc>
          <w:tcPr>
            <w:tcW w:w="1526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CAI</w:t>
            </w:r>
          </w:p>
        </w:tc>
        <w:tc>
          <w:tcPr>
            <w:tcW w:w="3248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Arranges an ICPC – child is subject 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>of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a CPP.</w:t>
            </w:r>
          </w:p>
        </w:tc>
        <w:tc>
          <w:tcPr>
            <w:tcW w:w="2076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FSP</w:t>
            </w:r>
          </w:p>
        </w:tc>
        <w:tc>
          <w:tcPr>
            <w:tcW w:w="2392" w:type="dxa"/>
          </w:tcPr>
          <w:p w:rsidR="00A1364A" w:rsidRPr="003F2457" w:rsidRDefault="00686700" w:rsidP="008A268E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ICPC </w:t>
            </w:r>
          </w:p>
        </w:tc>
      </w:tr>
      <w:tr w:rsidR="003F2457" w:rsidRPr="003F2457" w:rsidTr="003F2457">
        <w:tc>
          <w:tcPr>
            <w:tcW w:w="1526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CAI</w:t>
            </w:r>
          </w:p>
        </w:tc>
        <w:tc>
          <w:tcPr>
            <w:tcW w:w="3248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Arranges an ICPC – child is not made subject 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>of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CPP / but CIN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 xml:space="preserve"> plan is agreed</w:t>
            </w:r>
          </w:p>
        </w:tc>
        <w:tc>
          <w:tcPr>
            <w:tcW w:w="2076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Remains in CAI</w:t>
            </w:r>
          </w:p>
        </w:tc>
        <w:tc>
          <w:tcPr>
            <w:tcW w:w="2392" w:type="dxa"/>
          </w:tcPr>
          <w:p w:rsidR="00A1364A" w:rsidRPr="003F2457" w:rsidRDefault="00A1364A" w:rsidP="00A136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2457" w:rsidRPr="003F2457" w:rsidTr="003F2457">
        <w:tc>
          <w:tcPr>
            <w:tcW w:w="1526" w:type="dxa"/>
          </w:tcPr>
          <w:p w:rsidR="00A1364A" w:rsidRPr="003F2457" w:rsidRDefault="00246BF0" w:rsidP="00252109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CAI </w:t>
            </w:r>
          </w:p>
        </w:tc>
        <w:tc>
          <w:tcPr>
            <w:tcW w:w="3248" w:type="dxa"/>
          </w:tcPr>
          <w:p w:rsidR="00AE7429" w:rsidRPr="003F2457" w:rsidRDefault="00246BF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We are working with a child, however significant concerns about safety and well-being so an application for an EPO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 xml:space="preserve"> or short notice ICO.</w:t>
            </w:r>
          </w:p>
          <w:p w:rsidR="00246BF0" w:rsidRPr="003F2457" w:rsidRDefault="00B37DA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Planned application for an ICO is made</w:t>
            </w:r>
            <w:r w:rsidR="00252109" w:rsidRPr="003F2457">
              <w:rPr>
                <w:rFonts w:ascii="Verdana" w:hAnsi="Verdana"/>
                <w:sz w:val="20"/>
                <w:szCs w:val="20"/>
              </w:rPr>
              <w:t xml:space="preserve"> and c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hild is </w:t>
            </w:r>
            <w:r w:rsidR="003F2457" w:rsidRPr="003F2457">
              <w:rPr>
                <w:rFonts w:ascii="Verdana" w:hAnsi="Verdana"/>
                <w:sz w:val="20"/>
                <w:szCs w:val="20"/>
              </w:rPr>
              <w:t>accommodated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o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r a 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placed with connected persons under 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lastRenderedPageBreak/>
              <w:t>Section 20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CA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 / a court order.</w:t>
            </w:r>
          </w:p>
          <w:p w:rsidR="00246BF0" w:rsidRPr="003F2457" w:rsidRDefault="00246BF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Current social worker makes the 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>EPO/</w:t>
            </w:r>
            <w:r w:rsidRPr="003F2457">
              <w:rPr>
                <w:rFonts w:ascii="Verdana" w:hAnsi="Verdana"/>
                <w:sz w:val="20"/>
                <w:szCs w:val="20"/>
              </w:rPr>
              <w:t>ICO application and completes relevant paperwork for court hearing.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A1364A" w:rsidRPr="003F2457" w:rsidRDefault="0010675F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lastRenderedPageBreak/>
              <w:t>Court Team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A1364A" w:rsidRPr="003F2457" w:rsidRDefault="00246BF0" w:rsidP="00AE7429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At the 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>EPO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>/ICO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 xml:space="preserve"> H</w:t>
            </w:r>
            <w:r w:rsidRPr="003F2457">
              <w:rPr>
                <w:rFonts w:ascii="Verdana" w:hAnsi="Verdana"/>
                <w:sz w:val="20"/>
                <w:szCs w:val="20"/>
              </w:rPr>
              <w:t>earing</w:t>
            </w:r>
            <w:r w:rsidR="00AE7429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7DA0" w:rsidRPr="003F2457" w:rsidRDefault="00B37DA0" w:rsidP="00AE7429">
            <w:pPr>
              <w:rPr>
                <w:rFonts w:ascii="Verdana" w:hAnsi="Verdana"/>
                <w:sz w:val="20"/>
                <w:szCs w:val="20"/>
              </w:rPr>
            </w:pPr>
          </w:p>
          <w:p w:rsidR="00B37DA0" w:rsidRPr="003F2457" w:rsidRDefault="00B37DA0" w:rsidP="00B37D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2457" w:rsidRPr="003F2457" w:rsidTr="003F2457">
        <w:tc>
          <w:tcPr>
            <w:tcW w:w="1526" w:type="dxa"/>
          </w:tcPr>
          <w:p w:rsidR="00A1364A" w:rsidRPr="003F2457" w:rsidRDefault="00246BF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lastRenderedPageBreak/>
              <w:t>CAI</w:t>
            </w:r>
          </w:p>
        </w:tc>
        <w:tc>
          <w:tcPr>
            <w:tcW w:w="3248" w:type="dxa"/>
          </w:tcPr>
          <w:p w:rsidR="00A1364A" w:rsidRPr="003F2457" w:rsidRDefault="00246BF0" w:rsidP="0010675F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Significant concerns about child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>,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and safety planning not keeping child safe. Agreement via Group Manager to 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 xml:space="preserve">attend gateway </w:t>
            </w:r>
            <w:r w:rsidR="003F2457" w:rsidRPr="003F2457">
              <w:rPr>
                <w:rFonts w:ascii="Verdana" w:hAnsi="Verdana"/>
                <w:sz w:val="20"/>
                <w:szCs w:val="20"/>
              </w:rPr>
              <w:t>meeting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and recommendation is for a </w:t>
            </w:r>
            <w:r w:rsidR="00B37DA0" w:rsidRPr="003F2457">
              <w:rPr>
                <w:rFonts w:ascii="Verdana" w:hAnsi="Verdana"/>
                <w:sz w:val="20"/>
                <w:szCs w:val="20"/>
              </w:rPr>
              <w:t>Pre Proceedings M</w:t>
            </w:r>
            <w:r w:rsidRPr="003F2457">
              <w:rPr>
                <w:rFonts w:ascii="Verdana" w:hAnsi="Verdana"/>
                <w:sz w:val="20"/>
                <w:szCs w:val="20"/>
              </w:rPr>
              <w:t>eeting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>)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. Social worker </w:t>
            </w:r>
            <w:r w:rsidR="00B37DA0" w:rsidRPr="003F2457">
              <w:rPr>
                <w:rFonts w:ascii="Verdana" w:hAnsi="Verdana"/>
                <w:sz w:val="20"/>
                <w:szCs w:val="20"/>
              </w:rPr>
              <w:t xml:space="preserve">shares letter before proceedings with </w:t>
            </w:r>
            <w:r w:rsidR="003F2457" w:rsidRPr="003F2457">
              <w:rPr>
                <w:rFonts w:ascii="Verdana" w:hAnsi="Verdana"/>
                <w:sz w:val="20"/>
                <w:szCs w:val="20"/>
              </w:rPr>
              <w:t>parents</w:t>
            </w:r>
            <w:r w:rsidR="00B37DA0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arranges </w:t>
            </w:r>
            <w:r w:rsidR="00B37DA0" w:rsidRPr="003F2457">
              <w:rPr>
                <w:rFonts w:ascii="Verdana" w:hAnsi="Verdana"/>
                <w:sz w:val="20"/>
                <w:szCs w:val="20"/>
              </w:rPr>
              <w:t xml:space="preserve">Pre proceedings 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>m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eeting and arranges an ICPC. </w:t>
            </w:r>
          </w:p>
        </w:tc>
        <w:tc>
          <w:tcPr>
            <w:tcW w:w="2076" w:type="dxa"/>
          </w:tcPr>
          <w:p w:rsidR="00A1364A" w:rsidRPr="003F2457" w:rsidRDefault="00246BF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FSP</w:t>
            </w:r>
          </w:p>
        </w:tc>
        <w:tc>
          <w:tcPr>
            <w:tcW w:w="2392" w:type="dxa"/>
          </w:tcPr>
          <w:p w:rsidR="00A1364A" w:rsidRPr="003F2457" w:rsidRDefault="00686700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ICPC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7DA0" w:rsidRPr="003F2457">
              <w:rPr>
                <w:rFonts w:ascii="Verdana" w:hAnsi="Verdana"/>
                <w:sz w:val="20"/>
                <w:szCs w:val="20"/>
              </w:rPr>
              <w:t>and /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>or the P</w:t>
            </w:r>
            <w:r w:rsidR="00B37DA0" w:rsidRPr="003F2457">
              <w:rPr>
                <w:rFonts w:ascii="Verdana" w:hAnsi="Verdana"/>
                <w:sz w:val="20"/>
                <w:szCs w:val="20"/>
              </w:rPr>
              <w:t>PM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 meeting, whichever is most appropriate. </w:t>
            </w:r>
          </w:p>
          <w:p w:rsidR="00246BF0" w:rsidRPr="003F2457" w:rsidRDefault="0010675F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SL will chair gateway meeting</w:t>
            </w:r>
            <w:r w:rsidR="00246BF0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F2457" w:rsidRPr="003F2457" w:rsidTr="003F2457">
        <w:tc>
          <w:tcPr>
            <w:tcW w:w="1526" w:type="dxa"/>
          </w:tcPr>
          <w:p w:rsidR="00227B1B" w:rsidRPr="003F2457" w:rsidRDefault="003F2457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FS&amp;P</w:t>
            </w:r>
            <w:r w:rsidR="0010675F" w:rsidRPr="003F2457">
              <w:rPr>
                <w:rFonts w:ascii="Verdana" w:hAnsi="Verdana"/>
                <w:sz w:val="20"/>
                <w:szCs w:val="20"/>
              </w:rPr>
              <w:t>/Court and CLA</w:t>
            </w:r>
            <w:r w:rsidR="00603A54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</w:tcPr>
          <w:p w:rsidR="00227B1B" w:rsidRPr="003F2457" w:rsidRDefault="00603A54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Child has been subject </w:t>
            </w:r>
            <w:r w:rsidR="00066423" w:rsidRPr="003F2457">
              <w:rPr>
                <w:rFonts w:ascii="Verdana" w:hAnsi="Verdana"/>
                <w:sz w:val="20"/>
                <w:szCs w:val="20"/>
              </w:rPr>
              <w:t>of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care proceedings. The conclusion of the proceedings is a Supervision Order with the child residing in the care of a parent / family member.</w:t>
            </w:r>
          </w:p>
        </w:tc>
        <w:tc>
          <w:tcPr>
            <w:tcW w:w="2076" w:type="dxa"/>
          </w:tcPr>
          <w:p w:rsidR="00227B1B" w:rsidRPr="003F2457" w:rsidRDefault="0010675F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Case would remain with allocated worker for duration of supervision order</w:t>
            </w:r>
          </w:p>
        </w:tc>
        <w:tc>
          <w:tcPr>
            <w:tcW w:w="2392" w:type="dxa"/>
          </w:tcPr>
          <w:p w:rsidR="00227B1B" w:rsidRPr="003F2457" w:rsidRDefault="00227B1B" w:rsidP="004E10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2457" w:rsidRPr="003F2457" w:rsidTr="003F2457">
        <w:tc>
          <w:tcPr>
            <w:tcW w:w="1526" w:type="dxa"/>
          </w:tcPr>
          <w:p w:rsidR="00603A54" w:rsidRPr="003F2457" w:rsidRDefault="00845331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CLA</w:t>
            </w:r>
          </w:p>
        </w:tc>
        <w:tc>
          <w:tcPr>
            <w:tcW w:w="3248" w:type="dxa"/>
          </w:tcPr>
          <w:p w:rsidR="00603A54" w:rsidRPr="003F2457" w:rsidRDefault="00603A54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Child is 1</w:t>
            </w:r>
            <w:r w:rsidR="00845331" w:rsidRPr="003F2457">
              <w:rPr>
                <w:rFonts w:ascii="Verdana" w:hAnsi="Verdana"/>
                <w:sz w:val="20"/>
                <w:szCs w:val="20"/>
              </w:rPr>
              <w:t>6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 and requires preparation for leaving care. </w:t>
            </w:r>
          </w:p>
          <w:p w:rsidR="00066423" w:rsidRPr="003F2457" w:rsidRDefault="00066423" w:rsidP="00A136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</w:tcPr>
          <w:p w:rsidR="00603A54" w:rsidRPr="003F2457" w:rsidRDefault="00845331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Leaving Care Service</w:t>
            </w:r>
          </w:p>
        </w:tc>
        <w:tc>
          <w:tcPr>
            <w:tcW w:w="2392" w:type="dxa"/>
          </w:tcPr>
          <w:p w:rsidR="00603A54" w:rsidRPr="003F2457" w:rsidRDefault="003F2457" w:rsidP="00845331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LCS allocates</w:t>
            </w:r>
            <w:r w:rsidR="003A779A" w:rsidRPr="003F2457">
              <w:rPr>
                <w:rFonts w:ascii="Verdana" w:hAnsi="Verdana"/>
                <w:sz w:val="20"/>
                <w:szCs w:val="20"/>
              </w:rPr>
              <w:t xml:space="preserve"> a personal advisor to co work at 1</w:t>
            </w:r>
            <w:r w:rsidR="00845331" w:rsidRPr="003F2457">
              <w:rPr>
                <w:rFonts w:ascii="Verdana" w:hAnsi="Verdana"/>
                <w:sz w:val="20"/>
                <w:szCs w:val="20"/>
              </w:rPr>
              <w:t>6</w:t>
            </w:r>
            <w:r w:rsidR="003A779A" w:rsidRPr="003F2457">
              <w:rPr>
                <w:rFonts w:ascii="Verdana" w:hAnsi="Verdana"/>
                <w:sz w:val="20"/>
                <w:szCs w:val="20"/>
              </w:rPr>
              <w:t xml:space="preserve"> and child fully transfers to </w:t>
            </w:r>
            <w:r w:rsidR="00845331" w:rsidRPr="003F2457">
              <w:rPr>
                <w:rFonts w:ascii="Verdana" w:hAnsi="Verdana"/>
                <w:sz w:val="20"/>
                <w:szCs w:val="20"/>
              </w:rPr>
              <w:t xml:space="preserve">LCS </w:t>
            </w:r>
            <w:r w:rsidR="003A779A" w:rsidRPr="003F2457">
              <w:rPr>
                <w:rFonts w:ascii="Verdana" w:hAnsi="Verdana"/>
                <w:sz w:val="20"/>
                <w:szCs w:val="20"/>
              </w:rPr>
              <w:t>at 18.</w:t>
            </w:r>
          </w:p>
        </w:tc>
      </w:tr>
      <w:tr w:rsidR="003F2457" w:rsidRPr="003F2457" w:rsidTr="003F2457">
        <w:tc>
          <w:tcPr>
            <w:tcW w:w="1526" w:type="dxa"/>
          </w:tcPr>
          <w:p w:rsidR="00603A54" w:rsidRPr="003F2457" w:rsidRDefault="004E10F7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MASH </w:t>
            </w:r>
          </w:p>
        </w:tc>
        <w:tc>
          <w:tcPr>
            <w:tcW w:w="3248" w:type="dxa"/>
          </w:tcPr>
          <w:p w:rsidR="00603A54" w:rsidRPr="003F2457" w:rsidRDefault="004E10F7" w:rsidP="004E10F7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Referral presenting as the main concern being </w:t>
            </w:r>
            <w:r w:rsidR="00603A54" w:rsidRPr="003F2457">
              <w:rPr>
                <w:rFonts w:ascii="Verdana" w:hAnsi="Verdana"/>
                <w:sz w:val="20"/>
                <w:szCs w:val="20"/>
              </w:rPr>
              <w:t>‘</w:t>
            </w:r>
            <w:r w:rsidRPr="003F2457">
              <w:rPr>
                <w:rFonts w:ascii="Verdana" w:hAnsi="Verdana"/>
                <w:sz w:val="20"/>
                <w:szCs w:val="20"/>
              </w:rPr>
              <w:t xml:space="preserve">adolescent on </w:t>
            </w:r>
            <w:r w:rsidR="00603A54" w:rsidRPr="003F2457">
              <w:rPr>
                <w:rFonts w:ascii="Verdana" w:hAnsi="Verdana"/>
                <w:sz w:val="20"/>
                <w:szCs w:val="20"/>
              </w:rPr>
              <w:t>edge of care’ (child is over 11yrs)</w:t>
            </w:r>
            <w:r w:rsidR="00213B31" w:rsidRPr="003F2457">
              <w:rPr>
                <w:rFonts w:ascii="Verdana" w:hAnsi="Verdana"/>
                <w:sz w:val="20"/>
                <w:szCs w:val="20"/>
              </w:rPr>
              <w:t xml:space="preserve">.  </w:t>
            </w:r>
          </w:p>
        </w:tc>
        <w:tc>
          <w:tcPr>
            <w:tcW w:w="2076" w:type="dxa"/>
          </w:tcPr>
          <w:p w:rsidR="00603A54" w:rsidRPr="003F2457" w:rsidRDefault="00603A54" w:rsidP="00A1364A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>AFRS</w:t>
            </w:r>
          </w:p>
        </w:tc>
        <w:tc>
          <w:tcPr>
            <w:tcW w:w="2392" w:type="dxa"/>
          </w:tcPr>
          <w:p w:rsidR="00603A54" w:rsidRPr="003F2457" w:rsidRDefault="004E10F7" w:rsidP="004E10F7">
            <w:pPr>
              <w:rPr>
                <w:rFonts w:ascii="Verdana" w:hAnsi="Verdana"/>
                <w:sz w:val="20"/>
                <w:szCs w:val="20"/>
              </w:rPr>
            </w:pPr>
            <w:r w:rsidRPr="003F2457">
              <w:rPr>
                <w:rFonts w:ascii="Verdana" w:hAnsi="Verdana"/>
                <w:sz w:val="20"/>
                <w:szCs w:val="20"/>
              </w:rPr>
              <w:t xml:space="preserve">At point of referral. </w:t>
            </w:r>
            <w:r w:rsidR="00603A54" w:rsidRPr="003F24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1364A" w:rsidRPr="003F2457" w:rsidRDefault="00A1364A" w:rsidP="00A1364A">
      <w:pPr>
        <w:rPr>
          <w:rFonts w:ascii="Verdana" w:hAnsi="Verdana"/>
          <w:sz w:val="20"/>
          <w:szCs w:val="20"/>
        </w:rPr>
      </w:pPr>
    </w:p>
    <w:p w:rsidR="00B630DB" w:rsidRPr="003F2457" w:rsidRDefault="00B630DB" w:rsidP="003F2457">
      <w:pPr>
        <w:jc w:val="both"/>
        <w:rPr>
          <w:rFonts w:ascii="Verdana" w:hAnsi="Verdana"/>
          <w:b/>
          <w:sz w:val="20"/>
          <w:szCs w:val="20"/>
        </w:rPr>
      </w:pPr>
      <w:r w:rsidRPr="003F2457">
        <w:rPr>
          <w:rFonts w:ascii="Verdana" w:hAnsi="Verdana"/>
          <w:b/>
          <w:sz w:val="20"/>
          <w:szCs w:val="20"/>
        </w:rPr>
        <w:t>The above transfer points and principles need to be applied by all P</w:t>
      </w:r>
      <w:r w:rsidR="00D86DA3" w:rsidRPr="003F2457">
        <w:rPr>
          <w:rFonts w:ascii="Verdana" w:hAnsi="Verdana"/>
          <w:b/>
          <w:sz w:val="20"/>
          <w:szCs w:val="20"/>
        </w:rPr>
        <w:t>ractice</w:t>
      </w:r>
      <w:r w:rsidR="008A268E" w:rsidRPr="003F2457">
        <w:rPr>
          <w:rFonts w:ascii="Verdana" w:hAnsi="Verdana"/>
          <w:b/>
          <w:sz w:val="20"/>
          <w:szCs w:val="20"/>
        </w:rPr>
        <w:t xml:space="preserve"> Managers</w:t>
      </w:r>
      <w:r w:rsidR="00D86DA3" w:rsidRPr="003F2457">
        <w:rPr>
          <w:rFonts w:ascii="Verdana" w:hAnsi="Verdana"/>
          <w:b/>
          <w:sz w:val="20"/>
          <w:szCs w:val="20"/>
        </w:rPr>
        <w:t xml:space="preserve"> and Group managers</w:t>
      </w:r>
      <w:r w:rsidRPr="003F2457">
        <w:rPr>
          <w:rFonts w:ascii="Verdana" w:hAnsi="Verdana"/>
          <w:b/>
          <w:sz w:val="20"/>
          <w:szCs w:val="20"/>
        </w:rPr>
        <w:t xml:space="preserve">. The key principle being children transfer at relevant times </w:t>
      </w:r>
      <w:r w:rsidR="00066423" w:rsidRPr="003F2457">
        <w:rPr>
          <w:rFonts w:ascii="Verdana" w:hAnsi="Verdana"/>
          <w:b/>
          <w:sz w:val="20"/>
          <w:szCs w:val="20"/>
        </w:rPr>
        <w:t xml:space="preserve">for them </w:t>
      </w:r>
      <w:r w:rsidRPr="003F2457">
        <w:rPr>
          <w:rFonts w:ascii="Verdana" w:hAnsi="Verdana"/>
          <w:b/>
          <w:sz w:val="20"/>
          <w:szCs w:val="20"/>
        </w:rPr>
        <w:t xml:space="preserve">and </w:t>
      </w:r>
      <w:proofErr w:type="gramStart"/>
      <w:r w:rsidR="00066423" w:rsidRPr="003F2457">
        <w:rPr>
          <w:rFonts w:ascii="Verdana" w:hAnsi="Verdana"/>
          <w:b/>
          <w:sz w:val="20"/>
          <w:szCs w:val="20"/>
        </w:rPr>
        <w:t>that services</w:t>
      </w:r>
      <w:proofErr w:type="gramEnd"/>
      <w:r w:rsidR="00066423" w:rsidRPr="003F2457">
        <w:rPr>
          <w:rFonts w:ascii="Verdana" w:hAnsi="Verdana"/>
          <w:b/>
          <w:sz w:val="20"/>
          <w:szCs w:val="20"/>
        </w:rPr>
        <w:t xml:space="preserve"> are best placed to meet the needs</w:t>
      </w:r>
      <w:r w:rsidR="003F2457" w:rsidRPr="003F2457">
        <w:rPr>
          <w:rFonts w:ascii="Verdana" w:hAnsi="Verdana"/>
          <w:b/>
          <w:sz w:val="20"/>
          <w:szCs w:val="20"/>
        </w:rPr>
        <w:t xml:space="preserve"> of children and their families</w:t>
      </w:r>
    </w:p>
    <w:p w:rsidR="005D7B6A" w:rsidRPr="003F2457" w:rsidRDefault="005D7B6A" w:rsidP="005D7B6A">
      <w:pPr>
        <w:rPr>
          <w:rFonts w:ascii="Verdana" w:hAnsi="Verdana"/>
          <w:sz w:val="20"/>
          <w:szCs w:val="20"/>
        </w:rPr>
      </w:pPr>
    </w:p>
    <w:p w:rsidR="005D7B6A" w:rsidRPr="003F2457" w:rsidRDefault="005D7B6A" w:rsidP="005D7B6A">
      <w:pPr>
        <w:pStyle w:val="ListParagraph"/>
        <w:rPr>
          <w:rFonts w:ascii="Verdana" w:hAnsi="Verdana"/>
          <w:sz w:val="20"/>
          <w:szCs w:val="20"/>
        </w:rPr>
      </w:pPr>
    </w:p>
    <w:sectPr w:rsidR="005D7B6A" w:rsidRPr="003F2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4B" w:rsidRDefault="00361F4B" w:rsidP="00361F4B">
      <w:pPr>
        <w:spacing w:after="0" w:line="240" w:lineRule="auto"/>
      </w:pPr>
      <w:r>
        <w:separator/>
      </w:r>
    </w:p>
  </w:endnote>
  <w:endnote w:type="continuationSeparator" w:id="0">
    <w:p w:rsidR="00361F4B" w:rsidRDefault="00361F4B" w:rsidP="0036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4B" w:rsidRDefault="00361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9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F4B" w:rsidRDefault="00361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F4B" w:rsidRPr="00361F4B" w:rsidRDefault="00361F4B">
    <w:pPr>
      <w:pStyle w:val="Footer"/>
      <w:rPr>
        <w:rFonts w:ascii="Verdana" w:hAnsi="Verdana"/>
        <w:sz w:val="16"/>
        <w:szCs w:val="16"/>
      </w:rPr>
    </w:pPr>
    <w:bookmarkStart w:id="0" w:name="_GoBack"/>
    <w:r w:rsidRPr="00361F4B">
      <w:rPr>
        <w:rFonts w:ascii="Verdana" w:hAnsi="Verdana"/>
        <w:sz w:val="16"/>
        <w:szCs w:val="16"/>
      </w:rPr>
      <w:t>V1. 25/02/19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4B" w:rsidRDefault="00361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4B" w:rsidRDefault="00361F4B" w:rsidP="00361F4B">
      <w:pPr>
        <w:spacing w:after="0" w:line="240" w:lineRule="auto"/>
      </w:pPr>
      <w:r>
        <w:separator/>
      </w:r>
    </w:p>
  </w:footnote>
  <w:footnote w:type="continuationSeparator" w:id="0">
    <w:p w:rsidR="00361F4B" w:rsidRDefault="00361F4B" w:rsidP="0036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4B" w:rsidRDefault="00361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4B" w:rsidRDefault="00361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4B" w:rsidRDefault="00361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06A"/>
    <w:multiLevelType w:val="hybridMultilevel"/>
    <w:tmpl w:val="90768E32"/>
    <w:lvl w:ilvl="0" w:tplc="8BA824E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4E3501"/>
    <w:multiLevelType w:val="hybridMultilevel"/>
    <w:tmpl w:val="5FB4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1CE8"/>
    <w:multiLevelType w:val="hybridMultilevel"/>
    <w:tmpl w:val="70A62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433C"/>
    <w:multiLevelType w:val="hybridMultilevel"/>
    <w:tmpl w:val="906AA0AA"/>
    <w:lvl w:ilvl="0" w:tplc="8BA824E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86BC9"/>
    <w:multiLevelType w:val="hybridMultilevel"/>
    <w:tmpl w:val="88C2E8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1"/>
    <w:rsid w:val="00066423"/>
    <w:rsid w:val="000702C5"/>
    <w:rsid w:val="000B04E1"/>
    <w:rsid w:val="000B5AE4"/>
    <w:rsid w:val="000F7CDE"/>
    <w:rsid w:val="00101799"/>
    <w:rsid w:val="0010675F"/>
    <w:rsid w:val="00175A88"/>
    <w:rsid w:val="001B554F"/>
    <w:rsid w:val="001E4FFF"/>
    <w:rsid w:val="00213B31"/>
    <w:rsid w:val="00215A1B"/>
    <w:rsid w:val="00227B1B"/>
    <w:rsid w:val="00244375"/>
    <w:rsid w:val="00246BF0"/>
    <w:rsid w:val="00252109"/>
    <w:rsid w:val="002C0337"/>
    <w:rsid w:val="002E39ED"/>
    <w:rsid w:val="00361F4B"/>
    <w:rsid w:val="00364B60"/>
    <w:rsid w:val="003A779A"/>
    <w:rsid w:val="003C1F55"/>
    <w:rsid w:val="003F2457"/>
    <w:rsid w:val="00460F7E"/>
    <w:rsid w:val="004E10F7"/>
    <w:rsid w:val="004F6A6E"/>
    <w:rsid w:val="00513EFB"/>
    <w:rsid w:val="00593F02"/>
    <w:rsid w:val="005D7B6A"/>
    <w:rsid w:val="00603A54"/>
    <w:rsid w:val="00686700"/>
    <w:rsid w:val="006A15F4"/>
    <w:rsid w:val="007374D7"/>
    <w:rsid w:val="007729D7"/>
    <w:rsid w:val="007A2940"/>
    <w:rsid w:val="00802806"/>
    <w:rsid w:val="00845331"/>
    <w:rsid w:val="008A268E"/>
    <w:rsid w:val="00A028AB"/>
    <w:rsid w:val="00A1364A"/>
    <w:rsid w:val="00A84660"/>
    <w:rsid w:val="00AE7429"/>
    <w:rsid w:val="00AF14A5"/>
    <w:rsid w:val="00B05BC5"/>
    <w:rsid w:val="00B37DA0"/>
    <w:rsid w:val="00B50DA1"/>
    <w:rsid w:val="00B630DB"/>
    <w:rsid w:val="00B956A9"/>
    <w:rsid w:val="00C706E4"/>
    <w:rsid w:val="00D86DA3"/>
    <w:rsid w:val="00E81F2E"/>
    <w:rsid w:val="00F02EF5"/>
    <w:rsid w:val="00FA2700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7E"/>
    <w:pPr>
      <w:ind w:left="720"/>
      <w:contextualSpacing/>
    </w:pPr>
  </w:style>
  <w:style w:type="table" w:styleId="TableGrid">
    <w:name w:val="Table Grid"/>
    <w:basedOn w:val="TableNormal"/>
    <w:uiPriority w:val="59"/>
    <w:rsid w:val="00A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C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F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2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7E"/>
    <w:pPr>
      <w:ind w:left="720"/>
      <w:contextualSpacing/>
    </w:pPr>
  </w:style>
  <w:style w:type="table" w:styleId="TableGrid">
    <w:name w:val="Table Grid"/>
    <w:basedOn w:val="TableNormal"/>
    <w:uiPriority w:val="59"/>
    <w:rsid w:val="00A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C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F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2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B14F-1DBF-4D04-9ADB-BB78EF93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Ansell</dc:creator>
  <cp:lastModifiedBy>Nicola Honsa</cp:lastModifiedBy>
  <cp:revision>3</cp:revision>
  <dcterms:created xsi:type="dcterms:W3CDTF">2019-02-25T14:39:00Z</dcterms:created>
  <dcterms:modified xsi:type="dcterms:W3CDTF">2019-02-25T14:41:00Z</dcterms:modified>
</cp:coreProperties>
</file>