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9242"/>
      </w:tblGrid>
      <w:tr w:rsidR="00AB3DE3" w:rsidRPr="00AB3DE3" w:rsidTr="00AB3DE3">
        <w:tc>
          <w:tcPr>
            <w:tcW w:w="9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3DE3" w:rsidRPr="00AB3DE3" w:rsidRDefault="00AB3DE3" w:rsidP="00AB3DE3">
            <w:pPr>
              <w:jc w:val="center"/>
              <w:rPr>
                <w:rFonts w:ascii="Verdana" w:eastAsia="Times New Roman" w:hAnsi="Verdana"/>
                <w:szCs w:val="20"/>
              </w:rPr>
            </w:pPr>
          </w:p>
          <w:p w:rsidR="00AB3DE3" w:rsidRPr="00AB3DE3" w:rsidRDefault="00AB3DE3" w:rsidP="00AB3DE3">
            <w:pPr>
              <w:jc w:val="center"/>
              <w:rPr>
                <w:rFonts w:ascii="Verdana" w:eastAsia="Times New Roman" w:hAnsi="Verdana"/>
                <w:b/>
                <w:szCs w:val="20"/>
              </w:rPr>
            </w:pPr>
            <w:r w:rsidRPr="00AB3DE3">
              <w:rPr>
                <w:rFonts w:ascii="Verdana" w:eastAsia="Times New Roman" w:hAnsi="Verdana"/>
                <w:b/>
                <w:szCs w:val="20"/>
              </w:rPr>
              <w:t>WEST SUSSEX COUNTY COUNCIL</w:t>
            </w:r>
          </w:p>
          <w:p w:rsidR="00AB3DE3" w:rsidRPr="00AB3DE3" w:rsidRDefault="00AB3DE3" w:rsidP="00AB3DE3">
            <w:pPr>
              <w:jc w:val="center"/>
              <w:rPr>
                <w:rFonts w:ascii="Verdana" w:eastAsia="Times New Roman" w:hAnsi="Verdana"/>
                <w:b/>
                <w:szCs w:val="20"/>
              </w:rPr>
            </w:pPr>
            <w:r w:rsidRPr="00AB3DE3">
              <w:rPr>
                <w:rFonts w:ascii="Verdana" w:eastAsia="Times New Roman" w:hAnsi="Verdana"/>
                <w:b/>
                <w:szCs w:val="20"/>
              </w:rPr>
              <w:t>CHILDREN AND FAMILY SERVICES</w:t>
            </w:r>
          </w:p>
          <w:p w:rsidR="00AB3DE3" w:rsidRPr="00AB3DE3" w:rsidRDefault="00AB3DE3" w:rsidP="00AB3DE3">
            <w:pPr>
              <w:jc w:val="center"/>
              <w:rPr>
                <w:rFonts w:ascii="Verdana" w:eastAsia="Times New Roman" w:hAnsi="Verdana"/>
                <w:szCs w:val="20"/>
              </w:rPr>
            </w:pPr>
          </w:p>
          <w:p w:rsidR="00AB3DE3" w:rsidRPr="00AB3DE3" w:rsidRDefault="00AB3DE3" w:rsidP="00AB3DE3">
            <w:pPr>
              <w:jc w:val="center"/>
              <w:rPr>
                <w:rFonts w:ascii="Verdana" w:eastAsia="Times New Roman" w:hAnsi="Verdana"/>
                <w:b/>
                <w:szCs w:val="20"/>
              </w:rPr>
            </w:pPr>
            <w:r w:rsidRPr="00AB3DE3">
              <w:rPr>
                <w:rFonts w:ascii="Verdana" w:eastAsia="Times New Roman" w:hAnsi="Verdana"/>
                <w:b/>
                <w:szCs w:val="20"/>
              </w:rPr>
              <w:t xml:space="preserve">NEED TO KNOW PROCESS AND REFERRAL FORM </w:t>
            </w:r>
          </w:p>
          <w:p w:rsidR="00AB3DE3" w:rsidRPr="00AB3DE3" w:rsidRDefault="00AB3DE3" w:rsidP="00AB3DE3">
            <w:pPr>
              <w:jc w:val="center"/>
              <w:rPr>
                <w:rFonts w:ascii="Verdana" w:eastAsia="Times New Roman" w:hAnsi="Verdana"/>
                <w:b/>
                <w:szCs w:val="20"/>
              </w:rPr>
            </w:pPr>
            <w:r w:rsidRPr="00AB3DE3">
              <w:rPr>
                <w:rFonts w:ascii="Verdana" w:eastAsia="Times New Roman" w:hAnsi="Verdana"/>
                <w:b/>
                <w:szCs w:val="20"/>
              </w:rPr>
              <w:t>FOR CHILDREN AND CARE LEAVERS</w:t>
            </w:r>
          </w:p>
          <w:p w:rsidR="00AB3DE3" w:rsidRPr="00AB3DE3" w:rsidRDefault="00AB3DE3" w:rsidP="00AB3DE3">
            <w:pPr>
              <w:jc w:val="center"/>
              <w:rPr>
                <w:rFonts w:ascii="Verdana" w:eastAsia="Times New Roman" w:hAnsi="Verdana"/>
                <w:b/>
                <w:szCs w:val="20"/>
              </w:rPr>
            </w:pPr>
          </w:p>
        </w:tc>
      </w:tr>
    </w:tbl>
    <w:p w:rsidR="00AB3DE3" w:rsidRPr="00AB3DE3" w:rsidRDefault="00AB3DE3" w:rsidP="00AB3DE3">
      <w:pPr>
        <w:spacing w:after="0" w:line="240" w:lineRule="auto"/>
        <w:rPr>
          <w:rFonts w:ascii="Verdana" w:eastAsia="Times New Roman" w:hAnsi="Verdana" w:cs="Times New Roman"/>
        </w:rPr>
      </w:pPr>
    </w:p>
    <w:p w:rsidR="00AB3DE3" w:rsidRPr="00AB3DE3" w:rsidRDefault="00AB3DE3" w:rsidP="00AB3DE3">
      <w:pPr>
        <w:spacing w:after="0" w:line="240" w:lineRule="auto"/>
        <w:rPr>
          <w:rFonts w:ascii="Verdana" w:eastAsia="Times New Roman" w:hAnsi="Verdana" w:cs="Times New Roman"/>
        </w:rPr>
      </w:pPr>
      <w:r w:rsidRPr="00AB3DE3">
        <w:rPr>
          <w:rFonts w:ascii="Verdana" w:eastAsia="Times New Roman" w:hAnsi="Verdana" w:cs="Times New Roman"/>
        </w:rPr>
        <w:t xml:space="preserve">Given the context in which we operate, it is inevitable that incidents will occur that need to be escalated to executive officers for information and/or action.  This Need </w:t>
      </w:r>
      <w:proofErr w:type="gramStart"/>
      <w:r w:rsidRPr="00AB3DE3">
        <w:rPr>
          <w:rFonts w:ascii="Verdana" w:eastAsia="Times New Roman" w:hAnsi="Verdana" w:cs="Times New Roman"/>
        </w:rPr>
        <w:t>To</w:t>
      </w:r>
      <w:proofErr w:type="gramEnd"/>
      <w:r w:rsidRPr="00AB3DE3">
        <w:rPr>
          <w:rFonts w:ascii="Verdana" w:eastAsia="Times New Roman" w:hAnsi="Verdana" w:cs="Times New Roman"/>
        </w:rPr>
        <w:t xml:space="preserve"> Know process has been designed for such occasions and should be completed at the earliest opportunity following the incident occurring.  Ideally, same day as event review update 48 hours, review 5 days.  To assist decision-making on when to evoke this process, guidance is provided below.  However, managers should not be constrained by this if an extraordinary event occurs that needs to be escalated.</w:t>
      </w:r>
    </w:p>
    <w:p w:rsidR="00AB3DE3" w:rsidRPr="00AB3DE3" w:rsidRDefault="00AB3DE3" w:rsidP="00AB3DE3">
      <w:pPr>
        <w:spacing w:after="0" w:line="240" w:lineRule="auto"/>
        <w:rPr>
          <w:rFonts w:ascii="Verdana" w:eastAsia="Times New Roman" w:hAnsi="Verdana" w:cs="Times New Roman"/>
        </w:rPr>
      </w:pPr>
    </w:p>
    <w:p w:rsidR="00AB3DE3" w:rsidRPr="00AB3DE3" w:rsidRDefault="00AB3DE3" w:rsidP="00AB3DE3">
      <w:pPr>
        <w:spacing w:after="0" w:line="240" w:lineRule="auto"/>
        <w:rPr>
          <w:rFonts w:ascii="Verdana" w:eastAsia="Times New Roman" w:hAnsi="Verdana" w:cs="Times New Roman"/>
        </w:rPr>
      </w:pPr>
      <w:r w:rsidRPr="00AB3DE3">
        <w:rPr>
          <w:rFonts w:ascii="Verdana" w:eastAsia="Times New Roman" w:hAnsi="Verdana" w:cs="Times New Roman"/>
        </w:rPr>
        <w:t>On receipt of the information an executive officer will satisfy themselves that necessary action is being taken or planned and decide whether further escalation outside the department, either to elected Members, the Chief Executive, regulators, Government offices or the press team is required.</w:t>
      </w:r>
    </w:p>
    <w:p w:rsidR="00AB3DE3" w:rsidRPr="00AB3DE3" w:rsidRDefault="00AB3DE3" w:rsidP="00AB3DE3">
      <w:pPr>
        <w:spacing w:after="0" w:line="240" w:lineRule="auto"/>
        <w:rPr>
          <w:rFonts w:ascii="Verdana" w:eastAsia="Times New Roman" w:hAnsi="Verdana" w:cs="Arial"/>
        </w:rPr>
      </w:pP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Death or serious injury of a child or care leaver known to Children’s Services</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Death or serious injury of an adult who is either known to a service or that may have care and support needs regardless of whether those needs are currently being met.</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If a child dies or is seriously harmed, and where the Local Authority suspects that a child has been abused or neglected (Ofsted notification).</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Incidents that may trigger media interest including children who commit or are victims of serious crimes.</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 xml:space="preserve">Cases referred to the Home Office through the National Referral Mechanism as trafficking and / or modern slavery is suspected. </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 xml:space="preserve">Missing child, where Head of Service has established escalation is required, (Child </w:t>
      </w:r>
      <w:proofErr w:type="gramStart"/>
      <w:r w:rsidRPr="00AB3DE3">
        <w:rPr>
          <w:rFonts w:ascii="Verdana" w:eastAsia="Times New Roman" w:hAnsi="Verdana" w:cs="Arial"/>
        </w:rPr>
        <w:t>Looked</w:t>
      </w:r>
      <w:proofErr w:type="gramEnd"/>
      <w:r w:rsidRPr="00AB3DE3">
        <w:rPr>
          <w:rFonts w:ascii="Verdana" w:eastAsia="Times New Roman" w:hAnsi="Verdana" w:cs="Arial"/>
        </w:rPr>
        <w:t xml:space="preserve"> After </w:t>
      </w:r>
      <w:proofErr w:type="spellStart"/>
      <w:r w:rsidRPr="00AB3DE3">
        <w:rPr>
          <w:rFonts w:ascii="Verdana" w:eastAsia="Times New Roman" w:hAnsi="Verdana" w:cs="Arial"/>
        </w:rPr>
        <w:t>after</w:t>
      </w:r>
      <w:proofErr w:type="spellEnd"/>
      <w:r w:rsidRPr="00AB3DE3">
        <w:rPr>
          <w:rFonts w:ascii="Verdana" w:eastAsia="Times New Roman" w:hAnsi="Verdana" w:cs="Arial"/>
        </w:rPr>
        <w:t xml:space="preserve"> 24 hours and non-Child Looked After 72 hours).</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Missing family subject to Child Protection processes.</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Allegations of organisational or institutional abuse.</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Large scale concerns relating to a West Sussex provider where there is risk of closure, including those providers that are subject to the provider concerns process, in serious breach of CQC regulations and where there is provider failure.</w:t>
      </w:r>
    </w:p>
    <w:p w:rsidR="00AB3DE3" w:rsidRPr="00AB3DE3" w:rsidRDefault="00AB3DE3" w:rsidP="00AB3DE3">
      <w:pPr>
        <w:numPr>
          <w:ilvl w:val="0"/>
          <w:numId w:val="1"/>
        </w:numPr>
        <w:spacing w:after="0" w:line="240" w:lineRule="auto"/>
        <w:ind w:left="567" w:hanging="567"/>
        <w:contextualSpacing/>
        <w:rPr>
          <w:rFonts w:ascii="Verdana" w:eastAsia="Times New Roman" w:hAnsi="Verdana" w:cs="Arial"/>
        </w:rPr>
      </w:pPr>
      <w:r w:rsidRPr="00AB3DE3">
        <w:rPr>
          <w:rFonts w:ascii="Verdana" w:eastAsia="Times New Roman" w:hAnsi="Verdana" w:cs="Arial"/>
        </w:rPr>
        <w:t>Any issue that may pose a significant reputational or financial risk to the Council.</w:t>
      </w:r>
    </w:p>
    <w:p w:rsidR="00AB3DE3" w:rsidRPr="00AB3DE3" w:rsidRDefault="00AB3DE3" w:rsidP="00AB3DE3">
      <w:pPr>
        <w:spacing w:after="0" w:line="240" w:lineRule="auto"/>
        <w:rPr>
          <w:rFonts w:ascii="Verdana" w:eastAsia="Times New Roman" w:hAnsi="Verdana" w:cs="Arial"/>
        </w:rPr>
      </w:pPr>
    </w:p>
    <w:p w:rsidR="00AB3DE3" w:rsidRPr="00AB3DE3" w:rsidRDefault="00AB3DE3" w:rsidP="00AB3DE3">
      <w:pPr>
        <w:spacing w:after="0" w:line="240" w:lineRule="auto"/>
        <w:rPr>
          <w:rFonts w:ascii="Verdana" w:eastAsia="Times New Roman" w:hAnsi="Verdana" w:cs="Arial"/>
        </w:rPr>
      </w:pPr>
      <w:r w:rsidRPr="00AB3DE3">
        <w:rPr>
          <w:rFonts w:ascii="Verdana" w:eastAsia="Times New Roman" w:hAnsi="Verdana" w:cs="Arial"/>
        </w:rPr>
        <w:t>Where there is more than one Service involved with the family there should be a discussion as to which manager should be responsible for completing the Need to Know.</w:t>
      </w:r>
    </w:p>
    <w:p w:rsidR="00AB3DE3" w:rsidRPr="00AB3DE3" w:rsidRDefault="00AB3DE3" w:rsidP="00AB3DE3">
      <w:pPr>
        <w:spacing w:after="0" w:line="240" w:lineRule="auto"/>
        <w:ind w:left="720"/>
        <w:contextualSpacing/>
        <w:rPr>
          <w:rFonts w:ascii="Verdana" w:eastAsia="Times New Roman" w:hAnsi="Verdana" w:cs="Arial"/>
        </w:rPr>
      </w:pPr>
    </w:p>
    <w:p w:rsidR="00AB3DE3" w:rsidRPr="00AB3DE3" w:rsidRDefault="00AB3DE3" w:rsidP="00AB3DE3">
      <w:pPr>
        <w:spacing w:after="0" w:line="240" w:lineRule="auto"/>
        <w:rPr>
          <w:rFonts w:ascii="Verdana" w:eastAsia="Times New Roman" w:hAnsi="Verdana" w:cs="Arial"/>
        </w:rPr>
      </w:pPr>
      <w:r w:rsidRPr="00AB3DE3">
        <w:rPr>
          <w:rFonts w:ascii="Verdana" w:eastAsia="Times New Roman" w:hAnsi="Verdana" w:cs="Arial"/>
        </w:rPr>
        <w:t xml:space="preserve">All Need to Knows for </w:t>
      </w:r>
      <w:r w:rsidRPr="00AB3DE3">
        <w:rPr>
          <w:rFonts w:ascii="Verdana" w:eastAsia="Times New Roman" w:hAnsi="Verdana" w:cs="Arial"/>
          <w:b/>
          <w:u w:val="single"/>
        </w:rPr>
        <w:t>Children’s Services</w:t>
      </w:r>
      <w:r w:rsidRPr="00AB3DE3">
        <w:rPr>
          <w:rFonts w:ascii="Verdana" w:eastAsia="Times New Roman" w:hAnsi="Verdana" w:cs="Arial"/>
        </w:rPr>
        <w:t xml:space="preserve"> are the responsibility of the case manager and should be sent by e-mail to:-</w:t>
      </w:r>
    </w:p>
    <w:p w:rsidR="00AB3DE3" w:rsidRPr="00AB3DE3" w:rsidRDefault="00AB3DE3" w:rsidP="00AB3DE3">
      <w:pPr>
        <w:numPr>
          <w:ilvl w:val="0"/>
          <w:numId w:val="2"/>
        </w:numPr>
        <w:spacing w:after="0" w:line="240" w:lineRule="auto"/>
        <w:ind w:left="567" w:hanging="567"/>
        <w:contextualSpacing/>
        <w:jc w:val="both"/>
        <w:rPr>
          <w:rFonts w:ascii="Verdana" w:eastAsia="Times New Roman" w:hAnsi="Verdana" w:cs="Arial"/>
        </w:rPr>
      </w:pPr>
      <w:r w:rsidRPr="00AB3DE3">
        <w:rPr>
          <w:rFonts w:ascii="Verdana" w:eastAsia="Times New Roman" w:hAnsi="Verdana" w:cs="Arial"/>
        </w:rPr>
        <w:t xml:space="preserve">Director of Children’s Services </w:t>
      </w:r>
    </w:p>
    <w:p w:rsidR="00AB3DE3" w:rsidRPr="00AB3DE3" w:rsidRDefault="00AB3DE3" w:rsidP="00AB3DE3">
      <w:pPr>
        <w:numPr>
          <w:ilvl w:val="0"/>
          <w:numId w:val="2"/>
        </w:numPr>
        <w:spacing w:after="0" w:line="240" w:lineRule="auto"/>
        <w:ind w:left="567" w:hanging="567"/>
        <w:contextualSpacing/>
        <w:jc w:val="both"/>
        <w:rPr>
          <w:rFonts w:ascii="Verdana" w:eastAsia="Times New Roman" w:hAnsi="Verdana" w:cs="Arial"/>
        </w:rPr>
      </w:pPr>
      <w:r w:rsidRPr="00AB3DE3">
        <w:rPr>
          <w:rFonts w:ascii="Verdana" w:eastAsia="Times New Roman" w:hAnsi="Verdana" w:cs="Arial"/>
        </w:rPr>
        <w:t>Relevant Head of Service</w:t>
      </w:r>
    </w:p>
    <w:p w:rsidR="00AB3DE3" w:rsidRPr="00AB3DE3" w:rsidRDefault="00AB3DE3" w:rsidP="00AB3DE3">
      <w:pPr>
        <w:numPr>
          <w:ilvl w:val="0"/>
          <w:numId w:val="2"/>
        </w:numPr>
        <w:spacing w:after="0" w:line="240" w:lineRule="auto"/>
        <w:ind w:left="567" w:hanging="567"/>
        <w:contextualSpacing/>
        <w:jc w:val="both"/>
        <w:rPr>
          <w:rFonts w:ascii="Verdana" w:eastAsia="Times New Roman" w:hAnsi="Verdana" w:cs="Arial"/>
        </w:rPr>
      </w:pPr>
      <w:r w:rsidRPr="00AB3DE3">
        <w:rPr>
          <w:rFonts w:ascii="Verdana" w:eastAsia="Times New Roman" w:hAnsi="Verdana" w:cs="Arial"/>
        </w:rPr>
        <w:lastRenderedPageBreak/>
        <w:t>Head of Safeguarding</w:t>
      </w:r>
    </w:p>
    <w:p w:rsidR="00AB3DE3" w:rsidRPr="00AB3DE3" w:rsidRDefault="00AB3DE3" w:rsidP="00AB3DE3">
      <w:pPr>
        <w:numPr>
          <w:ilvl w:val="0"/>
          <w:numId w:val="2"/>
        </w:numPr>
        <w:spacing w:after="0" w:line="240" w:lineRule="auto"/>
        <w:ind w:left="567" w:hanging="567"/>
        <w:contextualSpacing/>
        <w:jc w:val="both"/>
        <w:rPr>
          <w:rFonts w:ascii="Verdana" w:eastAsia="Times New Roman" w:hAnsi="Verdana" w:cs="Arial"/>
        </w:rPr>
      </w:pPr>
      <w:r w:rsidRPr="00AB3DE3">
        <w:rPr>
          <w:rFonts w:ascii="Verdana" w:eastAsia="Times New Roman" w:hAnsi="Verdana" w:cs="Arial"/>
        </w:rPr>
        <w:t>Head of Quality Assurance and Practice Improvement</w:t>
      </w:r>
    </w:p>
    <w:p w:rsidR="00AB3DE3" w:rsidRPr="00AB3DE3" w:rsidRDefault="00AB3DE3" w:rsidP="00AB3DE3">
      <w:pPr>
        <w:spacing w:after="0" w:line="240" w:lineRule="auto"/>
        <w:ind w:left="720"/>
        <w:contextualSpacing/>
        <w:jc w:val="both"/>
        <w:rPr>
          <w:rFonts w:ascii="Verdana" w:eastAsia="Times New Roman" w:hAnsi="Verdana" w:cs="Arial"/>
        </w:rPr>
      </w:pPr>
    </w:p>
    <w:p w:rsidR="00AB3DE3" w:rsidRPr="00AB3DE3" w:rsidRDefault="00AB3DE3" w:rsidP="00AB3DE3">
      <w:pPr>
        <w:spacing w:after="0" w:line="240" w:lineRule="auto"/>
        <w:jc w:val="both"/>
        <w:rPr>
          <w:rFonts w:ascii="Verdana" w:eastAsia="Times New Roman" w:hAnsi="Verdana" w:cs="Arial"/>
        </w:rPr>
      </w:pPr>
      <w:proofErr w:type="spellStart"/>
      <w:r w:rsidRPr="00AB3DE3">
        <w:rPr>
          <w:rFonts w:ascii="Verdana" w:eastAsia="Times New Roman" w:hAnsi="Verdana" w:cs="Arial"/>
        </w:rPr>
        <w:t>CC’d</w:t>
      </w:r>
      <w:proofErr w:type="spellEnd"/>
      <w:r w:rsidRPr="00AB3DE3">
        <w:rPr>
          <w:rFonts w:ascii="Verdana" w:eastAsia="Times New Roman" w:hAnsi="Verdana" w:cs="Arial"/>
        </w:rPr>
        <w:t xml:space="preserve"> to:</w:t>
      </w:r>
    </w:p>
    <w:p w:rsidR="00AB3DE3" w:rsidRPr="00AB3DE3" w:rsidRDefault="00AB3DE3" w:rsidP="00AB3DE3">
      <w:pPr>
        <w:numPr>
          <w:ilvl w:val="0"/>
          <w:numId w:val="3"/>
        </w:numPr>
        <w:spacing w:after="0" w:line="240" w:lineRule="auto"/>
        <w:ind w:left="567" w:hanging="567"/>
        <w:contextualSpacing/>
        <w:jc w:val="both"/>
        <w:rPr>
          <w:rFonts w:ascii="Verdana" w:eastAsia="Times New Roman" w:hAnsi="Verdana" w:cs="Arial"/>
        </w:rPr>
      </w:pPr>
      <w:r w:rsidRPr="00AB3DE3">
        <w:rPr>
          <w:rFonts w:ascii="Verdana" w:eastAsia="Times New Roman" w:hAnsi="Verdana" w:cs="Arial"/>
        </w:rPr>
        <w:t>Strategic Partnership Lead for Complex High Risk Adolescents</w:t>
      </w:r>
    </w:p>
    <w:p w:rsidR="00AB3DE3" w:rsidRPr="00AB3DE3" w:rsidRDefault="00AB3DE3" w:rsidP="00AB3DE3">
      <w:pPr>
        <w:numPr>
          <w:ilvl w:val="0"/>
          <w:numId w:val="3"/>
        </w:numPr>
        <w:spacing w:after="0" w:line="240" w:lineRule="auto"/>
        <w:ind w:left="567" w:hanging="567"/>
        <w:contextualSpacing/>
        <w:jc w:val="both"/>
        <w:rPr>
          <w:rFonts w:ascii="Verdana" w:eastAsia="Times New Roman" w:hAnsi="Verdana" w:cs="Arial"/>
        </w:rPr>
      </w:pPr>
      <w:r w:rsidRPr="00AB3DE3">
        <w:rPr>
          <w:rFonts w:ascii="Verdana" w:eastAsia="Times New Roman" w:hAnsi="Verdana" w:cs="Arial"/>
        </w:rPr>
        <w:t>PA to Director of Children’s Services (for tracking purposes).</w:t>
      </w:r>
    </w:p>
    <w:p w:rsidR="00AB3DE3" w:rsidRPr="00AB3DE3" w:rsidRDefault="00AB3DE3" w:rsidP="00AB3DE3">
      <w:pPr>
        <w:spacing w:after="0" w:line="240" w:lineRule="auto"/>
        <w:rPr>
          <w:rFonts w:ascii="Verdana" w:eastAsia="Times New Roman" w:hAnsi="Verdana"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1522"/>
        <w:gridCol w:w="1540"/>
        <w:gridCol w:w="3075"/>
      </w:tblGrid>
      <w:tr w:rsidR="00AB3DE3" w:rsidRPr="00AB3DE3" w:rsidTr="00AB3DE3">
        <w:tc>
          <w:tcPr>
            <w:tcW w:w="4998" w:type="dxa"/>
            <w:gridSpan w:val="2"/>
            <w:hideMark/>
          </w:tcPr>
          <w:p w:rsidR="00AB3DE3" w:rsidRPr="00AB3DE3" w:rsidRDefault="00AB3DE3" w:rsidP="00AB3DE3">
            <w:pPr>
              <w:rPr>
                <w:rFonts w:ascii="Verdana" w:eastAsia="Times New Roman" w:hAnsi="Verdana" w:cs="Arial"/>
                <w:b/>
                <w:szCs w:val="20"/>
              </w:rPr>
            </w:pPr>
            <w:r w:rsidRPr="00AB3DE3">
              <w:rPr>
                <w:rFonts w:ascii="Verdana" w:eastAsia="Times New Roman" w:hAnsi="Verdana" w:cs="Arial"/>
                <w:b/>
                <w:szCs w:val="20"/>
              </w:rPr>
              <w:t>Andrew Fraser</w:t>
            </w:r>
          </w:p>
        </w:tc>
        <w:tc>
          <w:tcPr>
            <w:tcW w:w="4999" w:type="dxa"/>
            <w:gridSpan w:val="2"/>
          </w:tcPr>
          <w:p w:rsidR="00AB3DE3" w:rsidRPr="00AB3DE3" w:rsidRDefault="00AB3DE3" w:rsidP="00AB3DE3">
            <w:pPr>
              <w:rPr>
                <w:rFonts w:ascii="Verdana" w:eastAsia="Times New Roman" w:hAnsi="Verdana" w:cs="Arial"/>
                <w:szCs w:val="20"/>
              </w:rPr>
            </w:pPr>
          </w:p>
        </w:tc>
      </w:tr>
      <w:tr w:rsidR="00AB3DE3" w:rsidRPr="00AB3DE3" w:rsidTr="00AB3DE3">
        <w:tc>
          <w:tcPr>
            <w:tcW w:w="4998" w:type="dxa"/>
            <w:gridSpan w:val="2"/>
            <w:hideMark/>
          </w:tcPr>
          <w:p w:rsidR="00AB3DE3" w:rsidRPr="00AB3DE3" w:rsidRDefault="00AB3DE3" w:rsidP="00AB3DE3">
            <w:pPr>
              <w:rPr>
                <w:rFonts w:ascii="Verdana" w:eastAsia="Times New Roman" w:hAnsi="Verdana" w:cs="Arial"/>
                <w:szCs w:val="20"/>
              </w:rPr>
            </w:pPr>
            <w:r w:rsidRPr="00AB3DE3">
              <w:rPr>
                <w:rFonts w:ascii="Verdana" w:eastAsia="Times New Roman" w:hAnsi="Verdana" w:cs="Arial"/>
                <w:szCs w:val="20"/>
              </w:rPr>
              <w:t>Director of Children’s Services</w:t>
            </w:r>
          </w:p>
        </w:tc>
        <w:tc>
          <w:tcPr>
            <w:tcW w:w="4999" w:type="dxa"/>
            <w:gridSpan w:val="2"/>
            <w:hideMark/>
          </w:tcPr>
          <w:p w:rsidR="00AB3DE3" w:rsidRPr="00AB3DE3" w:rsidRDefault="00AB3DE3" w:rsidP="00AB3DE3">
            <w:pPr>
              <w:rPr>
                <w:rFonts w:ascii="Verdana" w:eastAsia="Times New Roman" w:hAnsi="Verdana" w:cs="Arial"/>
                <w:szCs w:val="20"/>
              </w:rPr>
            </w:pPr>
            <w:r w:rsidRPr="00AB3DE3">
              <w:rPr>
                <w:rFonts w:ascii="Verdana" w:eastAsia="Times New Roman" w:hAnsi="Verdana" w:cs="Arial"/>
                <w:szCs w:val="20"/>
              </w:rPr>
              <w:t>Revised: March 2019</w:t>
            </w:r>
          </w:p>
        </w:tc>
      </w:tr>
      <w:tr w:rsidR="00AB3DE3" w:rsidRPr="00AB3DE3" w:rsidTr="0085119B">
        <w:tc>
          <w:tcPr>
            <w:tcW w:w="3332" w:type="dxa"/>
          </w:tcPr>
          <w:p w:rsidR="00AB3DE3" w:rsidRPr="00AB3DE3" w:rsidRDefault="00AB3DE3" w:rsidP="00AB3DE3">
            <w:pPr>
              <w:keepNext/>
              <w:tabs>
                <w:tab w:val="left" w:pos="1418"/>
                <w:tab w:val="left" w:pos="3402"/>
              </w:tabs>
              <w:outlineLvl w:val="7"/>
              <w:rPr>
                <w:rFonts w:ascii="Verdana" w:eastAsia="Times New Roman" w:hAnsi="Verdana" w:cs="Arial"/>
                <w:sz w:val="24"/>
                <w:szCs w:val="24"/>
              </w:rPr>
            </w:pPr>
          </w:p>
        </w:tc>
        <w:tc>
          <w:tcPr>
            <w:tcW w:w="3332" w:type="dxa"/>
            <w:gridSpan w:val="2"/>
          </w:tcPr>
          <w:p w:rsidR="00AB3DE3" w:rsidRPr="00AB3DE3" w:rsidRDefault="00AB3DE3" w:rsidP="00AB3DE3">
            <w:pPr>
              <w:keepNext/>
              <w:tabs>
                <w:tab w:val="left" w:pos="1418"/>
                <w:tab w:val="left" w:pos="3402"/>
              </w:tabs>
              <w:outlineLvl w:val="7"/>
              <w:rPr>
                <w:rFonts w:ascii="Verdana" w:eastAsia="Times New Roman" w:hAnsi="Verdana" w:cs="Arial"/>
                <w:sz w:val="24"/>
                <w:szCs w:val="24"/>
              </w:rPr>
            </w:pPr>
          </w:p>
        </w:tc>
        <w:tc>
          <w:tcPr>
            <w:tcW w:w="3333" w:type="dxa"/>
          </w:tcPr>
          <w:p w:rsidR="00AB3DE3" w:rsidRPr="00AB3DE3" w:rsidRDefault="00AB3DE3" w:rsidP="00AB3DE3">
            <w:pPr>
              <w:keepNext/>
              <w:tabs>
                <w:tab w:val="left" w:pos="1418"/>
                <w:tab w:val="left" w:pos="3402"/>
              </w:tabs>
              <w:outlineLvl w:val="7"/>
              <w:rPr>
                <w:rFonts w:ascii="Verdana" w:eastAsia="Times New Roman" w:hAnsi="Verdana" w:cs="Arial"/>
                <w:sz w:val="24"/>
                <w:szCs w:val="24"/>
              </w:rPr>
            </w:pPr>
          </w:p>
        </w:tc>
      </w:tr>
    </w:tbl>
    <w:p w:rsidR="00071238" w:rsidRDefault="00071238"/>
    <w:sectPr w:rsidR="000712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9B" w:rsidRDefault="0085119B" w:rsidP="0085119B">
      <w:pPr>
        <w:spacing w:after="0" w:line="240" w:lineRule="auto"/>
      </w:pPr>
      <w:r>
        <w:separator/>
      </w:r>
    </w:p>
  </w:endnote>
  <w:endnote w:type="continuationSeparator" w:id="0">
    <w:p w:rsidR="0085119B" w:rsidRDefault="0085119B" w:rsidP="0085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9B" w:rsidRDefault="00851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145260"/>
      <w:docPartObj>
        <w:docPartGallery w:val="Page Numbers (Bottom of Page)"/>
        <w:docPartUnique/>
      </w:docPartObj>
    </w:sdtPr>
    <w:sdtEndPr>
      <w:rPr>
        <w:noProof/>
      </w:rPr>
    </w:sdtEndPr>
    <w:sdtContent>
      <w:p w:rsidR="0085119B" w:rsidRDefault="008511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5119B" w:rsidRPr="0085119B" w:rsidRDefault="0085119B">
    <w:pPr>
      <w:pStyle w:val="Footer"/>
      <w:rPr>
        <w:rFonts w:ascii="Verdana" w:hAnsi="Verdana"/>
        <w:sz w:val="16"/>
        <w:szCs w:val="16"/>
      </w:rPr>
    </w:pPr>
    <w:bookmarkStart w:id="0" w:name="_GoBack"/>
    <w:r w:rsidRPr="0085119B">
      <w:rPr>
        <w:rFonts w:ascii="Verdana" w:hAnsi="Verdana"/>
        <w:sz w:val="16"/>
        <w:szCs w:val="16"/>
      </w:rPr>
      <w:t>V2. 27/03/19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9B" w:rsidRDefault="00851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9B" w:rsidRDefault="0085119B" w:rsidP="0085119B">
      <w:pPr>
        <w:spacing w:after="0" w:line="240" w:lineRule="auto"/>
      </w:pPr>
      <w:r>
        <w:separator/>
      </w:r>
    </w:p>
  </w:footnote>
  <w:footnote w:type="continuationSeparator" w:id="0">
    <w:p w:rsidR="0085119B" w:rsidRDefault="0085119B" w:rsidP="00851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9B" w:rsidRDefault="00851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9B" w:rsidRDefault="00851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9B" w:rsidRDefault="00851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7F4C"/>
    <w:multiLevelType w:val="hybridMultilevel"/>
    <w:tmpl w:val="FE1C2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5EE31ED"/>
    <w:multiLevelType w:val="hybridMultilevel"/>
    <w:tmpl w:val="0890D0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7C0C2476"/>
    <w:multiLevelType w:val="hybridMultilevel"/>
    <w:tmpl w:val="E7763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E3"/>
    <w:rsid w:val="00071238"/>
    <w:rsid w:val="0085119B"/>
    <w:rsid w:val="00AB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D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9B"/>
  </w:style>
  <w:style w:type="paragraph" w:styleId="Footer">
    <w:name w:val="footer"/>
    <w:basedOn w:val="Normal"/>
    <w:link w:val="FooterChar"/>
    <w:uiPriority w:val="99"/>
    <w:unhideWhenUsed/>
    <w:rsid w:val="0085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D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9B"/>
  </w:style>
  <w:style w:type="paragraph" w:styleId="Footer">
    <w:name w:val="footer"/>
    <w:basedOn w:val="Normal"/>
    <w:link w:val="FooterChar"/>
    <w:uiPriority w:val="99"/>
    <w:unhideWhenUsed/>
    <w:rsid w:val="0085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Honsa</dc:creator>
  <cp:lastModifiedBy>Nicola Honsa</cp:lastModifiedBy>
  <cp:revision>2</cp:revision>
  <dcterms:created xsi:type="dcterms:W3CDTF">2019-03-27T09:41:00Z</dcterms:created>
  <dcterms:modified xsi:type="dcterms:W3CDTF">2019-03-27T14:34:00Z</dcterms:modified>
</cp:coreProperties>
</file>