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39" w:rsidRDefault="008266FF" w:rsidP="00597BA2">
      <w:pPr>
        <w:ind w:hanging="1080"/>
        <w:jc w:val="both"/>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652895" cy="134810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2895" cy="1348105"/>
                    </a:xfrm>
                    <a:prstGeom prst="rect">
                      <a:avLst/>
                    </a:prstGeom>
                    <a:noFill/>
                  </pic:spPr>
                </pic:pic>
              </a:graphicData>
            </a:graphic>
            <wp14:sizeRelH relativeFrom="page">
              <wp14:pctWidth>0</wp14:pctWidth>
            </wp14:sizeRelH>
            <wp14:sizeRelV relativeFrom="page">
              <wp14:pctHeight>0</wp14:pctHeight>
            </wp14:sizeRelV>
          </wp:anchor>
        </w:drawing>
      </w: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Default="00AC2539" w:rsidP="00597BA2">
      <w:pPr>
        <w:jc w:val="both"/>
      </w:pPr>
    </w:p>
    <w:p w:rsidR="00AC2539" w:rsidRPr="000F3B1A" w:rsidRDefault="00AC2539" w:rsidP="00597BA2">
      <w:pPr>
        <w:pStyle w:val="BodyText"/>
        <w:ind w:right="-334"/>
        <w:rPr>
          <w:rFonts w:ascii="Arial" w:hAnsi="Arial" w:cs="Arial"/>
          <w:sz w:val="32"/>
          <w:szCs w:val="32"/>
        </w:rPr>
      </w:pPr>
      <w:smartTag w:uri="urn:schemas-microsoft-com:office:smarttags" w:element="place">
        <w:smartTag w:uri="urn:schemas-microsoft-com:office:smarttags" w:element="City">
          <w:r w:rsidRPr="000F3B1A">
            <w:rPr>
              <w:rFonts w:ascii="Arial" w:hAnsi="Arial" w:cs="Arial"/>
              <w:sz w:val="32"/>
              <w:szCs w:val="32"/>
            </w:rPr>
            <w:t>LONDON</w:t>
          </w:r>
        </w:smartTag>
      </w:smartTag>
      <w:r w:rsidRPr="000F3B1A">
        <w:rPr>
          <w:rFonts w:ascii="Arial" w:hAnsi="Arial" w:cs="Arial"/>
          <w:sz w:val="32"/>
          <w:szCs w:val="32"/>
        </w:rPr>
        <w:t xml:space="preserve"> BOROUGH OF TOWER HAMLETS</w:t>
      </w:r>
    </w:p>
    <w:p w:rsidR="00AC2539" w:rsidRDefault="00AC2539" w:rsidP="00597BA2">
      <w:pPr>
        <w:pStyle w:val="BodyText"/>
        <w:ind w:left="-360" w:right="-334"/>
        <w:jc w:val="both"/>
        <w:rPr>
          <w:rFonts w:ascii="Arial" w:hAnsi="Arial" w:cs="Arial"/>
          <w:sz w:val="32"/>
          <w:szCs w:val="32"/>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7A2F73" w:rsidRDefault="00AC2539" w:rsidP="00597BA2">
      <w:pPr>
        <w:rPr>
          <w:rFonts w:ascii="Arial" w:hAnsi="Arial" w:cs="Arial"/>
          <w:b/>
          <w:sz w:val="24"/>
          <w:szCs w:val="24"/>
        </w:rPr>
      </w:pPr>
      <w:r w:rsidRPr="007A2F73">
        <w:rPr>
          <w:rFonts w:ascii="Arial" w:hAnsi="Arial" w:cs="Arial"/>
          <w:b/>
          <w:sz w:val="24"/>
          <w:szCs w:val="24"/>
        </w:rPr>
        <w:t>Pocket money and savings rates</w:t>
      </w:r>
      <w:r>
        <w:rPr>
          <w:rFonts w:ascii="Arial" w:hAnsi="Arial" w:cs="Arial"/>
          <w:b/>
          <w:sz w:val="24"/>
          <w:szCs w:val="24"/>
        </w:rPr>
        <w:t xml:space="preserve"> policy</w:t>
      </w:r>
      <w:r w:rsidRPr="007A2F73">
        <w:rPr>
          <w:rFonts w:ascii="Arial" w:hAnsi="Arial" w:cs="Arial"/>
          <w:b/>
          <w:sz w:val="24"/>
          <w:szCs w:val="24"/>
        </w:rPr>
        <w:t xml:space="preserve"> for children Looked After by the Council </w:t>
      </w: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AC2539" w:rsidP="00597BA2">
      <w:pPr>
        <w:pStyle w:val="BodyText"/>
        <w:ind w:left="-360" w:right="-334"/>
        <w:jc w:val="both"/>
        <w:rPr>
          <w:rFonts w:ascii="Arial" w:hAnsi="Arial" w:cs="Arial"/>
        </w:rPr>
      </w:pPr>
    </w:p>
    <w:p w:rsidR="00AC2539" w:rsidRPr="002577BD" w:rsidRDefault="005A077A" w:rsidP="00597BA2">
      <w:pPr>
        <w:pStyle w:val="BodyText"/>
        <w:ind w:right="-334"/>
        <w:jc w:val="both"/>
        <w:rPr>
          <w:rFonts w:ascii="Arial" w:hAnsi="Arial" w:cs="Arial"/>
        </w:rPr>
      </w:pPr>
      <w:r>
        <w:rPr>
          <w:rFonts w:ascii="Arial" w:hAnsi="Arial" w:cs="Arial"/>
        </w:rPr>
        <w:t>April</w:t>
      </w:r>
      <w:r w:rsidR="00F638A2">
        <w:rPr>
          <w:rFonts w:ascii="Arial" w:hAnsi="Arial" w:cs="Arial"/>
        </w:rPr>
        <w:t xml:space="preserve"> 2017</w:t>
      </w:r>
    </w:p>
    <w:p w:rsidR="00AC2539" w:rsidRPr="002577BD" w:rsidRDefault="00AC2539" w:rsidP="00597BA2">
      <w:pPr>
        <w:pStyle w:val="BodyText"/>
        <w:ind w:left="-360" w:right="-334"/>
        <w:jc w:val="both"/>
        <w:rPr>
          <w:rFonts w:ascii="Arial" w:hAnsi="Arial" w:cs="Arial"/>
        </w:rPr>
      </w:pPr>
    </w:p>
    <w:p w:rsidR="00AC2539" w:rsidRDefault="00AC2539">
      <w:pPr>
        <w:rPr>
          <w:rFonts w:ascii="Arial" w:hAnsi="Arial" w:cs="Arial"/>
          <w:b/>
          <w:sz w:val="24"/>
          <w:szCs w:val="24"/>
        </w:rPr>
      </w:pPr>
      <w:r>
        <w:rPr>
          <w:rFonts w:ascii="Arial" w:hAnsi="Arial" w:cs="Arial"/>
          <w:b/>
          <w:sz w:val="24"/>
          <w:szCs w:val="24"/>
        </w:rPr>
        <w:br w:type="page"/>
      </w:r>
    </w:p>
    <w:p w:rsidR="00AC2539" w:rsidRPr="00D22D4B" w:rsidRDefault="00AC2539" w:rsidP="00D22D4B">
      <w:pPr>
        <w:pBdr>
          <w:bottom w:val="single" w:sz="18" w:space="1" w:color="auto"/>
        </w:pBdr>
        <w:jc w:val="both"/>
        <w:rPr>
          <w:rFonts w:ascii="Arial" w:hAnsi="Arial" w:cs="Arial"/>
          <w:b/>
          <w:sz w:val="24"/>
          <w:szCs w:val="24"/>
        </w:rPr>
      </w:pPr>
      <w:r w:rsidRPr="00D22D4B">
        <w:rPr>
          <w:rFonts w:ascii="Arial" w:hAnsi="Arial" w:cs="Arial"/>
          <w:b/>
          <w:sz w:val="24"/>
          <w:szCs w:val="24"/>
        </w:rPr>
        <w:lastRenderedPageBreak/>
        <w:t>About this Document</w:t>
      </w:r>
    </w:p>
    <w:p w:rsidR="00AC2539" w:rsidRDefault="00AC2539" w:rsidP="00D22D4B">
      <w:pPr>
        <w:jc w:val="both"/>
        <w:rPr>
          <w:rFonts w:cs="Arial"/>
        </w:rPr>
      </w:pPr>
    </w:p>
    <w:tbl>
      <w:tblPr>
        <w:tblW w:w="982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2660"/>
        <w:gridCol w:w="7168"/>
      </w:tblGrid>
      <w:tr w:rsidR="00AC2539" w:rsidRPr="00447361" w:rsidTr="00053672">
        <w:tc>
          <w:tcPr>
            <w:tcW w:w="2660" w:type="dxa"/>
            <w:tcBorders>
              <w:top w:val="single" w:sz="6" w:space="0" w:color="auto"/>
            </w:tcBorders>
          </w:tcPr>
          <w:p w:rsidR="00AC2539" w:rsidRPr="00447361" w:rsidRDefault="00AC2539" w:rsidP="00D22D4B">
            <w:pPr>
              <w:spacing w:line="240" w:lineRule="auto"/>
              <w:jc w:val="both"/>
              <w:rPr>
                <w:rFonts w:ascii="Arial" w:hAnsi="Arial" w:cs="Arial"/>
                <w:i/>
                <w:sz w:val="24"/>
                <w:szCs w:val="24"/>
              </w:rPr>
            </w:pPr>
          </w:p>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Title:</w:t>
            </w:r>
          </w:p>
        </w:tc>
        <w:tc>
          <w:tcPr>
            <w:tcW w:w="7168" w:type="dxa"/>
            <w:tcBorders>
              <w:top w:val="single" w:sz="6" w:space="0" w:color="auto"/>
            </w:tcBorders>
          </w:tcPr>
          <w:p w:rsidR="00AC2539" w:rsidRPr="00447361" w:rsidRDefault="00AC2539" w:rsidP="00D22D4B">
            <w:pPr>
              <w:spacing w:line="240" w:lineRule="auto"/>
              <w:jc w:val="both"/>
              <w:rPr>
                <w:rFonts w:ascii="Arial" w:hAnsi="Arial" w:cs="Arial"/>
                <w:bCs/>
                <w:sz w:val="24"/>
                <w:szCs w:val="24"/>
              </w:rPr>
            </w:pPr>
          </w:p>
          <w:p w:rsidR="00AC2539" w:rsidRPr="00447361" w:rsidRDefault="00AC2539" w:rsidP="00D22D4B">
            <w:pPr>
              <w:rPr>
                <w:rFonts w:ascii="Arial" w:hAnsi="Arial" w:cs="Arial"/>
                <w:sz w:val="24"/>
                <w:szCs w:val="24"/>
              </w:rPr>
            </w:pPr>
            <w:r w:rsidRPr="00447361">
              <w:rPr>
                <w:rFonts w:ascii="Arial" w:hAnsi="Arial" w:cs="Arial"/>
                <w:sz w:val="24"/>
                <w:szCs w:val="24"/>
              </w:rPr>
              <w:t xml:space="preserve">Pocket money and savings rates policy for children Looked After by the Council </w:t>
            </w:r>
          </w:p>
          <w:p w:rsidR="00AC2539" w:rsidRPr="00447361" w:rsidRDefault="00AC2539" w:rsidP="00D22D4B">
            <w:pPr>
              <w:spacing w:line="240" w:lineRule="auto"/>
              <w:jc w:val="both"/>
              <w:rPr>
                <w:rFonts w:ascii="Arial" w:hAnsi="Arial" w:cs="Arial"/>
                <w:bCs/>
                <w:sz w:val="24"/>
                <w:szCs w:val="24"/>
              </w:rPr>
            </w:pP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Purpose:</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447361" w:rsidRDefault="00AC2539" w:rsidP="00D22D4B">
            <w:pPr>
              <w:spacing w:line="240" w:lineRule="auto"/>
              <w:jc w:val="both"/>
              <w:rPr>
                <w:rFonts w:ascii="Arial" w:hAnsi="Arial" w:cs="Arial"/>
                <w:bCs/>
                <w:sz w:val="24"/>
                <w:szCs w:val="24"/>
              </w:rPr>
            </w:pPr>
            <w:r w:rsidRPr="00447361">
              <w:rPr>
                <w:rFonts w:ascii="Arial" w:hAnsi="Arial" w:cs="Arial"/>
                <w:bCs/>
                <w:sz w:val="24"/>
                <w:szCs w:val="24"/>
              </w:rPr>
              <w:t xml:space="preserve">This document sets out how the Council will provide a pocket money and savings culture </w:t>
            </w:r>
            <w:r w:rsidR="00D0007A">
              <w:rPr>
                <w:rFonts w:ascii="Arial" w:hAnsi="Arial" w:cs="Arial"/>
                <w:bCs/>
                <w:sz w:val="24"/>
                <w:szCs w:val="24"/>
              </w:rPr>
              <w:t>for all children Looked After by</w:t>
            </w:r>
            <w:r w:rsidRPr="00447361">
              <w:rPr>
                <w:rFonts w:ascii="Arial" w:hAnsi="Arial" w:cs="Arial"/>
                <w:bCs/>
                <w:sz w:val="24"/>
                <w:szCs w:val="24"/>
              </w:rPr>
              <w:t xml:space="preserve"> the Council regardless of placement provider</w:t>
            </w:r>
            <w:r w:rsidR="003B7F51">
              <w:rPr>
                <w:rFonts w:ascii="Arial" w:hAnsi="Arial" w:cs="Arial"/>
                <w:bCs/>
                <w:sz w:val="24"/>
                <w:szCs w:val="24"/>
              </w:rPr>
              <w:t xml:space="preserve"> including residential care</w:t>
            </w:r>
            <w:r w:rsidRPr="00447361">
              <w:rPr>
                <w:rFonts w:ascii="Arial" w:hAnsi="Arial" w:cs="Arial"/>
                <w:bCs/>
                <w:sz w:val="24"/>
                <w:szCs w:val="24"/>
              </w:rPr>
              <w:t>.</w:t>
            </w:r>
          </w:p>
          <w:p w:rsidR="00AC2539" w:rsidRPr="00447361" w:rsidRDefault="00AC2539" w:rsidP="00D22D4B">
            <w:pPr>
              <w:spacing w:line="240" w:lineRule="auto"/>
              <w:jc w:val="both"/>
              <w:rPr>
                <w:rFonts w:ascii="Arial" w:hAnsi="Arial" w:cs="Arial"/>
                <w:bCs/>
                <w:sz w:val="24"/>
                <w:szCs w:val="24"/>
              </w:rPr>
            </w:pP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Prepared by:</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447361" w:rsidRDefault="00AC2539" w:rsidP="00D22D4B">
            <w:pPr>
              <w:spacing w:line="240" w:lineRule="auto"/>
              <w:jc w:val="both"/>
              <w:rPr>
                <w:rFonts w:ascii="Arial" w:hAnsi="Arial" w:cs="Arial"/>
                <w:bCs/>
                <w:sz w:val="24"/>
                <w:szCs w:val="24"/>
              </w:rPr>
            </w:pPr>
            <w:r w:rsidRPr="00447361">
              <w:rPr>
                <w:rFonts w:ascii="Arial" w:hAnsi="Arial" w:cs="Arial"/>
                <w:bCs/>
                <w:sz w:val="24"/>
                <w:szCs w:val="24"/>
              </w:rPr>
              <w:t>Philip Morgan</w:t>
            </w: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Approved by:</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447361" w:rsidRDefault="00BA6AE3" w:rsidP="00D22D4B">
            <w:pPr>
              <w:spacing w:line="240" w:lineRule="auto"/>
              <w:jc w:val="both"/>
              <w:rPr>
                <w:rFonts w:ascii="Arial" w:hAnsi="Arial" w:cs="Arial"/>
                <w:bCs/>
                <w:sz w:val="24"/>
                <w:szCs w:val="24"/>
              </w:rPr>
            </w:pPr>
            <w:r>
              <w:rPr>
                <w:rFonts w:ascii="Arial" w:hAnsi="Arial" w:cs="Arial"/>
                <w:bCs/>
                <w:sz w:val="24"/>
                <w:szCs w:val="24"/>
              </w:rPr>
              <w:t>Nasima Patel</w:t>
            </w: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Date:</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D22D4B" w:rsidRDefault="00BA6AE3" w:rsidP="009420A3">
            <w:pPr>
              <w:pStyle w:val="BodyText1"/>
              <w:rPr>
                <w:rFonts w:ascii="Arial" w:hAnsi="Arial" w:cs="Arial"/>
                <w:bCs/>
                <w:szCs w:val="24"/>
              </w:rPr>
            </w:pPr>
            <w:r>
              <w:rPr>
                <w:rFonts w:ascii="Arial" w:hAnsi="Arial" w:cs="Arial"/>
                <w:bCs/>
                <w:szCs w:val="24"/>
              </w:rPr>
              <w:t>15</w:t>
            </w:r>
            <w:r w:rsidRPr="00BA6AE3">
              <w:rPr>
                <w:rFonts w:ascii="Arial" w:hAnsi="Arial" w:cs="Arial"/>
                <w:bCs/>
                <w:szCs w:val="24"/>
                <w:vertAlign w:val="superscript"/>
              </w:rPr>
              <w:t>th</w:t>
            </w:r>
            <w:r>
              <w:rPr>
                <w:rFonts w:ascii="Arial" w:hAnsi="Arial" w:cs="Arial"/>
                <w:bCs/>
                <w:szCs w:val="24"/>
              </w:rPr>
              <w:t xml:space="preserve"> March</w:t>
            </w:r>
            <w:r w:rsidR="00F638A2">
              <w:rPr>
                <w:rFonts w:ascii="Arial" w:hAnsi="Arial" w:cs="Arial"/>
                <w:bCs/>
                <w:szCs w:val="24"/>
              </w:rPr>
              <w:t xml:space="preserve"> 2017</w:t>
            </w: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Version Number:</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D22D4B" w:rsidRDefault="00BA6AE3" w:rsidP="00D22D4B">
            <w:pPr>
              <w:pStyle w:val="BodyText1"/>
              <w:rPr>
                <w:rFonts w:ascii="Arial" w:hAnsi="Arial" w:cs="Arial"/>
                <w:bCs/>
                <w:szCs w:val="24"/>
              </w:rPr>
            </w:pPr>
            <w:r>
              <w:rPr>
                <w:rFonts w:ascii="Arial" w:hAnsi="Arial" w:cs="Arial"/>
                <w:bCs/>
                <w:szCs w:val="24"/>
              </w:rPr>
              <w:t>3</w:t>
            </w: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Status:</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D22D4B" w:rsidRDefault="00F638A2" w:rsidP="00D22D4B">
            <w:pPr>
              <w:pStyle w:val="BodyText1"/>
              <w:rPr>
                <w:rFonts w:ascii="Arial" w:hAnsi="Arial" w:cs="Arial"/>
                <w:bCs/>
                <w:szCs w:val="24"/>
              </w:rPr>
            </w:pPr>
            <w:r>
              <w:rPr>
                <w:rFonts w:ascii="Arial" w:hAnsi="Arial" w:cs="Arial"/>
                <w:bCs/>
                <w:szCs w:val="24"/>
              </w:rPr>
              <w:t>Current</w:t>
            </w:r>
          </w:p>
        </w:tc>
      </w:tr>
      <w:tr w:rsidR="00AC2539" w:rsidRPr="00447361" w:rsidTr="00053672">
        <w:tc>
          <w:tcPr>
            <w:tcW w:w="2660" w:type="dxa"/>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Review Frequency:</w:t>
            </w:r>
          </w:p>
          <w:p w:rsidR="00AC2539" w:rsidRPr="00447361" w:rsidRDefault="00AC2539" w:rsidP="00D22D4B">
            <w:pPr>
              <w:spacing w:line="240" w:lineRule="auto"/>
              <w:jc w:val="both"/>
              <w:rPr>
                <w:rFonts w:ascii="Arial" w:hAnsi="Arial" w:cs="Arial"/>
                <w:i/>
                <w:sz w:val="24"/>
                <w:szCs w:val="24"/>
              </w:rPr>
            </w:pPr>
          </w:p>
        </w:tc>
        <w:tc>
          <w:tcPr>
            <w:tcW w:w="7168" w:type="dxa"/>
          </w:tcPr>
          <w:p w:rsidR="00AC2539" w:rsidRPr="00D22D4B" w:rsidRDefault="00AC2539" w:rsidP="00D22D4B">
            <w:pPr>
              <w:pStyle w:val="BodyText1"/>
              <w:rPr>
                <w:rFonts w:ascii="Arial" w:hAnsi="Arial" w:cs="Arial"/>
                <w:bCs/>
                <w:szCs w:val="24"/>
              </w:rPr>
            </w:pPr>
            <w:r w:rsidRPr="00D22D4B">
              <w:rPr>
                <w:rFonts w:ascii="Arial" w:hAnsi="Arial" w:cs="Arial"/>
                <w:bCs/>
                <w:szCs w:val="24"/>
              </w:rPr>
              <w:t>Annually</w:t>
            </w:r>
          </w:p>
        </w:tc>
      </w:tr>
      <w:tr w:rsidR="00AC2539" w:rsidRPr="00447361" w:rsidTr="00053672">
        <w:tc>
          <w:tcPr>
            <w:tcW w:w="2660" w:type="dxa"/>
            <w:tcBorders>
              <w:bottom w:val="single" w:sz="18" w:space="0" w:color="auto"/>
            </w:tcBorders>
          </w:tcPr>
          <w:p w:rsidR="00AC2539" w:rsidRPr="00447361" w:rsidRDefault="00AC2539" w:rsidP="00D22D4B">
            <w:pPr>
              <w:spacing w:line="240" w:lineRule="auto"/>
              <w:jc w:val="both"/>
              <w:rPr>
                <w:rFonts w:ascii="Arial" w:hAnsi="Arial" w:cs="Arial"/>
                <w:i/>
                <w:sz w:val="24"/>
                <w:szCs w:val="24"/>
              </w:rPr>
            </w:pPr>
            <w:r w:rsidRPr="00447361">
              <w:rPr>
                <w:rFonts w:ascii="Arial" w:hAnsi="Arial" w:cs="Arial"/>
                <w:i/>
                <w:sz w:val="24"/>
                <w:szCs w:val="24"/>
              </w:rPr>
              <w:t>Next review date:</w:t>
            </w:r>
          </w:p>
          <w:p w:rsidR="00AC2539" w:rsidRPr="00447361" w:rsidRDefault="00AC2539" w:rsidP="00D22D4B">
            <w:pPr>
              <w:spacing w:line="240" w:lineRule="auto"/>
              <w:jc w:val="both"/>
              <w:rPr>
                <w:rFonts w:ascii="Arial" w:hAnsi="Arial" w:cs="Arial"/>
                <w:i/>
                <w:sz w:val="24"/>
                <w:szCs w:val="24"/>
              </w:rPr>
            </w:pPr>
          </w:p>
        </w:tc>
        <w:tc>
          <w:tcPr>
            <w:tcW w:w="7168" w:type="dxa"/>
            <w:tcBorders>
              <w:bottom w:val="single" w:sz="18" w:space="0" w:color="auto"/>
            </w:tcBorders>
          </w:tcPr>
          <w:p w:rsidR="00AC2539" w:rsidRPr="00D22D4B" w:rsidRDefault="00F638A2" w:rsidP="00D22D4B">
            <w:pPr>
              <w:pStyle w:val="BodyText1"/>
              <w:rPr>
                <w:rFonts w:ascii="Arial" w:hAnsi="Arial" w:cs="Arial"/>
                <w:bCs/>
                <w:szCs w:val="24"/>
              </w:rPr>
            </w:pPr>
            <w:r>
              <w:rPr>
                <w:rFonts w:ascii="Arial" w:hAnsi="Arial" w:cs="Arial"/>
                <w:bCs/>
                <w:szCs w:val="24"/>
              </w:rPr>
              <w:t>March 2018</w:t>
            </w:r>
          </w:p>
        </w:tc>
      </w:tr>
    </w:tbl>
    <w:p w:rsidR="00AC2539" w:rsidRDefault="00AC2539">
      <w:pPr>
        <w:rPr>
          <w:rFonts w:ascii="Arial" w:hAnsi="Arial" w:cs="Arial"/>
          <w:b/>
          <w:sz w:val="24"/>
          <w:szCs w:val="24"/>
        </w:rPr>
      </w:pPr>
    </w:p>
    <w:p w:rsidR="00AC2539" w:rsidRPr="007A2F73" w:rsidRDefault="00AC2539">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1. </w:t>
      </w:r>
      <w:r w:rsidRPr="007A2F73">
        <w:rPr>
          <w:rFonts w:ascii="Arial" w:hAnsi="Arial" w:cs="Arial"/>
          <w:b/>
          <w:sz w:val="24"/>
          <w:szCs w:val="24"/>
        </w:rPr>
        <w:t xml:space="preserve">Pocket money and savings rates for children Looked After by the Council </w:t>
      </w:r>
    </w:p>
    <w:p w:rsidR="00AC2539" w:rsidRPr="00D873FC" w:rsidRDefault="00AC2539">
      <w:pPr>
        <w:rPr>
          <w:rFonts w:ascii="Arial" w:hAnsi="Arial" w:cs="Arial"/>
          <w:b/>
          <w:sz w:val="24"/>
          <w:szCs w:val="24"/>
        </w:rPr>
      </w:pPr>
      <w:r>
        <w:rPr>
          <w:rFonts w:ascii="Arial" w:hAnsi="Arial" w:cs="Arial"/>
          <w:b/>
          <w:sz w:val="24"/>
          <w:szCs w:val="24"/>
        </w:rPr>
        <w:t xml:space="preserve">1.1 </w:t>
      </w:r>
      <w:r w:rsidRPr="00D873FC">
        <w:rPr>
          <w:rFonts w:ascii="Arial" w:hAnsi="Arial" w:cs="Arial"/>
          <w:b/>
          <w:sz w:val="24"/>
          <w:szCs w:val="24"/>
        </w:rPr>
        <w:t>Introduction</w:t>
      </w:r>
    </w:p>
    <w:p w:rsidR="00AC2539" w:rsidRPr="00F82479" w:rsidRDefault="00AC2539">
      <w:pPr>
        <w:rPr>
          <w:rFonts w:ascii="Arial" w:hAnsi="Arial" w:cs="Arial"/>
          <w:sz w:val="24"/>
          <w:szCs w:val="24"/>
        </w:rPr>
      </w:pPr>
      <w:r>
        <w:rPr>
          <w:rFonts w:ascii="Arial" w:hAnsi="Arial" w:cs="Arial"/>
          <w:sz w:val="24"/>
          <w:szCs w:val="24"/>
        </w:rPr>
        <w:t xml:space="preserve">1.2 </w:t>
      </w:r>
      <w:r w:rsidRPr="00F82479">
        <w:rPr>
          <w:rFonts w:ascii="Arial" w:hAnsi="Arial" w:cs="Arial"/>
          <w:sz w:val="24"/>
          <w:szCs w:val="24"/>
        </w:rPr>
        <w:t xml:space="preserve">The </w:t>
      </w:r>
      <w:smartTag w:uri="urn:schemas-microsoft-com:office:smarttags" w:element="place">
        <w:smartTag w:uri="urn:schemas-microsoft-com:office:smarttags" w:element="City">
          <w:r w:rsidRPr="00F82479">
            <w:rPr>
              <w:rFonts w:ascii="Arial" w:hAnsi="Arial" w:cs="Arial"/>
              <w:sz w:val="24"/>
              <w:szCs w:val="24"/>
            </w:rPr>
            <w:t>London</w:t>
          </w:r>
        </w:smartTag>
      </w:smartTag>
      <w:r w:rsidRPr="00F82479">
        <w:rPr>
          <w:rFonts w:ascii="Arial" w:hAnsi="Arial" w:cs="Arial"/>
          <w:sz w:val="24"/>
          <w:szCs w:val="24"/>
        </w:rPr>
        <w:t xml:space="preserve"> Borough of Tower Hamlets is strongly committed to ensure that all children in our care are treated, as far as possible, as they would be if they were living at home with their family.  All families have different approaches to pocket money and savings but in order to ensure a consistency of service across the range of children’s placements, and in response to representations made by the Children in Care Council, we have reviewed our policy in this area which is set out below.</w:t>
      </w:r>
    </w:p>
    <w:p w:rsidR="00AC2539" w:rsidRPr="00D873FC" w:rsidRDefault="00AC2539">
      <w:pPr>
        <w:rPr>
          <w:rFonts w:ascii="Arial" w:hAnsi="Arial" w:cs="Arial"/>
          <w:b/>
          <w:sz w:val="24"/>
          <w:szCs w:val="24"/>
        </w:rPr>
      </w:pPr>
      <w:r>
        <w:rPr>
          <w:rFonts w:ascii="Arial" w:hAnsi="Arial" w:cs="Arial"/>
          <w:b/>
          <w:sz w:val="24"/>
          <w:szCs w:val="24"/>
        </w:rPr>
        <w:t xml:space="preserve">2. </w:t>
      </w:r>
      <w:r w:rsidRPr="00D873FC">
        <w:rPr>
          <w:rFonts w:ascii="Arial" w:hAnsi="Arial" w:cs="Arial"/>
          <w:b/>
          <w:sz w:val="24"/>
          <w:szCs w:val="24"/>
        </w:rPr>
        <w:t>Pocket money</w:t>
      </w:r>
    </w:p>
    <w:p w:rsidR="00AC2539" w:rsidRPr="00F82479" w:rsidRDefault="00AC2539">
      <w:pPr>
        <w:rPr>
          <w:rFonts w:ascii="Arial" w:hAnsi="Arial" w:cs="Arial"/>
          <w:sz w:val="24"/>
          <w:szCs w:val="24"/>
        </w:rPr>
      </w:pPr>
      <w:r>
        <w:rPr>
          <w:rFonts w:ascii="Arial" w:hAnsi="Arial" w:cs="Arial"/>
          <w:sz w:val="24"/>
          <w:szCs w:val="24"/>
        </w:rPr>
        <w:t xml:space="preserve">2.1 </w:t>
      </w:r>
      <w:r w:rsidRPr="00F82479">
        <w:rPr>
          <w:rFonts w:ascii="Arial" w:hAnsi="Arial" w:cs="Arial"/>
          <w:sz w:val="24"/>
          <w:szCs w:val="24"/>
        </w:rPr>
        <w:t>All children in our care</w:t>
      </w:r>
      <w:r w:rsidR="00BA6AE3">
        <w:rPr>
          <w:rFonts w:ascii="Arial" w:hAnsi="Arial" w:cs="Arial"/>
          <w:sz w:val="24"/>
          <w:szCs w:val="24"/>
        </w:rPr>
        <w:t>, including those placed at home,</w:t>
      </w:r>
      <w:r w:rsidRPr="00F82479">
        <w:rPr>
          <w:rFonts w:ascii="Arial" w:hAnsi="Arial" w:cs="Arial"/>
          <w:sz w:val="24"/>
          <w:szCs w:val="24"/>
        </w:rPr>
        <w:t xml:space="preserve"> will be entitled to the following rates of pocket money</w:t>
      </w:r>
      <w:r w:rsidR="00EC56FF">
        <w:rPr>
          <w:rFonts w:ascii="Arial" w:hAnsi="Arial" w:cs="Arial"/>
          <w:sz w:val="24"/>
          <w:szCs w:val="24"/>
        </w:rPr>
        <w:t xml:space="preserve"> (personal allowance) as noted in 2.7</w:t>
      </w:r>
      <w:r>
        <w:rPr>
          <w:rFonts w:ascii="Arial" w:hAnsi="Arial" w:cs="Arial"/>
          <w:sz w:val="24"/>
          <w:szCs w:val="24"/>
        </w:rPr>
        <w:t xml:space="preserve"> below</w:t>
      </w:r>
      <w:r w:rsidRPr="00F82479">
        <w:rPr>
          <w:rFonts w:ascii="Arial" w:hAnsi="Arial" w:cs="Arial"/>
          <w:sz w:val="24"/>
          <w:szCs w:val="24"/>
        </w:rPr>
        <w:t>.</w:t>
      </w:r>
    </w:p>
    <w:p w:rsidR="00AC2539" w:rsidRPr="00F82479" w:rsidRDefault="00AC2539">
      <w:pPr>
        <w:rPr>
          <w:rFonts w:ascii="Arial" w:hAnsi="Arial" w:cs="Arial"/>
          <w:sz w:val="24"/>
          <w:szCs w:val="24"/>
        </w:rPr>
      </w:pPr>
      <w:r>
        <w:rPr>
          <w:rFonts w:ascii="Arial" w:hAnsi="Arial" w:cs="Arial"/>
          <w:sz w:val="24"/>
          <w:szCs w:val="24"/>
        </w:rPr>
        <w:t xml:space="preserve">2.2 </w:t>
      </w:r>
      <w:r w:rsidRPr="00F82479">
        <w:rPr>
          <w:rFonts w:ascii="Arial" w:hAnsi="Arial" w:cs="Arial"/>
          <w:sz w:val="24"/>
          <w:szCs w:val="24"/>
        </w:rPr>
        <w:t xml:space="preserve">For children in foster care the pocket money </w:t>
      </w:r>
      <w:r>
        <w:rPr>
          <w:rFonts w:ascii="Arial" w:hAnsi="Arial" w:cs="Arial"/>
          <w:sz w:val="24"/>
          <w:szCs w:val="24"/>
        </w:rPr>
        <w:t>comes</w:t>
      </w:r>
      <w:r w:rsidRPr="00F82479">
        <w:rPr>
          <w:rFonts w:ascii="Arial" w:hAnsi="Arial" w:cs="Arial"/>
          <w:sz w:val="24"/>
          <w:szCs w:val="24"/>
        </w:rPr>
        <w:t xml:space="preserve"> out of the foster carer’s weekly allowance.</w:t>
      </w:r>
    </w:p>
    <w:p w:rsidR="00AC2539" w:rsidRDefault="00AC2539">
      <w:pPr>
        <w:rPr>
          <w:rFonts w:ascii="Arial" w:hAnsi="Arial" w:cs="Arial"/>
          <w:sz w:val="24"/>
          <w:szCs w:val="24"/>
        </w:rPr>
      </w:pPr>
      <w:r>
        <w:rPr>
          <w:rFonts w:ascii="Arial" w:hAnsi="Arial" w:cs="Arial"/>
          <w:sz w:val="24"/>
          <w:szCs w:val="24"/>
        </w:rPr>
        <w:t xml:space="preserve">2.3 </w:t>
      </w:r>
      <w:r w:rsidRPr="00F82479">
        <w:rPr>
          <w:rFonts w:ascii="Arial" w:hAnsi="Arial" w:cs="Arial"/>
          <w:sz w:val="24"/>
          <w:szCs w:val="24"/>
        </w:rPr>
        <w:t xml:space="preserve">For children in other types of placement provision the pocket money </w:t>
      </w:r>
      <w:r>
        <w:rPr>
          <w:rFonts w:ascii="Arial" w:hAnsi="Arial" w:cs="Arial"/>
          <w:sz w:val="24"/>
          <w:szCs w:val="24"/>
        </w:rPr>
        <w:t>comes out</w:t>
      </w:r>
      <w:r w:rsidRPr="00F82479">
        <w:rPr>
          <w:rFonts w:ascii="Arial" w:hAnsi="Arial" w:cs="Arial"/>
          <w:sz w:val="24"/>
          <w:szCs w:val="24"/>
        </w:rPr>
        <w:t xml:space="preserve"> of the normal placement costs.</w:t>
      </w:r>
    </w:p>
    <w:p w:rsidR="00BA6AE3" w:rsidRPr="00F82479" w:rsidRDefault="00BA6AE3">
      <w:pPr>
        <w:rPr>
          <w:rFonts w:ascii="Arial" w:hAnsi="Arial" w:cs="Arial"/>
          <w:sz w:val="24"/>
          <w:szCs w:val="24"/>
        </w:rPr>
      </w:pPr>
      <w:r>
        <w:rPr>
          <w:rFonts w:ascii="Arial" w:hAnsi="Arial" w:cs="Arial"/>
          <w:sz w:val="24"/>
          <w:szCs w:val="24"/>
        </w:rPr>
        <w:t>2.4 For children under a care order (interim or full) placed at home the parent will be provided with a payment equal to the normal child benefit and child tax credit for the age of the child plus a personal allowance (pocket money) and a savings allowance. This</w:t>
      </w:r>
      <w:r w:rsidR="00684C1B">
        <w:rPr>
          <w:rFonts w:ascii="Arial" w:hAnsi="Arial" w:cs="Arial"/>
          <w:sz w:val="24"/>
          <w:szCs w:val="24"/>
        </w:rPr>
        <w:t xml:space="preserve"> payment</w:t>
      </w:r>
      <w:r>
        <w:rPr>
          <w:rFonts w:ascii="Arial" w:hAnsi="Arial" w:cs="Arial"/>
          <w:sz w:val="24"/>
          <w:szCs w:val="24"/>
        </w:rPr>
        <w:t xml:space="preserve"> is dependent on the placement</w:t>
      </w:r>
      <w:r w:rsidR="00A1596C">
        <w:rPr>
          <w:rFonts w:ascii="Arial" w:hAnsi="Arial" w:cs="Arial"/>
          <w:sz w:val="24"/>
          <w:szCs w:val="24"/>
        </w:rPr>
        <w:t xml:space="preserve"> at home</w:t>
      </w:r>
      <w:r>
        <w:rPr>
          <w:rFonts w:ascii="Arial" w:hAnsi="Arial" w:cs="Arial"/>
          <w:sz w:val="24"/>
          <w:szCs w:val="24"/>
        </w:rPr>
        <w:t xml:space="preserve"> having been approved by the Divisional Director of Children’s Social Care.</w:t>
      </w:r>
    </w:p>
    <w:p w:rsidR="00AC2539" w:rsidRPr="00F82479" w:rsidRDefault="00BA6AE3">
      <w:pPr>
        <w:rPr>
          <w:rFonts w:ascii="Arial" w:hAnsi="Arial" w:cs="Arial"/>
          <w:sz w:val="24"/>
          <w:szCs w:val="24"/>
        </w:rPr>
      </w:pPr>
      <w:r>
        <w:rPr>
          <w:rFonts w:ascii="Arial" w:hAnsi="Arial" w:cs="Arial"/>
          <w:sz w:val="24"/>
          <w:szCs w:val="24"/>
        </w:rPr>
        <w:t>2.5</w:t>
      </w:r>
      <w:r w:rsidR="00AC2539">
        <w:rPr>
          <w:rFonts w:ascii="Arial" w:hAnsi="Arial" w:cs="Arial"/>
          <w:sz w:val="24"/>
          <w:szCs w:val="24"/>
        </w:rPr>
        <w:t xml:space="preserve"> </w:t>
      </w:r>
      <w:r w:rsidR="00AC2539" w:rsidRPr="00F82479">
        <w:rPr>
          <w:rFonts w:ascii="Arial" w:hAnsi="Arial" w:cs="Arial"/>
          <w:sz w:val="24"/>
          <w:szCs w:val="24"/>
        </w:rPr>
        <w:t>Children will be expected, depending on their age and understanding, to contribute in some way to the day to day routine of their placement as a way of earning their pocket money.</w:t>
      </w:r>
    </w:p>
    <w:p w:rsidR="00AC2539" w:rsidRPr="00F82479" w:rsidRDefault="00AC2539">
      <w:pPr>
        <w:rPr>
          <w:rFonts w:ascii="Arial" w:hAnsi="Arial" w:cs="Arial"/>
          <w:sz w:val="24"/>
          <w:szCs w:val="24"/>
        </w:rPr>
      </w:pPr>
      <w:r>
        <w:rPr>
          <w:rFonts w:ascii="Arial" w:hAnsi="Arial" w:cs="Arial"/>
          <w:sz w:val="24"/>
          <w:szCs w:val="24"/>
        </w:rPr>
        <w:t>2.</w:t>
      </w:r>
      <w:r w:rsidR="00BA6AE3">
        <w:rPr>
          <w:rFonts w:ascii="Arial" w:hAnsi="Arial" w:cs="Arial"/>
          <w:sz w:val="24"/>
          <w:szCs w:val="24"/>
        </w:rPr>
        <w:t>6</w:t>
      </w:r>
      <w:r>
        <w:rPr>
          <w:rFonts w:ascii="Arial" w:hAnsi="Arial" w:cs="Arial"/>
          <w:sz w:val="24"/>
          <w:szCs w:val="24"/>
        </w:rPr>
        <w:t xml:space="preserve"> </w:t>
      </w:r>
      <w:r w:rsidRPr="00F82479">
        <w:rPr>
          <w:rFonts w:ascii="Arial" w:hAnsi="Arial" w:cs="Arial"/>
          <w:sz w:val="24"/>
          <w:szCs w:val="24"/>
        </w:rPr>
        <w:t>Pocket money should not normally be withheld except as a short term measure in exceptional circumstances.</w:t>
      </w:r>
    </w:p>
    <w:p w:rsidR="00AC2539" w:rsidRPr="00F82479" w:rsidRDefault="00AC2539">
      <w:pPr>
        <w:rPr>
          <w:rFonts w:ascii="Arial" w:hAnsi="Arial" w:cs="Arial"/>
          <w:sz w:val="24"/>
          <w:szCs w:val="24"/>
        </w:rPr>
      </w:pPr>
      <w:r>
        <w:rPr>
          <w:rFonts w:ascii="Arial" w:hAnsi="Arial" w:cs="Arial"/>
          <w:sz w:val="24"/>
          <w:szCs w:val="24"/>
        </w:rPr>
        <w:t>2.</w:t>
      </w:r>
      <w:r w:rsidR="00BA6AE3">
        <w:rPr>
          <w:rFonts w:ascii="Arial" w:hAnsi="Arial" w:cs="Arial"/>
          <w:sz w:val="24"/>
          <w:szCs w:val="24"/>
        </w:rPr>
        <w:t>7</w:t>
      </w:r>
      <w:r>
        <w:rPr>
          <w:rFonts w:ascii="Arial" w:hAnsi="Arial" w:cs="Arial"/>
          <w:sz w:val="24"/>
          <w:szCs w:val="24"/>
        </w:rPr>
        <w:t xml:space="preserve"> </w:t>
      </w:r>
      <w:r w:rsidRPr="00F82479">
        <w:rPr>
          <w:rFonts w:ascii="Arial" w:hAnsi="Arial" w:cs="Arial"/>
          <w:sz w:val="24"/>
          <w:szCs w:val="24"/>
        </w:rPr>
        <w:t>Within reason children should be able to do what they wish with their pocket money.</w:t>
      </w:r>
      <w:r w:rsidR="00AC733B">
        <w:rPr>
          <w:rFonts w:ascii="Arial" w:hAnsi="Arial" w:cs="Arial"/>
          <w:sz w:val="24"/>
          <w:szCs w:val="24"/>
        </w:rPr>
        <w:t xml:space="preserve">  Y</w:t>
      </w:r>
      <w:r>
        <w:rPr>
          <w:rFonts w:ascii="Arial" w:hAnsi="Arial" w:cs="Arial"/>
          <w:sz w:val="24"/>
          <w:szCs w:val="24"/>
        </w:rPr>
        <w:t>ounger children will be guided by their carer and it may be appropriate to save some or all of the pocket money from time to time.</w:t>
      </w:r>
    </w:p>
    <w:p w:rsidR="00AC2539" w:rsidRPr="00D873FC" w:rsidRDefault="00BA6AE3">
      <w:pPr>
        <w:rPr>
          <w:rFonts w:ascii="Arial" w:hAnsi="Arial" w:cs="Arial"/>
          <w:b/>
          <w:sz w:val="24"/>
          <w:szCs w:val="24"/>
        </w:rPr>
      </w:pPr>
      <w:r>
        <w:rPr>
          <w:rFonts w:ascii="Arial" w:hAnsi="Arial" w:cs="Arial"/>
          <w:b/>
          <w:sz w:val="24"/>
          <w:szCs w:val="24"/>
        </w:rPr>
        <w:br w:type="page"/>
      </w:r>
      <w:r w:rsidR="00AC2539">
        <w:rPr>
          <w:rFonts w:ascii="Arial" w:hAnsi="Arial" w:cs="Arial"/>
          <w:b/>
          <w:sz w:val="24"/>
          <w:szCs w:val="24"/>
        </w:rPr>
        <w:lastRenderedPageBreak/>
        <w:t xml:space="preserve">2.8 </w:t>
      </w:r>
      <w:r w:rsidR="00AC2539" w:rsidRPr="00D873FC">
        <w:rPr>
          <w:rFonts w:ascii="Arial" w:hAnsi="Arial" w:cs="Arial"/>
          <w:b/>
          <w:sz w:val="24"/>
          <w:szCs w:val="24"/>
        </w:rPr>
        <w:t>Pocket money – weekly rates</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084"/>
      </w:tblGrid>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b/>
              </w:rPr>
            </w:pPr>
            <w:r w:rsidRPr="00F82479">
              <w:rPr>
                <w:rFonts w:cs="Arial"/>
                <w:b/>
              </w:rPr>
              <w:t>Age bands</w:t>
            </w:r>
          </w:p>
        </w:tc>
        <w:tc>
          <w:tcPr>
            <w:tcW w:w="3084" w:type="dxa"/>
          </w:tcPr>
          <w:p w:rsidR="00AC2539" w:rsidRPr="00F82479" w:rsidRDefault="00EC56FF" w:rsidP="00E143F4">
            <w:pPr>
              <w:pStyle w:val="Header"/>
              <w:tabs>
                <w:tab w:val="clear" w:pos="4153"/>
                <w:tab w:val="clear" w:pos="8306"/>
              </w:tabs>
              <w:spacing w:before="120" w:after="120"/>
              <w:rPr>
                <w:rFonts w:cs="Arial"/>
                <w:b/>
              </w:rPr>
            </w:pPr>
            <w:r>
              <w:rPr>
                <w:rFonts w:cs="Arial"/>
                <w:b/>
              </w:rPr>
              <w:t>Personal allowance</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0 - 4</w:t>
            </w:r>
          </w:p>
        </w:tc>
        <w:tc>
          <w:tcPr>
            <w:tcW w:w="3084" w:type="dxa"/>
          </w:tcPr>
          <w:p w:rsidR="00AC2539" w:rsidRPr="00F82479" w:rsidRDefault="00EC56FF" w:rsidP="00E143F4">
            <w:pPr>
              <w:pStyle w:val="Header"/>
              <w:tabs>
                <w:tab w:val="clear" w:pos="4153"/>
                <w:tab w:val="clear" w:pos="8306"/>
              </w:tabs>
              <w:spacing w:before="120" w:after="120"/>
              <w:rPr>
                <w:rFonts w:cs="Arial"/>
              </w:rPr>
            </w:pPr>
            <w:r>
              <w:rPr>
                <w:rFonts w:cs="Arial"/>
              </w:rPr>
              <w:t>£2.50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5 - 10</w:t>
            </w:r>
          </w:p>
        </w:tc>
        <w:tc>
          <w:tcPr>
            <w:tcW w:w="3084" w:type="dxa"/>
          </w:tcPr>
          <w:p w:rsidR="00AC2539" w:rsidRPr="00F82479" w:rsidRDefault="00AC2539" w:rsidP="00E143F4">
            <w:pPr>
              <w:pStyle w:val="Header"/>
              <w:tabs>
                <w:tab w:val="clear" w:pos="4153"/>
                <w:tab w:val="clear" w:pos="8306"/>
              </w:tabs>
              <w:spacing w:before="120" w:after="120"/>
              <w:rPr>
                <w:rFonts w:cs="Arial"/>
              </w:rPr>
            </w:pPr>
            <w:r w:rsidRPr="00F82479">
              <w:rPr>
                <w:rFonts w:cs="Arial"/>
              </w:rPr>
              <w:t>£5.00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 xml:space="preserve">11-15 </w:t>
            </w:r>
          </w:p>
        </w:tc>
        <w:tc>
          <w:tcPr>
            <w:tcW w:w="3084" w:type="dxa"/>
          </w:tcPr>
          <w:p w:rsidR="00AC2539" w:rsidRPr="00F82479" w:rsidRDefault="00AC2539" w:rsidP="00E143F4">
            <w:pPr>
              <w:pStyle w:val="Header"/>
              <w:tabs>
                <w:tab w:val="clear" w:pos="4153"/>
                <w:tab w:val="clear" w:pos="8306"/>
              </w:tabs>
              <w:spacing w:before="120" w:after="120"/>
              <w:rPr>
                <w:rFonts w:cs="Arial"/>
              </w:rPr>
            </w:pPr>
            <w:r w:rsidRPr="00F82479">
              <w:rPr>
                <w:rFonts w:cs="Arial"/>
              </w:rPr>
              <w:t>£10.00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16 - 17</w:t>
            </w:r>
          </w:p>
        </w:tc>
        <w:tc>
          <w:tcPr>
            <w:tcW w:w="3084" w:type="dxa"/>
          </w:tcPr>
          <w:p w:rsidR="00AC2539" w:rsidRPr="00F82479" w:rsidRDefault="00AC2539" w:rsidP="00E143F4">
            <w:pPr>
              <w:pStyle w:val="Header"/>
              <w:tabs>
                <w:tab w:val="clear" w:pos="4153"/>
                <w:tab w:val="clear" w:pos="8306"/>
              </w:tabs>
              <w:spacing w:before="120" w:after="120"/>
              <w:rPr>
                <w:rFonts w:cs="Arial"/>
              </w:rPr>
            </w:pPr>
            <w:r w:rsidRPr="00F82479">
              <w:rPr>
                <w:rFonts w:cs="Arial"/>
              </w:rPr>
              <w:t>£15.00</w:t>
            </w:r>
          </w:p>
        </w:tc>
      </w:tr>
    </w:tbl>
    <w:p w:rsidR="00BA6AE3" w:rsidRDefault="00BA6AE3">
      <w:pPr>
        <w:rPr>
          <w:rFonts w:ascii="Arial" w:hAnsi="Arial" w:cs="Arial"/>
          <w:b/>
          <w:sz w:val="24"/>
          <w:szCs w:val="24"/>
        </w:rPr>
      </w:pPr>
    </w:p>
    <w:p w:rsidR="00AC2539" w:rsidRPr="00D873FC" w:rsidRDefault="00AC2539">
      <w:pPr>
        <w:rPr>
          <w:rFonts w:ascii="Arial" w:hAnsi="Arial" w:cs="Arial"/>
          <w:b/>
          <w:sz w:val="24"/>
          <w:szCs w:val="24"/>
        </w:rPr>
      </w:pPr>
      <w:r>
        <w:rPr>
          <w:rFonts w:ascii="Arial" w:hAnsi="Arial" w:cs="Arial"/>
          <w:b/>
          <w:sz w:val="24"/>
          <w:szCs w:val="24"/>
        </w:rPr>
        <w:t xml:space="preserve">3. </w:t>
      </w:r>
      <w:r w:rsidRPr="00D873FC">
        <w:rPr>
          <w:rFonts w:ascii="Arial" w:hAnsi="Arial" w:cs="Arial"/>
          <w:b/>
          <w:sz w:val="24"/>
          <w:szCs w:val="24"/>
        </w:rPr>
        <w:t>Savings</w:t>
      </w:r>
    </w:p>
    <w:p w:rsidR="00AC2539" w:rsidRDefault="00AC2539">
      <w:pPr>
        <w:rPr>
          <w:rFonts w:ascii="Arial" w:hAnsi="Arial" w:cs="Arial"/>
          <w:sz w:val="24"/>
          <w:szCs w:val="24"/>
        </w:rPr>
      </w:pPr>
      <w:r>
        <w:rPr>
          <w:rFonts w:ascii="Arial" w:hAnsi="Arial" w:cs="Arial"/>
          <w:sz w:val="24"/>
          <w:szCs w:val="24"/>
        </w:rPr>
        <w:t>3.1 All children in our care will be entitled to have a weekly saving allowance</w:t>
      </w:r>
      <w:r w:rsidR="00EC56FF">
        <w:rPr>
          <w:rFonts w:ascii="Arial" w:hAnsi="Arial" w:cs="Arial"/>
          <w:sz w:val="24"/>
          <w:szCs w:val="24"/>
        </w:rPr>
        <w:t xml:space="preserve"> of £10</w:t>
      </w:r>
      <w:r>
        <w:rPr>
          <w:rFonts w:ascii="Arial" w:hAnsi="Arial" w:cs="Arial"/>
          <w:sz w:val="24"/>
          <w:szCs w:val="24"/>
        </w:rPr>
        <w:t xml:space="preserve"> put aside for them for their period as a child Looked After.</w:t>
      </w:r>
    </w:p>
    <w:p w:rsidR="00AC2539" w:rsidRPr="00F82479" w:rsidRDefault="00AC2539" w:rsidP="0072734C">
      <w:pPr>
        <w:rPr>
          <w:rFonts w:ascii="Arial" w:hAnsi="Arial" w:cs="Arial"/>
          <w:sz w:val="24"/>
          <w:szCs w:val="24"/>
        </w:rPr>
      </w:pPr>
      <w:r>
        <w:rPr>
          <w:rFonts w:ascii="Arial" w:hAnsi="Arial" w:cs="Arial"/>
          <w:sz w:val="24"/>
          <w:szCs w:val="24"/>
        </w:rPr>
        <w:t xml:space="preserve">3.2 </w:t>
      </w:r>
      <w:r w:rsidRPr="00F82479">
        <w:rPr>
          <w:rFonts w:ascii="Arial" w:hAnsi="Arial" w:cs="Arial"/>
          <w:sz w:val="24"/>
          <w:szCs w:val="24"/>
        </w:rPr>
        <w:t xml:space="preserve">For children in foster care the </w:t>
      </w:r>
      <w:r>
        <w:rPr>
          <w:rFonts w:ascii="Arial" w:hAnsi="Arial" w:cs="Arial"/>
          <w:sz w:val="24"/>
          <w:szCs w:val="24"/>
        </w:rPr>
        <w:t>savings come</w:t>
      </w:r>
      <w:r w:rsidRPr="00F82479">
        <w:rPr>
          <w:rFonts w:ascii="Arial" w:hAnsi="Arial" w:cs="Arial"/>
          <w:sz w:val="24"/>
          <w:szCs w:val="24"/>
        </w:rPr>
        <w:t xml:space="preserve"> out of the foster carer’s weekly allowance.</w:t>
      </w:r>
    </w:p>
    <w:p w:rsidR="00AC2539" w:rsidRDefault="00AC2539" w:rsidP="0072734C">
      <w:pPr>
        <w:rPr>
          <w:rFonts w:ascii="Arial" w:hAnsi="Arial" w:cs="Arial"/>
          <w:sz w:val="24"/>
          <w:szCs w:val="24"/>
        </w:rPr>
      </w:pPr>
      <w:r>
        <w:rPr>
          <w:rFonts w:ascii="Arial" w:hAnsi="Arial" w:cs="Arial"/>
          <w:sz w:val="24"/>
          <w:szCs w:val="24"/>
        </w:rPr>
        <w:t xml:space="preserve">3.3 </w:t>
      </w:r>
      <w:r w:rsidRPr="00F82479">
        <w:rPr>
          <w:rFonts w:ascii="Arial" w:hAnsi="Arial" w:cs="Arial"/>
          <w:sz w:val="24"/>
          <w:szCs w:val="24"/>
        </w:rPr>
        <w:t xml:space="preserve">For children in other types of placement provision the </w:t>
      </w:r>
      <w:r>
        <w:rPr>
          <w:rFonts w:ascii="Arial" w:hAnsi="Arial" w:cs="Arial"/>
          <w:sz w:val="24"/>
          <w:szCs w:val="24"/>
        </w:rPr>
        <w:t>savings comes</w:t>
      </w:r>
      <w:r w:rsidRPr="00F82479">
        <w:rPr>
          <w:rFonts w:ascii="Arial" w:hAnsi="Arial" w:cs="Arial"/>
          <w:sz w:val="24"/>
          <w:szCs w:val="24"/>
        </w:rPr>
        <w:t xml:space="preserve"> out of the normal placement costs.</w:t>
      </w:r>
    </w:p>
    <w:p w:rsidR="00684C1B" w:rsidRPr="00F82479" w:rsidRDefault="00684C1B" w:rsidP="00684C1B">
      <w:pPr>
        <w:rPr>
          <w:rFonts w:ascii="Arial" w:hAnsi="Arial" w:cs="Arial"/>
          <w:sz w:val="24"/>
          <w:szCs w:val="24"/>
        </w:rPr>
      </w:pPr>
      <w:r>
        <w:rPr>
          <w:rFonts w:ascii="Arial" w:hAnsi="Arial" w:cs="Arial"/>
          <w:sz w:val="24"/>
          <w:szCs w:val="24"/>
        </w:rPr>
        <w:t>3.4 For children under a care order (interim or full) placed at home the parent will be provided with a payment equal to the normal child benefit and child tax credit for the age of the child plus a saving allowance and a personal allowance (pocket money). This payment is dependent on the placement at home having been approved by the Divisional Director of Children’s Social Care.</w:t>
      </w:r>
    </w:p>
    <w:p w:rsidR="00AC2539" w:rsidRDefault="00684C1B">
      <w:pPr>
        <w:rPr>
          <w:rFonts w:ascii="Arial" w:hAnsi="Arial" w:cs="Arial"/>
          <w:sz w:val="24"/>
          <w:szCs w:val="24"/>
        </w:rPr>
      </w:pPr>
      <w:r>
        <w:rPr>
          <w:rFonts w:ascii="Arial" w:hAnsi="Arial" w:cs="Arial"/>
          <w:sz w:val="24"/>
          <w:szCs w:val="24"/>
        </w:rPr>
        <w:t>3.5</w:t>
      </w:r>
      <w:r w:rsidR="00AC2539">
        <w:rPr>
          <w:rFonts w:ascii="Arial" w:hAnsi="Arial" w:cs="Arial"/>
          <w:sz w:val="24"/>
          <w:szCs w:val="24"/>
        </w:rPr>
        <w:t xml:space="preserve"> The weekly savings will normally start </w:t>
      </w:r>
      <w:r w:rsidR="00B27788">
        <w:rPr>
          <w:rFonts w:ascii="Arial" w:hAnsi="Arial" w:cs="Arial"/>
          <w:sz w:val="24"/>
          <w:szCs w:val="24"/>
        </w:rPr>
        <w:t>from the date of placement.</w:t>
      </w:r>
    </w:p>
    <w:p w:rsidR="00AC2539" w:rsidRDefault="00684C1B">
      <w:pPr>
        <w:rPr>
          <w:rFonts w:ascii="Arial" w:hAnsi="Arial" w:cs="Arial"/>
          <w:sz w:val="24"/>
          <w:szCs w:val="24"/>
        </w:rPr>
      </w:pPr>
      <w:r>
        <w:rPr>
          <w:rFonts w:ascii="Arial" w:hAnsi="Arial" w:cs="Arial"/>
          <w:sz w:val="24"/>
          <w:szCs w:val="24"/>
        </w:rPr>
        <w:t>3.6</w:t>
      </w:r>
      <w:r w:rsidR="00AC2539">
        <w:rPr>
          <w:rFonts w:ascii="Arial" w:hAnsi="Arial" w:cs="Arial"/>
          <w:sz w:val="24"/>
          <w:szCs w:val="24"/>
        </w:rPr>
        <w:t xml:space="preserve"> The child’s carer will be responsible for opening a bank account in the child’s name to pay the weekly savings into.</w:t>
      </w:r>
    </w:p>
    <w:p w:rsidR="00AC2539" w:rsidRDefault="00684C1B">
      <w:pPr>
        <w:rPr>
          <w:rFonts w:ascii="Arial" w:hAnsi="Arial" w:cs="Arial"/>
          <w:sz w:val="24"/>
          <w:szCs w:val="24"/>
        </w:rPr>
      </w:pPr>
      <w:r>
        <w:rPr>
          <w:rFonts w:ascii="Arial" w:hAnsi="Arial" w:cs="Arial"/>
          <w:sz w:val="24"/>
          <w:szCs w:val="24"/>
        </w:rPr>
        <w:t>3.7</w:t>
      </w:r>
      <w:r w:rsidR="00AC2539">
        <w:rPr>
          <w:rFonts w:ascii="Arial" w:hAnsi="Arial" w:cs="Arial"/>
          <w:sz w:val="24"/>
          <w:szCs w:val="24"/>
        </w:rPr>
        <w:t xml:space="preserve"> The child will not normally be able to access the bank account until they are eighteen.</w:t>
      </w:r>
    </w:p>
    <w:p w:rsidR="00AC2539" w:rsidRDefault="00684C1B">
      <w:pPr>
        <w:rPr>
          <w:rFonts w:ascii="Arial" w:hAnsi="Arial" w:cs="Arial"/>
          <w:sz w:val="24"/>
          <w:szCs w:val="24"/>
        </w:rPr>
      </w:pPr>
      <w:r>
        <w:rPr>
          <w:rFonts w:ascii="Arial" w:hAnsi="Arial" w:cs="Arial"/>
          <w:sz w:val="24"/>
          <w:szCs w:val="24"/>
        </w:rPr>
        <w:t>3.8</w:t>
      </w:r>
      <w:r w:rsidR="00AC2539">
        <w:rPr>
          <w:rFonts w:ascii="Arial" w:hAnsi="Arial" w:cs="Arial"/>
          <w:sz w:val="24"/>
          <w:szCs w:val="24"/>
        </w:rPr>
        <w:t xml:space="preserve"> For children who are no longer looked after before their eighteenth birthday it will be the responsibility of the child’s social worker to decide who should take charge of the bank account pending the child turning eighteen.</w:t>
      </w:r>
    </w:p>
    <w:p w:rsidR="00AC2539" w:rsidRDefault="00684C1B">
      <w:pPr>
        <w:rPr>
          <w:rFonts w:ascii="Arial" w:hAnsi="Arial" w:cs="Arial"/>
          <w:sz w:val="24"/>
          <w:szCs w:val="24"/>
        </w:rPr>
      </w:pPr>
      <w:r>
        <w:rPr>
          <w:rFonts w:ascii="Arial" w:hAnsi="Arial" w:cs="Arial"/>
          <w:sz w:val="24"/>
          <w:szCs w:val="24"/>
        </w:rPr>
        <w:t>3.9</w:t>
      </w:r>
      <w:r w:rsidR="00AC2539">
        <w:rPr>
          <w:rFonts w:ascii="Arial" w:hAnsi="Arial" w:cs="Arial"/>
          <w:sz w:val="24"/>
          <w:szCs w:val="24"/>
        </w:rPr>
        <w:t xml:space="preserve"> For children who are still looked after up to their eighteenth birthday the child’s social worker and/or personal adviser will decide who should take charge </w:t>
      </w:r>
      <w:r w:rsidR="00301F41">
        <w:rPr>
          <w:rFonts w:ascii="Arial" w:hAnsi="Arial" w:cs="Arial"/>
          <w:sz w:val="24"/>
          <w:szCs w:val="24"/>
        </w:rPr>
        <w:t>of the bank when the child turn</w:t>
      </w:r>
      <w:r w:rsidR="00AC2539">
        <w:rPr>
          <w:rFonts w:ascii="Arial" w:hAnsi="Arial" w:cs="Arial"/>
          <w:sz w:val="24"/>
          <w:szCs w:val="24"/>
        </w:rPr>
        <w:t xml:space="preserve">s eighteen. </w:t>
      </w:r>
      <w:r w:rsidR="00301F41">
        <w:rPr>
          <w:rFonts w:ascii="Arial" w:hAnsi="Arial" w:cs="Arial"/>
          <w:sz w:val="24"/>
          <w:szCs w:val="24"/>
        </w:rPr>
        <w:t xml:space="preserve"> In normal</w:t>
      </w:r>
      <w:r w:rsidR="00AC2539">
        <w:rPr>
          <w:rFonts w:ascii="Arial" w:hAnsi="Arial" w:cs="Arial"/>
          <w:sz w:val="24"/>
          <w:szCs w:val="24"/>
        </w:rPr>
        <w:t xml:space="preserve"> circumstances the bank account should be in the sole charge of the child when they turn eighteen unless the last Pathway Plan review indicates otherwise.</w:t>
      </w:r>
      <w:r w:rsidR="00301F41">
        <w:rPr>
          <w:rFonts w:ascii="Arial" w:hAnsi="Arial" w:cs="Arial"/>
          <w:sz w:val="24"/>
          <w:szCs w:val="24"/>
        </w:rPr>
        <w:t xml:space="preserve">  It is therefore imperative that all discussions in relation </w:t>
      </w:r>
      <w:r w:rsidR="00301F41">
        <w:rPr>
          <w:rFonts w:ascii="Arial" w:hAnsi="Arial" w:cs="Arial"/>
          <w:sz w:val="24"/>
          <w:szCs w:val="24"/>
        </w:rPr>
        <w:lastRenderedPageBreak/>
        <w:t>to this are clearly documented and overseen, as appropriate, by the child’s</w:t>
      </w:r>
      <w:r w:rsidR="00BC49C9">
        <w:rPr>
          <w:rFonts w:ascii="Arial" w:hAnsi="Arial" w:cs="Arial"/>
          <w:sz w:val="24"/>
          <w:szCs w:val="24"/>
        </w:rPr>
        <w:t xml:space="preserve"> independent reviewing o</w:t>
      </w:r>
      <w:r w:rsidR="00301F41">
        <w:rPr>
          <w:rFonts w:ascii="Arial" w:hAnsi="Arial" w:cs="Arial"/>
          <w:sz w:val="24"/>
          <w:szCs w:val="24"/>
        </w:rPr>
        <w:t>fficer.</w:t>
      </w:r>
    </w:p>
    <w:p w:rsidR="00AC2539" w:rsidRPr="00D873FC" w:rsidRDefault="00684C1B">
      <w:pPr>
        <w:rPr>
          <w:rFonts w:ascii="Arial" w:hAnsi="Arial" w:cs="Arial"/>
          <w:b/>
          <w:sz w:val="24"/>
          <w:szCs w:val="24"/>
        </w:rPr>
      </w:pPr>
      <w:r>
        <w:rPr>
          <w:rFonts w:ascii="Arial" w:hAnsi="Arial" w:cs="Arial"/>
          <w:b/>
          <w:sz w:val="24"/>
          <w:szCs w:val="24"/>
        </w:rPr>
        <w:t>3.10</w:t>
      </w:r>
      <w:r w:rsidR="00AC2539">
        <w:rPr>
          <w:rFonts w:ascii="Arial" w:hAnsi="Arial" w:cs="Arial"/>
          <w:b/>
          <w:sz w:val="24"/>
          <w:szCs w:val="24"/>
        </w:rPr>
        <w:t xml:space="preserve"> </w:t>
      </w:r>
      <w:r w:rsidR="00AC2539" w:rsidRPr="00D873FC">
        <w:rPr>
          <w:rFonts w:ascii="Arial" w:hAnsi="Arial" w:cs="Arial"/>
          <w:b/>
          <w:sz w:val="24"/>
          <w:szCs w:val="24"/>
        </w:rPr>
        <w:t>Savings – weekly rates</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084"/>
      </w:tblGrid>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b/>
              </w:rPr>
            </w:pPr>
            <w:r w:rsidRPr="00F82479">
              <w:rPr>
                <w:rFonts w:cs="Arial"/>
                <w:b/>
              </w:rPr>
              <w:t>Age bands</w:t>
            </w:r>
          </w:p>
        </w:tc>
        <w:tc>
          <w:tcPr>
            <w:tcW w:w="3084" w:type="dxa"/>
          </w:tcPr>
          <w:p w:rsidR="00AC2539" w:rsidRPr="00F82479" w:rsidRDefault="00AC2539" w:rsidP="00E143F4">
            <w:pPr>
              <w:pStyle w:val="Header"/>
              <w:tabs>
                <w:tab w:val="clear" w:pos="4153"/>
                <w:tab w:val="clear" w:pos="8306"/>
              </w:tabs>
              <w:spacing w:before="120" w:after="120"/>
              <w:rPr>
                <w:rFonts w:cs="Arial"/>
                <w:b/>
              </w:rPr>
            </w:pPr>
            <w:r w:rsidRPr="00F82479">
              <w:rPr>
                <w:rFonts w:cs="Arial"/>
                <w:b/>
              </w:rPr>
              <w:t>Savings</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0 - 4</w:t>
            </w:r>
          </w:p>
        </w:tc>
        <w:tc>
          <w:tcPr>
            <w:tcW w:w="3084" w:type="dxa"/>
          </w:tcPr>
          <w:p w:rsidR="00AC2539" w:rsidRPr="00F82479" w:rsidRDefault="00EC56FF" w:rsidP="00886DF8">
            <w:pPr>
              <w:pStyle w:val="Header"/>
              <w:tabs>
                <w:tab w:val="clear" w:pos="4153"/>
                <w:tab w:val="clear" w:pos="8306"/>
              </w:tabs>
              <w:spacing w:before="120" w:after="120"/>
              <w:rPr>
                <w:rFonts w:cs="Arial"/>
              </w:rPr>
            </w:pPr>
            <w:r w:rsidRPr="00F82479">
              <w:rPr>
                <w:rFonts w:cs="Arial"/>
              </w:rPr>
              <w:t>£10.00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5 - 10</w:t>
            </w:r>
          </w:p>
        </w:tc>
        <w:tc>
          <w:tcPr>
            <w:tcW w:w="3084" w:type="dxa"/>
          </w:tcPr>
          <w:p w:rsidR="00AC2539" w:rsidRPr="00F82479" w:rsidRDefault="00EC56FF" w:rsidP="00E143F4">
            <w:pPr>
              <w:pStyle w:val="Header"/>
              <w:tabs>
                <w:tab w:val="clear" w:pos="4153"/>
                <w:tab w:val="clear" w:pos="8306"/>
              </w:tabs>
              <w:spacing w:before="120" w:after="120"/>
              <w:rPr>
                <w:rFonts w:cs="Arial"/>
              </w:rPr>
            </w:pPr>
            <w:r w:rsidRPr="00F82479">
              <w:rPr>
                <w:rFonts w:cs="Arial"/>
              </w:rPr>
              <w:t>£10.00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 xml:space="preserve">11-15 </w:t>
            </w:r>
          </w:p>
        </w:tc>
        <w:tc>
          <w:tcPr>
            <w:tcW w:w="3084" w:type="dxa"/>
          </w:tcPr>
          <w:p w:rsidR="00AC2539" w:rsidRPr="00F82479" w:rsidRDefault="00AC2539" w:rsidP="00E143F4">
            <w:pPr>
              <w:pStyle w:val="Header"/>
              <w:tabs>
                <w:tab w:val="clear" w:pos="4153"/>
                <w:tab w:val="clear" w:pos="8306"/>
              </w:tabs>
              <w:spacing w:before="120" w:after="120"/>
              <w:rPr>
                <w:rFonts w:cs="Arial"/>
              </w:rPr>
            </w:pPr>
            <w:r w:rsidRPr="00F82479">
              <w:rPr>
                <w:rFonts w:cs="Arial"/>
              </w:rPr>
              <w:t>£10.00</w:t>
            </w:r>
          </w:p>
        </w:tc>
      </w:tr>
      <w:tr w:rsidR="00AC2539" w:rsidRPr="00447361" w:rsidTr="006322F4">
        <w:tc>
          <w:tcPr>
            <w:tcW w:w="1844" w:type="dxa"/>
          </w:tcPr>
          <w:p w:rsidR="00AC2539" w:rsidRPr="00F82479" w:rsidRDefault="00AC2539" w:rsidP="00E143F4">
            <w:pPr>
              <w:pStyle w:val="Header"/>
              <w:tabs>
                <w:tab w:val="clear" w:pos="4153"/>
                <w:tab w:val="clear" w:pos="8306"/>
              </w:tabs>
              <w:spacing w:before="120" w:after="120"/>
              <w:jc w:val="both"/>
              <w:rPr>
                <w:rFonts w:cs="Arial"/>
              </w:rPr>
            </w:pPr>
            <w:r w:rsidRPr="00F82479">
              <w:rPr>
                <w:rFonts w:cs="Arial"/>
              </w:rPr>
              <w:t>16 - 17</w:t>
            </w:r>
          </w:p>
        </w:tc>
        <w:tc>
          <w:tcPr>
            <w:tcW w:w="3084" w:type="dxa"/>
          </w:tcPr>
          <w:p w:rsidR="00AC2539" w:rsidRPr="00F82479" w:rsidRDefault="00EC56FF" w:rsidP="00E143F4">
            <w:pPr>
              <w:pStyle w:val="Header"/>
              <w:tabs>
                <w:tab w:val="clear" w:pos="4153"/>
                <w:tab w:val="clear" w:pos="8306"/>
              </w:tabs>
              <w:spacing w:before="120" w:after="120"/>
              <w:rPr>
                <w:rFonts w:cs="Arial"/>
              </w:rPr>
            </w:pPr>
            <w:r w:rsidRPr="00F82479">
              <w:rPr>
                <w:rFonts w:cs="Arial"/>
              </w:rPr>
              <w:t>£10.00</w:t>
            </w:r>
          </w:p>
        </w:tc>
      </w:tr>
    </w:tbl>
    <w:p w:rsidR="00684C1B" w:rsidRDefault="00684C1B">
      <w:pPr>
        <w:rPr>
          <w:rFonts w:ascii="Arial" w:hAnsi="Arial" w:cs="Arial"/>
          <w:b/>
          <w:sz w:val="24"/>
          <w:szCs w:val="24"/>
        </w:rPr>
      </w:pPr>
    </w:p>
    <w:p w:rsidR="00AC2539" w:rsidRPr="007A2F73" w:rsidRDefault="00AC2539">
      <w:pPr>
        <w:rPr>
          <w:rFonts w:ascii="Arial" w:hAnsi="Arial" w:cs="Arial"/>
          <w:b/>
          <w:sz w:val="24"/>
          <w:szCs w:val="24"/>
        </w:rPr>
      </w:pPr>
      <w:r>
        <w:rPr>
          <w:rFonts w:ascii="Arial" w:hAnsi="Arial" w:cs="Arial"/>
          <w:b/>
          <w:sz w:val="24"/>
          <w:szCs w:val="24"/>
        </w:rPr>
        <w:t xml:space="preserve">4. </w:t>
      </w:r>
      <w:r w:rsidRPr="007A2F73">
        <w:rPr>
          <w:rFonts w:ascii="Arial" w:hAnsi="Arial" w:cs="Arial"/>
          <w:b/>
          <w:sz w:val="24"/>
          <w:szCs w:val="24"/>
        </w:rPr>
        <w:t>Consultation</w:t>
      </w:r>
    </w:p>
    <w:p w:rsidR="00AC2539" w:rsidRPr="007A2F73" w:rsidRDefault="00AC2539">
      <w:pPr>
        <w:rPr>
          <w:rFonts w:ascii="Arial" w:hAnsi="Arial" w:cs="Arial"/>
          <w:sz w:val="24"/>
          <w:szCs w:val="24"/>
        </w:rPr>
      </w:pPr>
      <w:r>
        <w:rPr>
          <w:rFonts w:ascii="Arial" w:hAnsi="Arial" w:cs="Arial"/>
          <w:sz w:val="24"/>
          <w:szCs w:val="24"/>
        </w:rPr>
        <w:t>The relevant social work teams, the foster care association, the Children in Care Council and external agencies have been made aware of this policy.</w:t>
      </w:r>
    </w:p>
    <w:p w:rsidR="00AC2539" w:rsidRPr="007A2F73" w:rsidRDefault="00AC2539">
      <w:pPr>
        <w:rPr>
          <w:rFonts w:ascii="Arial" w:hAnsi="Arial" w:cs="Arial"/>
          <w:b/>
          <w:sz w:val="24"/>
          <w:szCs w:val="24"/>
        </w:rPr>
      </w:pPr>
      <w:r>
        <w:rPr>
          <w:rFonts w:ascii="Arial" w:hAnsi="Arial" w:cs="Arial"/>
          <w:b/>
          <w:sz w:val="24"/>
          <w:szCs w:val="24"/>
        </w:rPr>
        <w:t xml:space="preserve">5. </w:t>
      </w:r>
      <w:r w:rsidRPr="007A2F73">
        <w:rPr>
          <w:rFonts w:ascii="Arial" w:hAnsi="Arial" w:cs="Arial"/>
          <w:b/>
          <w:sz w:val="24"/>
          <w:szCs w:val="24"/>
        </w:rPr>
        <w:t>Implementation date</w:t>
      </w:r>
    </w:p>
    <w:p w:rsidR="00AC2539" w:rsidRPr="007A2F73" w:rsidRDefault="00AC2539">
      <w:pPr>
        <w:rPr>
          <w:rFonts w:ascii="Arial" w:hAnsi="Arial" w:cs="Arial"/>
          <w:sz w:val="24"/>
          <w:szCs w:val="24"/>
        </w:rPr>
      </w:pPr>
      <w:r>
        <w:rPr>
          <w:rFonts w:ascii="Arial" w:hAnsi="Arial" w:cs="Arial"/>
          <w:sz w:val="24"/>
          <w:szCs w:val="24"/>
        </w:rPr>
        <w:t>This</w:t>
      </w:r>
      <w:r w:rsidR="00EC56FF">
        <w:rPr>
          <w:rFonts w:ascii="Arial" w:hAnsi="Arial" w:cs="Arial"/>
          <w:sz w:val="24"/>
          <w:szCs w:val="24"/>
        </w:rPr>
        <w:t xml:space="preserve"> policy will be effective from </w:t>
      </w:r>
      <w:r w:rsidR="00BA6AE3">
        <w:rPr>
          <w:rFonts w:ascii="Arial" w:hAnsi="Arial" w:cs="Arial"/>
          <w:sz w:val="24"/>
          <w:szCs w:val="24"/>
        </w:rPr>
        <w:t>1</w:t>
      </w:r>
      <w:r w:rsidR="00BA6AE3" w:rsidRPr="00BA6AE3">
        <w:rPr>
          <w:rFonts w:ascii="Arial" w:hAnsi="Arial" w:cs="Arial"/>
          <w:sz w:val="24"/>
          <w:szCs w:val="24"/>
          <w:vertAlign w:val="superscript"/>
        </w:rPr>
        <w:t>st</w:t>
      </w:r>
      <w:r w:rsidR="00BA6AE3">
        <w:rPr>
          <w:rFonts w:ascii="Arial" w:hAnsi="Arial" w:cs="Arial"/>
          <w:sz w:val="24"/>
          <w:szCs w:val="24"/>
        </w:rPr>
        <w:t xml:space="preserve"> April 2017</w:t>
      </w:r>
      <w:r w:rsidR="00225056">
        <w:rPr>
          <w:rFonts w:ascii="Arial" w:hAnsi="Arial" w:cs="Arial"/>
          <w:sz w:val="24"/>
          <w:szCs w:val="24"/>
        </w:rPr>
        <w:t>.</w:t>
      </w:r>
    </w:p>
    <w:p w:rsidR="00AC2539" w:rsidRPr="007A2F73" w:rsidRDefault="00AC2539">
      <w:pPr>
        <w:rPr>
          <w:rFonts w:ascii="Arial" w:hAnsi="Arial" w:cs="Arial"/>
          <w:b/>
          <w:sz w:val="24"/>
          <w:szCs w:val="24"/>
        </w:rPr>
      </w:pPr>
      <w:r>
        <w:rPr>
          <w:rFonts w:ascii="Arial" w:hAnsi="Arial" w:cs="Arial"/>
          <w:b/>
          <w:sz w:val="24"/>
          <w:szCs w:val="24"/>
        </w:rPr>
        <w:t xml:space="preserve">6. </w:t>
      </w:r>
      <w:r w:rsidRPr="007A2F73">
        <w:rPr>
          <w:rFonts w:ascii="Arial" w:hAnsi="Arial" w:cs="Arial"/>
          <w:b/>
          <w:sz w:val="24"/>
          <w:szCs w:val="24"/>
        </w:rPr>
        <w:t>Review</w:t>
      </w:r>
    </w:p>
    <w:p w:rsidR="00AC2539" w:rsidRDefault="00AC2539">
      <w:pPr>
        <w:rPr>
          <w:rFonts w:ascii="Arial" w:hAnsi="Arial" w:cs="Arial"/>
          <w:sz w:val="24"/>
          <w:szCs w:val="24"/>
        </w:rPr>
      </w:pPr>
      <w:r>
        <w:rPr>
          <w:rFonts w:ascii="Arial" w:hAnsi="Arial" w:cs="Arial"/>
          <w:sz w:val="24"/>
          <w:szCs w:val="24"/>
        </w:rPr>
        <w:t xml:space="preserve">The </w:t>
      </w:r>
      <w:r w:rsidR="00EC56FF">
        <w:rPr>
          <w:rFonts w:ascii="Arial" w:hAnsi="Arial" w:cs="Arial"/>
          <w:sz w:val="24"/>
          <w:szCs w:val="24"/>
        </w:rPr>
        <w:t xml:space="preserve">policy will be reviewed in </w:t>
      </w:r>
      <w:r w:rsidR="00F638A2">
        <w:rPr>
          <w:rFonts w:ascii="Arial" w:hAnsi="Arial" w:cs="Arial"/>
          <w:sz w:val="24"/>
          <w:szCs w:val="24"/>
        </w:rPr>
        <w:t>March 2018</w:t>
      </w:r>
      <w:r w:rsidR="00225056">
        <w:rPr>
          <w:rFonts w:ascii="Arial" w:hAnsi="Arial" w:cs="Arial"/>
          <w:sz w:val="24"/>
          <w:szCs w:val="24"/>
        </w:rPr>
        <w:t>.</w:t>
      </w:r>
    </w:p>
    <w:sectPr w:rsidR="00AC2539" w:rsidSect="00E873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F3" w:rsidRDefault="00676CF3" w:rsidP="002D712B">
      <w:pPr>
        <w:spacing w:after="0" w:line="240" w:lineRule="auto"/>
      </w:pPr>
      <w:r>
        <w:separator/>
      </w:r>
    </w:p>
  </w:endnote>
  <w:endnote w:type="continuationSeparator" w:id="0">
    <w:p w:rsidR="00676CF3" w:rsidRDefault="00676CF3" w:rsidP="002D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39" w:rsidRDefault="006E27DB">
    <w:pPr>
      <w:pStyle w:val="Footer"/>
      <w:jc w:val="right"/>
    </w:pPr>
    <w:r>
      <w:fldChar w:fldCharType="begin"/>
    </w:r>
    <w:r>
      <w:instrText xml:space="preserve"> PAGE   \* MERGEFORMAT </w:instrText>
    </w:r>
    <w:r>
      <w:fldChar w:fldCharType="separate"/>
    </w:r>
    <w:r w:rsidR="00DA0863">
      <w:rPr>
        <w:noProof/>
      </w:rPr>
      <w:t>1</w:t>
    </w:r>
    <w:r>
      <w:rPr>
        <w:noProof/>
      </w:rPr>
      <w:fldChar w:fldCharType="end"/>
    </w:r>
  </w:p>
  <w:p w:rsidR="00AC2539" w:rsidRDefault="00AC2539">
    <w:pPr>
      <w:pStyle w:val="Footer"/>
    </w:pPr>
    <w:r>
      <w:t xml:space="preserve">Version </w:t>
    </w:r>
    <w:r w:rsidR="00BA6AE3">
      <w:t>3</w:t>
    </w:r>
    <w:r w:rsidR="00F638A2">
      <w:t xml:space="preserve"> current</w:t>
    </w:r>
    <w:r w:rsidR="00EC56FF">
      <w:t xml:space="preserve"> PM </w:t>
    </w:r>
    <w:r w:rsidR="00BA6AE3">
      <w:t>20</w:t>
    </w:r>
    <w:r w:rsidR="00F638A2">
      <w:t xml:space="preserve"> 03 17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F3" w:rsidRDefault="00676CF3" w:rsidP="002D712B">
      <w:pPr>
        <w:spacing w:after="0" w:line="240" w:lineRule="auto"/>
      </w:pPr>
      <w:r>
        <w:separator/>
      </w:r>
    </w:p>
  </w:footnote>
  <w:footnote w:type="continuationSeparator" w:id="0">
    <w:p w:rsidR="00676CF3" w:rsidRDefault="00676CF3" w:rsidP="002D7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0"/>
    <w:rsid w:val="00053672"/>
    <w:rsid w:val="000675B3"/>
    <w:rsid w:val="00071749"/>
    <w:rsid w:val="000F3B1A"/>
    <w:rsid w:val="001E1D39"/>
    <w:rsid w:val="001F6259"/>
    <w:rsid w:val="002127F3"/>
    <w:rsid w:val="00225056"/>
    <w:rsid w:val="002577BD"/>
    <w:rsid w:val="002C54F3"/>
    <w:rsid w:val="002D712B"/>
    <w:rsid w:val="002E5A60"/>
    <w:rsid w:val="00301F41"/>
    <w:rsid w:val="00386D56"/>
    <w:rsid w:val="003B7F51"/>
    <w:rsid w:val="003C367E"/>
    <w:rsid w:val="00447361"/>
    <w:rsid w:val="00487676"/>
    <w:rsid w:val="00511308"/>
    <w:rsid w:val="00535DAC"/>
    <w:rsid w:val="00535DD0"/>
    <w:rsid w:val="00597BA2"/>
    <w:rsid w:val="005A077A"/>
    <w:rsid w:val="006322F4"/>
    <w:rsid w:val="00676CF3"/>
    <w:rsid w:val="00684C1B"/>
    <w:rsid w:val="00693C06"/>
    <w:rsid w:val="006A75D0"/>
    <w:rsid w:val="006E27DB"/>
    <w:rsid w:val="0072734C"/>
    <w:rsid w:val="007A2F73"/>
    <w:rsid w:val="008266FF"/>
    <w:rsid w:val="00886DF8"/>
    <w:rsid w:val="009420A3"/>
    <w:rsid w:val="00A1596C"/>
    <w:rsid w:val="00A449DC"/>
    <w:rsid w:val="00AC2539"/>
    <w:rsid w:val="00AC733B"/>
    <w:rsid w:val="00B27788"/>
    <w:rsid w:val="00B96226"/>
    <w:rsid w:val="00BA6AE3"/>
    <w:rsid w:val="00BC49C9"/>
    <w:rsid w:val="00CC5F40"/>
    <w:rsid w:val="00D0007A"/>
    <w:rsid w:val="00D22D4B"/>
    <w:rsid w:val="00D873FC"/>
    <w:rsid w:val="00DA0863"/>
    <w:rsid w:val="00DE17BC"/>
    <w:rsid w:val="00E143F4"/>
    <w:rsid w:val="00E87325"/>
    <w:rsid w:val="00EC56FF"/>
    <w:rsid w:val="00ED4453"/>
    <w:rsid w:val="00F638A2"/>
    <w:rsid w:val="00F82479"/>
    <w:rsid w:val="00F9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DF8"/>
    <w:pPr>
      <w:tabs>
        <w:tab w:val="center" w:pos="4153"/>
        <w:tab w:val="right" w:pos="8306"/>
      </w:tabs>
      <w:spacing w:after="0" w:line="240" w:lineRule="auto"/>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886DF8"/>
    <w:rPr>
      <w:rFonts w:ascii="Arial" w:hAnsi="Arial" w:cs="Times New Roman"/>
      <w:sz w:val="24"/>
      <w:szCs w:val="24"/>
      <w:lang w:eastAsia="en-GB"/>
    </w:rPr>
  </w:style>
  <w:style w:type="paragraph" w:styleId="BodyText">
    <w:name w:val="Body Text"/>
    <w:basedOn w:val="Normal"/>
    <w:link w:val="BodyTextChar"/>
    <w:uiPriority w:val="99"/>
    <w:rsid w:val="00597BA2"/>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uiPriority w:val="99"/>
    <w:locked/>
    <w:rsid w:val="00597BA2"/>
    <w:rPr>
      <w:rFonts w:ascii="Times New Roman" w:hAnsi="Times New Roman" w:cs="Times New Roman"/>
      <w:b/>
      <w:bCs/>
      <w:sz w:val="20"/>
      <w:szCs w:val="20"/>
    </w:rPr>
  </w:style>
  <w:style w:type="paragraph" w:customStyle="1" w:styleId="BodyText1">
    <w:name w:val="Body Text1"/>
    <w:basedOn w:val="Normal"/>
    <w:uiPriority w:val="99"/>
    <w:rsid w:val="00D22D4B"/>
    <w:pPr>
      <w:overflowPunct w:val="0"/>
      <w:autoSpaceDE w:val="0"/>
      <w:autoSpaceDN w:val="0"/>
      <w:adjustRightInd w:val="0"/>
      <w:spacing w:after="0" w:line="240" w:lineRule="auto"/>
      <w:jc w:val="both"/>
      <w:textAlignment w:val="baseline"/>
    </w:pPr>
    <w:rPr>
      <w:rFonts w:ascii="Century Gothic" w:eastAsia="Times New Roman" w:hAnsi="Century Gothic"/>
      <w:sz w:val="24"/>
      <w:szCs w:val="20"/>
    </w:rPr>
  </w:style>
  <w:style w:type="paragraph" w:styleId="ListParagraph">
    <w:name w:val="List Paragraph"/>
    <w:basedOn w:val="Normal"/>
    <w:uiPriority w:val="99"/>
    <w:qFormat/>
    <w:rsid w:val="002D712B"/>
    <w:pPr>
      <w:ind w:left="720"/>
      <w:contextualSpacing/>
    </w:pPr>
  </w:style>
  <w:style w:type="paragraph" w:styleId="Footer">
    <w:name w:val="footer"/>
    <w:basedOn w:val="Normal"/>
    <w:link w:val="FooterChar"/>
    <w:uiPriority w:val="99"/>
    <w:rsid w:val="002D71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71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DF8"/>
    <w:pPr>
      <w:tabs>
        <w:tab w:val="center" w:pos="4153"/>
        <w:tab w:val="right" w:pos="8306"/>
      </w:tabs>
      <w:spacing w:after="0" w:line="240" w:lineRule="auto"/>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886DF8"/>
    <w:rPr>
      <w:rFonts w:ascii="Arial" w:hAnsi="Arial" w:cs="Times New Roman"/>
      <w:sz w:val="24"/>
      <w:szCs w:val="24"/>
      <w:lang w:eastAsia="en-GB"/>
    </w:rPr>
  </w:style>
  <w:style w:type="paragraph" w:styleId="BodyText">
    <w:name w:val="Body Text"/>
    <w:basedOn w:val="Normal"/>
    <w:link w:val="BodyTextChar"/>
    <w:uiPriority w:val="99"/>
    <w:rsid w:val="00597BA2"/>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uiPriority w:val="99"/>
    <w:locked/>
    <w:rsid w:val="00597BA2"/>
    <w:rPr>
      <w:rFonts w:ascii="Times New Roman" w:hAnsi="Times New Roman" w:cs="Times New Roman"/>
      <w:b/>
      <w:bCs/>
      <w:sz w:val="20"/>
      <w:szCs w:val="20"/>
    </w:rPr>
  </w:style>
  <w:style w:type="paragraph" w:customStyle="1" w:styleId="BodyText1">
    <w:name w:val="Body Text1"/>
    <w:basedOn w:val="Normal"/>
    <w:uiPriority w:val="99"/>
    <w:rsid w:val="00D22D4B"/>
    <w:pPr>
      <w:overflowPunct w:val="0"/>
      <w:autoSpaceDE w:val="0"/>
      <w:autoSpaceDN w:val="0"/>
      <w:adjustRightInd w:val="0"/>
      <w:spacing w:after="0" w:line="240" w:lineRule="auto"/>
      <w:jc w:val="both"/>
      <w:textAlignment w:val="baseline"/>
    </w:pPr>
    <w:rPr>
      <w:rFonts w:ascii="Century Gothic" w:eastAsia="Times New Roman" w:hAnsi="Century Gothic"/>
      <w:sz w:val="24"/>
      <w:szCs w:val="20"/>
    </w:rPr>
  </w:style>
  <w:style w:type="paragraph" w:styleId="ListParagraph">
    <w:name w:val="List Paragraph"/>
    <w:basedOn w:val="Normal"/>
    <w:uiPriority w:val="99"/>
    <w:qFormat/>
    <w:rsid w:val="002D712B"/>
    <w:pPr>
      <w:ind w:left="720"/>
      <w:contextualSpacing/>
    </w:pPr>
  </w:style>
  <w:style w:type="paragraph" w:styleId="Footer">
    <w:name w:val="footer"/>
    <w:basedOn w:val="Normal"/>
    <w:link w:val="FooterChar"/>
    <w:uiPriority w:val="99"/>
    <w:rsid w:val="002D71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71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Morgan</dc:creator>
  <cp:lastModifiedBy>Sam Nair</cp:lastModifiedBy>
  <cp:revision>2</cp:revision>
  <dcterms:created xsi:type="dcterms:W3CDTF">2019-04-12T15:56:00Z</dcterms:created>
  <dcterms:modified xsi:type="dcterms:W3CDTF">2019-04-12T15:56:00Z</dcterms:modified>
</cp:coreProperties>
</file>