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EB" w:rsidRDefault="004D1CEB" w:rsidP="004D1CEB">
      <w:pPr>
        <w:spacing w:after="0"/>
        <w:jc w:val="center"/>
        <w:rPr>
          <w:rStyle w:val="BookTitle"/>
          <w:rFonts w:cs="Arial"/>
          <w:b w:val="0"/>
          <w:bCs w:val="0"/>
          <w:iCs w:val="0"/>
          <w:spacing w:val="0"/>
          <w:sz w:val="26"/>
          <w:szCs w:val="26"/>
        </w:rPr>
      </w:pPr>
      <w:bookmarkStart w:id="0" w:name="_GoBack"/>
      <w:bookmarkEnd w:id="0"/>
      <w:r w:rsidRPr="002C3F34">
        <w:rPr>
          <w:noProof/>
          <w:lang w:eastAsia="en-GB"/>
        </w:rPr>
        <w:drawing>
          <wp:inline distT="0" distB="0" distL="0" distR="0">
            <wp:extent cx="2876550" cy="895350"/>
            <wp:effectExtent l="0" t="0" r="0" b="0"/>
            <wp:docPr id="1" name="Picture 1" descr="C:\Users\a9371709\AppData\Local\Microsoft\Windows\Temporary Internet Files\Content.Outlook\2QYF10KU\Derbyshire CC Logo_no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371709\AppData\Local\Microsoft\Windows\Temporary Internet Files\Content.Outlook\2QYF10KU\Derbyshire CC Logo_no strap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EB" w:rsidRPr="004D1CEB" w:rsidRDefault="004D1CEB" w:rsidP="004D1CEB">
      <w:pPr>
        <w:spacing w:after="0"/>
        <w:jc w:val="center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4D1CEB" w:rsidRDefault="00453A41" w:rsidP="004D1CEB">
      <w:pPr>
        <w:spacing w:after="0"/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Protocol for M</w:t>
      </w:r>
      <w:r w:rsidR="0090139A" w:rsidRP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anagement of u</w:t>
      </w:r>
      <w:r w:rsidR="009701B8" w:rsidRP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nallocated </w:t>
      </w:r>
      <w:r w:rsid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cases in </w:t>
      </w:r>
    </w:p>
    <w:p w:rsidR="004A47B0" w:rsidRPr="004D1CEB" w:rsidRDefault="00453A41" w:rsidP="004D1CEB">
      <w:pPr>
        <w:spacing w:after="0"/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C</w:t>
      </w:r>
      <w:r w:rsid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hildren’s </w:t>
      </w: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S</w:t>
      </w:r>
      <w:r w:rsid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 xml:space="preserve">ocial </w:t>
      </w:r>
      <w:r w:rsidR="00A0313A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C</w:t>
      </w:r>
      <w:r w:rsidR="004D1CEB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  <w:u w:val="single"/>
        </w:rPr>
        <w:t>are</w:t>
      </w:r>
    </w:p>
    <w:p w:rsidR="009701B8" w:rsidRPr="004D1CEB" w:rsidRDefault="009701B8" w:rsidP="004D1CEB">
      <w:pPr>
        <w:spacing w:after="0"/>
        <w:rPr>
          <w:rStyle w:val="BookTitle"/>
          <w:rFonts w:cs="Arial"/>
          <w:bCs w:val="0"/>
          <w:i w:val="0"/>
          <w:iCs w:val="0"/>
          <w:spacing w:val="0"/>
          <w:sz w:val="26"/>
          <w:szCs w:val="26"/>
          <w:u w:val="single"/>
        </w:rPr>
      </w:pPr>
    </w:p>
    <w:p w:rsidR="004C5B60" w:rsidRDefault="004C5B60" w:rsidP="004D1CEB">
      <w:pPr>
        <w:spacing w:after="0"/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  <w:t>Background</w:t>
      </w:r>
    </w:p>
    <w:p w:rsidR="004D1CEB" w:rsidRPr="004D1CEB" w:rsidRDefault="004D1CEB" w:rsidP="004D1CEB">
      <w:pPr>
        <w:spacing w:after="0"/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</w:pPr>
    </w:p>
    <w:p w:rsidR="004C5B60" w:rsidRDefault="004C5B6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For the purposes of this protocol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unallocated casework is any </w:t>
      </w:r>
      <w:r w:rsidR="00B023CB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child’s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case held in children’s social care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pending assessment </w:t>
      </w:r>
      <w:r w:rsidR="000F4155" w:rsidRPr="006D70D9"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  <w:t>or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further work and the case has</w:t>
      </w:r>
      <w:r w:rsidR="0090139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not been allocated to a worker 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for five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or more working</w:t>
      </w:r>
      <w:r w:rsidR="0090139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days.</w:t>
      </w:r>
    </w:p>
    <w:p w:rsidR="005C6D65" w:rsidRDefault="005C6D65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5C6D65" w:rsidRDefault="005C6D65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5C6D6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  <w:u w:val="single"/>
        </w:rPr>
        <w:t>Only in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  <w:u w:val="single"/>
        </w:rPr>
        <w:t xml:space="preserve"> very</w:t>
      </w:r>
      <w:r w:rsidRPr="005C6D6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  <w:u w:val="single"/>
        </w:rPr>
        <w:t xml:space="preserve"> exceptional circumstances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should cases be unallocated in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locality social work teams.</w:t>
      </w:r>
    </w:p>
    <w:p w:rsidR="004D1CEB" w:rsidRPr="004D1CEB" w:rsidRDefault="004D1CEB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425653" w:rsidRPr="004D1CEB" w:rsidRDefault="00B408D5" w:rsidP="004D1CEB">
      <w:pPr>
        <w:pStyle w:val="NoSpacing"/>
        <w:jc w:val="both"/>
        <w:rPr>
          <w:sz w:val="26"/>
          <w:szCs w:val="26"/>
        </w:rPr>
      </w:pPr>
      <w:r w:rsidRPr="004D1CEB">
        <w:rPr>
          <w:sz w:val="26"/>
          <w:szCs w:val="26"/>
        </w:rPr>
        <w:t xml:space="preserve">The Head of Service </w:t>
      </w:r>
      <w:r w:rsidR="00425653" w:rsidRPr="004D1CEB">
        <w:rPr>
          <w:sz w:val="26"/>
          <w:szCs w:val="26"/>
        </w:rPr>
        <w:t>Locality</w:t>
      </w:r>
      <w:r w:rsidRPr="004D1CEB">
        <w:rPr>
          <w:sz w:val="26"/>
          <w:szCs w:val="26"/>
        </w:rPr>
        <w:t xml:space="preserve"> must </w:t>
      </w:r>
      <w:r w:rsidR="004D1CEB">
        <w:rPr>
          <w:sz w:val="26"/>
          <w:szCs w:val="26"/>
        </w:rPr>
        <w:t xml:space="preserve">provide the </w:t>
      </w:r>
      <w:r w:rsidR="00425653" w:rsidRPr="004D1CEB">
        <w:rPr>
          <w:sz w:val="26"/>
          <w:szCs w:val="26"/>
        </w:rPr>
        <w:t>Assistant Director with details of unallocated cases on a weekly basis (</w:t>
      </w:r>
      <w:r w:rsidR="004D1CEB">
        <w:rPr>
          <w:sz w:val="26"/>
          <w:szCs w:val="26"/>
        </w:rPr>
        <w:t>standard proforma A</w:t>
      </w:r>
      <w:r w:rsidR="00425653" w:rsidRPr="004D1CEB">
        <w:rPr>
          <w:sz w:val="26"/>
          <w:szCs w:val="26"/>
        </w:rPr>
        <w:t>ppendix 1)</w:t>
      </w:r>
      <w:r w:rsidR="002A37B3">
        <w:rPr>
          <w:sz w:val="26"/>
          <w:szCs w:val="26"/>
        </w:rPr>
        <w:t>.</w:t>
      </w:r>
    </w:p>
    <w:p w:rsidR="00425653" w:rsidRPr="004D1CEB" w:rsidRDefault="00425653" w:rsidP="004D1CEB">
      <w:pPr>
        <w:pStyle w:val="NoSpacing"/>
        <w:jc w:val="both"/>
        <w:rPr>
          <w:rStyle w:val="BookTitle"/>
          <w:b w:val="0"/>
          <w:bCs w:val="0"/>
          <w:i w:val="0"/>
          <w:iCs w:val="0"/>
          <w:spacing w:val="0"/>
          <w:sz w:val="26"/>
          <w:szCs w:val="26"/>
        </w:rPr>
      </w:pPr>
    </w:p>
    <w:p w:rsidR="009701B8" w:rsidRDefault="009701B8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The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unallocated case lists</w:t>
      </w:r>
      <w:r w:rsidR="002A37B3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are also received by Management I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nformation who use the information 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to populate the </w:t>
      </w:r>
      <w:r w:rsidR="007F654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Performance Improvement Board (S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afeguarding) monthly report. </w:t>
      </w:r>
    </w:p>
    <w:p w:rsidR="004D1CEB" w:rsidRPr="004D1CEB" w:rsidRDefault="004D1CEB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9701B8" w:rsidRPr="004D1CEB" w:rsidRDefault="009701B8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This </w:t>
      </w:r>
      <w:r w:rsidR="00C76C51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provides a line of s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ght for the Head of Service, </w:t>
      </w:r>
      <w:r w:rsidR="00C76C51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</w:t>
      </w:r>
      <w:r w:rsidR="00651C8E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ssistant Director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="00651C8E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Early Help and Safeguarding 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and the Performance Improvement Board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on 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unallocated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c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asework d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ue to delays in allocation following referral or through the transition of workers.</w:t>
      </w:r>
    </w:p>
    <w:p w:rsidR="004C5B60" w:rsidRPr="004D1CEB" w:rsidRDefault="004C5B6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4C5B60" w:rsidRDefault="004C5B60" w:rsidP="004D1CEB">
      <w:pPr>
        <w:spacing w:after="0"/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  <w:t>Management oversight of unallocated work</w:t>
      </w:r>
    </w:p>
    <w:p w:rsidR="004D1CEB" w:rsidRPr="004D1CEB" w:rsidRDefault="004D1CEB" w:rsidP="004D1CEB">
      <w:pPr>
        <w:spacing w:after="0"/>
        <w:rPr>
          <w:rStyle w:val="BookTitle"/>
          <w:rFonts w:cs="Arial"/>
          <w:bCs w:val="0"/>
          <w:i w:val="0"/>
          <w:iCs w:val="0"/>
          <w:spacing w:val="0"/>
          <w:sz w:val="26"/>
          <w:szCs w:val="26"/>
        </w:rPr>
      </w:pPr>
    </w:p>
    <w:p w:rsidR="00651C8E" w:rsidRDefault="00651C8E" w:rsidP="004D1CEB">
      <w:pPr>
        <w:pStyle w:val="NoSpacing"/>
        <w:jc w:val="both"/>
        <w:rPr>
          <w:sz w:val="26"/>
          <w:szCs w:val="26"/>
        </w:rPr>
      </w:pPr>
      <w:r w:rsidRPr="004D1CEB">
        <w:rPr>
          <w:sz w:val="26"/>
          <w:szCs w:val="26"/>
        </w:rPr>
        <w:t xml:space="preserve">The Head of Service will ensure action is taken to allocate casework at the earliest opportunity. </w:t>
      </w:r>
    </w:p>
    <w:p w:rsidR="004D1CEB" w:rsidRPr="004D1CEB" w:rsidRDefault="004D1CEB" w:rsidP="004D1CEB">
      <w:pPr>
        <w:pStyle w:val="NoSpacing"/>
        <w:jc w:val="both"/>
        <w:rPr>
          <w:sz w:val="26"/>
          <w:szCs w:val="26"/>
        </w:rPr>
      </w:pPr>
    </w:p>
    <w:p w:rsidR="00AE01D3" w:rsidRDefault="00651C8E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When there is a delay to the allocation of casework the Head of Service must ensure that the 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Team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Manager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review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all 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unallocated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case</w:t>
      </w:r>
      <w:r w:rsidR="0042565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at </w:t>
      </w:r>
      <w:r w:rsidR="007B712E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least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weekly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and this review is</w:t>
      </w:r>
      <w:r w:rsidR="004C5B60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="007B712E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informed by discussion with the family/carers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 the child (when appropriate)</w:t>
      </w:r>
      <w:r w:rsidR="007B712E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="00AE01D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and discuss</w:t>
      </w:r>
      <w:r w:rsidR="00B55364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ion</w:t>
      </w:r>
      <w:r w:rsidR="00AE01D3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with other involved</w:t>
      </w:r>
      <w:r w:rsidR="00B55364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agencies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.</w:t>
      </w:r>
    </w:p>
    <w:p w:rsidR="006D70D9" w:rsidRDefault="006D70D9" w:rsidP="006D70D9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Every unallocated case must have the manager’s oversight clearly recorded in case notes on the child’s file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and t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his should consider the risk assessment pending allocation. </w:t>
      </w:r>
    </w:p>
    <w:p w:rsidR="006D70D9" w:rsidRDefault="006D70D9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4D1CEB" w:rsidRPr="004D1CEB" w:rsidRDefault="004D1CEB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EE4BDD" w:rsidRDefault="00EE4BDD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lastRenderedPageBreak/>
        <w:t>Should</w:t>
      </w:r>
      <w:r w:rsidR="005C6D6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an allocated social worker 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be </w:t>
      </w:r>
      <w:r w:rsidR="005C6D6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off work 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(for example due to </w:t>
      </w:r>
      <w:r w:rsidR="005C6D65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sickness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)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the Team Manager must ensure that each 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of their 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case</w:t>
      </w:r>
      <w:r w:rsidR="006D70D9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is risk assessed for impact. </w:t>
      </w:r>
    </w:p>
    <w:p w:rsidR="00723400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5C6D65" w:rsidRDefault="006D70D9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If the allocated </w:t>
      </w:r>
      <w:r w:rsidR="00EE4B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workers absence extends for over 4 weeks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="00EE4B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then cases should be reallocated or interim activity commenced to specifically support the child’s plan. This should be clearly outlined in the case record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by the Team Manager</w:t>
      </w:r>
      <w:r w:rsidR="00EE4BDD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.</w:t>
      </w:r>
    </w:p>
    <w:p w:rsidR="004D1CEB" w:rsidRPr="004D1CEB" w:rsidRDefault="004D1CEB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AE01D3" w:rsidRDefault="00AE01D3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Any concerns 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about risk in individu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al casework or through the accum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ulation of unallocated cases 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should be escalated to the Head of Service Locality and the A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ssistant Director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Early Help and Safeguarding.</w:t>
      </w:r>
    </w:p>
    <w:p w:rsidR="00723400" w:rsidRPr="004D1CEB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4C5B60" w:rsidRDefault="004C5B6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In the absence of the A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ssistant Director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Early Help and Safeguarding</w:t>
      </w:r>
      <w:r w:rsidR="00B408D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the Hea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d of Service should alert the Assistant Director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Specialist Services and</w:t>
      </w:r>
      <w:r w:rsidR="00E06B6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/or 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Service </w:t>
      </w:r>
      <w:r w:rsidR="00E06B6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Director</w:t>
      </w:r>
      <w:r w:rsid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,</w:t>
      </w:r>
      <w:r w:rsidR="00E06B6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 </w:t>
      </w:r>
      <w:r w:rsidR="000F4155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Early Help and Safeguarding </w:t>
      </w:r>
      <w:r w:rsidR="00E06B6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should there be any </w:t>
      </w:r>
      <w:r w:rsidR="00B339FD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 xml:space="preserve">escalating </w:t>
      </w:r>
      <w:r w:rsidR="00E06B6A" w:rsidRPr="004D1CEB"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concerns in relation to unallocated cases.</w:t>
      </w:r>
    </w:p>
    <w:p w:rsidR="00723400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723400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Responsible Officer – Pete Lambert</w:t>
      </w:r>
    </w:p>
    <w:p w:rsidR="00723400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723400" w:rsidRPr="004D1CEB" w:rsidRDefault="0072340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  <w:t>Date of Next Review – End of October 2019</w:t>
      </w:r>
    </w:p>
    <w:p w:rsidR="004C5B60" w:rsidRPr="004D1CEB" w:rsidRDefault="004C5B60" w:rsidP="004D1C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6"/>
          <w:szCs w:val="26"/>
        </w:rPr>
      </w:pPr>
    </w:p>
    <w:p w:rsidR="002879D1" w:rsidRDefault="002879D1">
      <w:pPr>
        <w:rPr>
          <w:rStyle w:val="BookTitle"/>
          <w:rFonts w:cs="Arial"/>
          <w:bCs w:val="0"/>
          <w:iCs w:val="0"/>
          <w:spacing w:val="0"/>
          <w:sz w:val="26"/>
          <w:szCs w:val="26"/>
        </w:rPr>
      </w:pPr>
    </w:p>
    <w:p w:rsidR="002879D1" w:rsidRDefault="002879D1">
      <w:pPr>
        <w:rPr>
          <w:rStyle w:val="BookTitle"/>
          <w:rFonts w:cs="Arial"/>
          <w:bCs w:val="0"/>
          <w:iCs w:val="0"/>
          <w:spacing w:val="0"/>
          <w:sz w:val="26"/>
          <w:szCs w:val="26"/>
        </w:rPr>
      </w:pPr>
    </w:p>
    <w:p w:rsidR="002879D1" w:rsidRPr="002879D1" w:rsidRDefault="002879D1">
      <w:pPr>
        <w:rPr>
          <w:rStyle w:val="BookTitle"/>
          <w:rFonts w:cs="Arial"/>
          <w:b w:val="0"/>
          <w:bCs w:val="0"/>
          <w:i w:val="0"/>
          <w:iCs w:val="0"/>
          <w:spacing w:val="0"/>
          <w:sz w:val="12"/>
          <w:szCs w:val="12"/>
        </w:rPr>
      </w:pPr>
      <w:r w:rsidRPr="002879D1">
        <w:rPr>
          <w:rStyle w:val="BookTitle"/>
          <w:rFonts w:cs="Arial"/>
          <w:b w:val="0"/>
          <w:bCs w:val="0"/>
          <w:i w:val="0"/>
          <w:iCs w:val="0"/>
          <w:spacing w:val="0"/>
          <w:sz w:val="12"/>
          <w:szCs w:val="12"/>
        </w:rPr>
        <w:fldChar w:fldCharType="begin"/>
      </w:r>
      <w:r w:rsidRPr="002879D1">
        <w:rPr>
          <w:rStyle w:val="BookTitle"/>
          <w:rFonts w:cs="Arial"/>
          <w:b w:val="0"/>
          <w:bCs w:val="0"/>
          <w:i w:val="0"/>
          <w:iCs w:val="0"/>
          <w:spacing w:val="0"/>
          <w:sz w:val="12"/>
          <w:szCs w:val="12"/>
        </w:rPr>
        <w:instrText xml:space="preserve"> FILENAME  \* Caps \p  \* MERGEFORMAT </w:instrText>
      </w:r>
      <w:r w:rsidRPr="002879D1">
        <w:rPr>
          <w:rStyle w:val="BookTitle"/>
          <w:rFonts w:cs="Arial"/>
          <w:b w:val="0"/>
          <w:bCs w:val="0"/>
          <w:i w:val="0"/>
          <w:iCs w:val="0"/>
          <w:spacing w:val="0"/>
          <w:sz w:val="12"/>
          <w:szCs w:val="12"/>
        </w:rPr>
        <w:fldChar w:fldCharType="separate"/>
      </w:r>
      <w:r w:rsidRPr="002879D1">
        <w:rPr>
          <w:rStyle w:val="BookTitle"/>
          <w:rFonts w:cs="Arial"/>
          <w:b w:val="0"/>
          <w:bCs w:val="0"/>
          <w:i w:val="0"/>
          <w:iCs w:val="0"/>
          <w:noProof/>
          <w:spacing w:val="0"/>
          <w:sz w:val="12"/>
          <w:szCs w:val="12"/>
        </w:rPr>
        <w:t>\\D-Fs07\SMT PAS\Peter Lambert\SMT\Unallocated Cases In Children.Docx</w:t>
      </w:r>
      <w:r w:rsidRPr="002879D1">
        <w:rPr>
          <w:rStyle w:val="BookTitle"/>
          <w:rFonts w:cs="Arial"/>
          <w:b w:val="0"/>
          <w:bCs w:val="0"/>
          <w:i w:val="0"/>
          <w:iCs w:val="0"/>
          <w:spacing w:val="0"/>
          <w:sz w:val="12"/>
          <w:szCs w:val="12"/>
        </w:rPr>
        <w:fldChar w:fldCharType="end"/>
      </w:r>
    </w:p>
    <w:p w:rsidR="002879D1" w:rsidRDefault="002879D1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6D70D9" w:rsidRDefault="006D70D9">
      <w:pPr>
        <w:rPr>
          <w:b/>
        </w:rPr>
      </w:pPr>
    </w:p>
    <w:p w:rsidR="004D1CEB" w:rsidRPr="004D1CEB" w:rsidRDefault="004D1CEB" w:rsidP="004D1CEB">
      <w:pPr>
        <w:jc w:val="right"/>
        <w:rPr>
          <w:b/>
        </w:rPr>
      </w:pPr>
      <w:r>
        <w:rPr>
          <w:b/>
        </w:rPr>
        <w:lastRenderedPageBreak/>
        <w:t>Appendix 1</w:t>
      </w:r>
    </w:p>
    <w:p w:rsidR="004D1CEB" w:rsidRPr="004D1CEB" w:rsidRDefault="004D1CEB" w:rsidP="004D1CEB">
      <w:pPr>
        <w:jc w:val="center"/>
        <w:rPr>
          <w:b/>
          <w:u w:val="single"/>
        </w:rPr>
      </w:pPr>
      <w:r>
        <w:rPr>
          <w:b/>
          <w:u w:val="single"/>
        </w:rPr>
        <w:t>UNALLOCATED WORK – WEEKLY RETURN</w:t>
      </w:r>
    </w:p>
    <w:p w:rsidR="004D1CEB" w:rsidRDefault="004D1CEB" w:rsidP="004D1CEB">
      <w:pPr>
        <w:jc w:val="center"/>
      </w:pPr>
      <w:r>
        <w:t>Cases should only be reported as unallocated if they have remained unallocated for 5 or more working days.</w:t>
      </w:r>
    </w:p>
    <w:p w:rsidR="004D1CEB" w:rsidRDefault="004D1CEB" w:rsidP="004D1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4"/>
      </w:tblGrid>
      <w:tr w:rsidR="004D1CEB" w:rsidTr="005B20A7">
        <w:tc>
          <w:tcPr>
            <w:tcW w:w="2376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Locality:</w:t>
            </w:r>
          </w:p>
          <w:p w:rsidR="004D1CEB" w:rsidRPr="003320A2" w:rsidRDefault="004D1CEB" w:rsidP="005B20A7">
            <w:pPr>
              <w:rPr>
                <w:b/>
              </w:rPr>
            </w:pPr>
          </w:p>
        </w:tc>
        <w:tc>
          <w:tcPr>
            <w:tcW w:w="6866" w:type="dxa"/>
          </w:tcPr>
          <w:p w:rsidR="004D1CEB" w:rsidRDefault="004D1CEB" w:rsidP="005B20A7"/>
          <w:p w:rsidR="004D1CEB" w:rsidRDefault="004D1CEB" w:rsidP="005B20A7"/>
        </w:tc>
      </w:tr>
      <w:tr w:rsidR="004D1CEB" w:rsidTr="005B20A7">
        <w:tc>
          <w:tcPr>
            <w:tcW w:w="2376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Date of Return:</w:t>
            </w:r>
          </w:p>
          <w:p w:rsidR="004D1CEB" w:rsidRDefault="004D1CEB" w:rsidP="005B20A7">
            <w:pPr>
              <w:rPr>
                <w:b/>
              </w:rPr>
            </w:pPr>
          </w:p>
        </w:tc>
        <w:tc>
          <w:tcPr>
            <w:tcW w:w="6866" w:type="dxa"/>
          </w:tcPr>
          <w:p w:rsidR="004D1CEB" w:rsidRDefault="004D1CEB" w:rsidP="005B20A7"/>
          <w:p w:rsidR="004D1CEB" w:rsidRDefault="004D1CEB" w:rsidP="005B20A7"/>
        </w:tc>
      </w:tr>
    </w:tbl>
    <w:p w:rsidR="004D1CEB" w:rsidRDefault="004D1CEB" w:rsidP="004D1CEB"/>
    <w:p w:rsidR="004D1CEB" w:rsidRDefault="004D1CEB" w:rsidP="004D1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680"/>
        <w:gridCol w:w="5398"/>
      </w:tblGrid>
      <w:tr w:rsidR="004D1CEB" w:rsidTr="005B20A7">
        <w:tc>
          <w:tcPr>
            <w:tcW w:w="1951" w:type="dxa"/>
          </w:tcPr>
          <w:p w:rsidR="004D1CEB" w:rsidRDefault="004D1CEB" w:rsidP="005B20A7">
            <w:pPr>
              <w:jc w:val="center"/>
            </w:pPr>
          </w:p>
        </w:tc>
        <w:tc>
          <w:tcPr>
            <w:tcW w:w="1701" w:type="dxa"/>
          </w:tcPr>
          <w:p w:rsidR="004D1CEB" w:rsidRDefault="004D1CEB" w:rsidP="005B20A7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4D1CEB" w:rsidRPr="001D6DE1" w:rsidRDefault="004D1CEB" w:rsidP="005B20A7">
            <w:pPr>
              <w:jc w:val="center"/>
            </w:pPr>
            <w:r>
              <w:rPr>
                <w:b/>
              </w:rPr>
              <w:t>Children</w:t>
            </w:r>
          </w:p>
        </w:tc>
        <w:tc>
          <w:tcPr>
            <w:tcW w:w="5590" w:type="dxa"/>
          </w:tcPr>
          <w:p w:rsidR="004D1CEB" w:rsidRPr="001D6DE1" w:rsidRDefault="004D1CEB" w:rsidP="005B20A7">
            <w:pPr>
              <w:jc w:val="center"/>
            </w:pPr>
            <w:r>
              <w:rPr>
                <w:b/>
              </w:rPr>
              <w:t>Notes</w:t>
            </w:r>
          </w:p>
        </w:tc>
      </w:tr>
      <w:tr w:rsidR="004D1CEB" w:rsidTr="005B20A7">
        <w:tc>
          <w:tcPr>
            <w:tcW w:w="1951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Single Assessment</w:t>
            </w:r>
          </w:p>
          <w:p w:rsidR="004D1CEB" w:rsidRPr="001D6DE1" w:rsidRDefault="004D1CEB" w:rsidP="005B20A7"/>
        </w:tc>
        <w:tc>
          <w:tcPr>
            <w:tcW w:w="1701" w:type="dxa"/>
          </w:tcPr>
          <w:p w:rsidR="004D1CEB" w:rsidRDefault="004D1CEB" w:rsidP="005B20A7"/>
        </w:tc>
        <w:tc>
          <w:tcPr>
            <w:tcW w:w="5590" w:type="dxa"/>
          </w:tcPr>
          <w:p w:rsidR="004D1CEB" w:rsidRDefault="004D1CEB" w:rsidP="005B20A7"/>
          <w:p w:rsidR="004D1CEB" w:rsidRDefault="004D1CEB" w:rsidP="005B20A7"/>
        </w:tc>
      </w:tr>
      <w:tr w:rsidR="004D1CEB" w:rsidTr="005B20A7">
        <w:tc>
          <w:tcPr>
            <w:tcW w:w="1951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S47</w:t>
            </w:r>
          </w:p>
          <w:p w:rsidR="004D1CEB" w:rsidRPr="001D6DE1" w:rsidRDefault="004D1CEB" w:rsidP="005B20A7"/>
        </w:tc>
        <w:tc>
          <w:tcPr>
            <w:tcW w:w="1701" w:type="dxa"/>
          </w:tcPr>
          <w:p w:rsidR="004D1CEB" w:rsidRDefault="004D1CEB" w:rsidP="005B20A7"/>
        </w:tc>
        <w:tc>
          <w:tcPr>
            <w:tcW w:w="5590" w:type="dxa"/>
          </w:tcPr>
          <w:p w:rsidR="004D1CEB" w:rsidRDefault="004D1CEB" w:rsidP="005B20A7"/>
        </w:tc>
      </w:tr>
      <w:tr w:rsidR="004D1CEB" w:rsidTr="005B20A7">
        <w:tc>
          <w:tcPr>
            <w:tcW w:w="1951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CIN</w:t>
            </w:r>
          </w:p>
          <w:p w:rsidR="004D1CEB" w:rsidRPr="001D6DE1" w:rsidRDefault="004D1CEB" w:rsidP="005B20A7"/>
        </w:tc>
        <w:tc>
          <w:tcPr>
            <w:tcW w:w="1701" w:type="dxa"/>
          </w:tcPr>
          <w:p w:rsidR="004D1CEB" w:rsidRDefault="004D1CEB" w:rsidP="005B20A7"/>
        </w:tc>
        <w:tc>
          <w:tcPr>
            <w:tcW w:w="5590" w:type="dxa"/>
          </w:tcPr>
          <w:p w:rsidR="004D1CEB" w:rsidRDefault="004D1CEB" w:rsidP="005B20A7"/>
          <w:p w:rsidR="004D1CEB" w:rsidRDefault="004D1CEB" w:rsidP="005B20A7"/>
        </w:tc>
      </w:tr>
      <w:tr w:rsidR="004D1CEB" w:rsidTr="005B20A7">
        <w:tc>
          <w:tcPr>
            <w:tcW w:w="1951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CP</w:t>
            </w:r>
          </w:p>
          <w:p w:rsidR="004D1CEB" w:rsidRPr="001D6DE1" w:rsidRDefault="004D1CEB" w:rsidP="005B20A7"/>
        </w:tc>
        <w:tc>
          <w:tcPr>
            <w:tcW w:w="1701" w:type="dxa"/>
          </w:tcPr>
          <w:p w:rsidR="004D1CEB" w:rsidRDefault="004D1CEB" w:rsidP="005B20A7"/>
        </w:tc>
        <w:tc>
          <w:tcPr>
            <w:tcW w:w="5590" w:type="dxa"/>
          </w:tcPr>
          <w:p w:rsidR="004D1CEB" w:rsidRDefault="004D1CEB" w:rsidP="005B20A7"/>
        </w:tc>
      </w:tr>
      <w:tr w:rsidR="004D1CEB" w:rsidTr="005B20A7">
        <w:tc>
          <w:tcPr>
            <w:tcW w:w="1951" w:type="dxa"/>
          </w:tcPr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  <w:r>
              <w:rPr>
                <w:b/>
              </w:rPr>
              <w:t>CIC</w:t>
            </w:r>
          </w:p>
          <w:p w:rsidR="004D1CEB" w:rsidRPr="001D6DE1" w:rsidRDefault="004D1CEB" w:rsidP="005B20A7"/>
        </w:tc>
        <w:tc>
          <w:tcPr>
            <w:tcW w:w="1701" w:type="dxa"/>
          </w:tcPr>
          <w:p w:rsidR="004D1CEB" w:rsidRDefault="004D1CEB" w:rsidP="005B20A7"/>
        </w:tc>
        <w:tc>
          <w:tcPr>
            <w:tcW w:w="5590" w:type="dxa"/>
          </w:tcPr>
          <w:p w:rsidR="004D1CEB" w:rsidRDefault="004D1CEB" w:rsidP="005B20A7"/>
        </w:tc>
      </w:tr>
      <w:tr w:rsidR="004D1CEB" w:rsidTr="005B20A7">
        <w:tc>
          <w:tcPr>
            <w:tcW w:w="9242" w:type="dxa"/>
            <w:gridSpan w:val="3"/>
          </w:tcPr>
          <w:p w:rsidR="004D1CEB" w:rsidRDefault="004D1CEB" w:rsidP="005B20A7">
            <w:pPr>
              <w:rPr>
                <w:b/>
              </w:rPr>
            </w:pPr>
          </w:p>
          <w:p w:rsidR="00472432" w:rsidRDefault="00472432" w:rsidP="005B20A7">
            <w:pPr>
              <w:rPr>
                <w:b/>
              </w:rPr>
            </w:pPr>
            <w:r>
              <w:rPr>
                <w:b/>
              </w:rPr>
              <w:t xml:space="preserve">Head of Service comment on any unallocated cases </w:t>
            </w:r>
          </w:p>
          <w:p w:rsidR="00472432" w:rsidRDefault="00472432" w:rsidP="005B20A7">
            <w:pPr>
              <w:rPr>
                <w:b/>
              </w:rPr>
            </w:pPr>
            <w:r>
              <w:rPr>
                <w:b/>
              </w:rPr>
              <w:t>(please consider the risk assessment and actions taken as per unallocated cases protocol)</w:t>
            </w: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rFonts w:cs="Arial"/>
                <w:color w:val="1F497D"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>
            <w:pPr>
              <w:rPr>
                <w:b/>
              </w:rPr>
            </w:pPr>
          </w:p>
          <w:p w:rsidR="004D1CEB" w:rsidRDefault="004D1CEB" w:rsidP="005B20A7"/>
        </w:tc>
      </w:tr>
    </w:tbl>
    <w:p w:rsidR="004D1CEB" w:rsidRPr="004D1CEB" w:rsidRDefault="004D1CEB" w:rsidP="00472432">
      <w:pPr>
        <w:spacing w:after="0" w:line="240" w:lineRule="auto"/>
        <w:rPr>
          <w:rStyle w:val="BookTitle"/>
          <w:rFonts w:cs="Arial"/>
          <w:bCs w:val="0"/>
          <w:iCs w:val="0"/>
          <w:spacing w:val="0"/>
          <w:sz w:val="26"/>
          <w:szCs w:val="26"/>
        </w:rPr>
      </w:pPr>
    </w:p>
    <w:sectPr w:rsidR="004D1CEB" w:rsidRPr="004D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B8"/>
    <w:rsid w:val="000F4155"/>
    <w:rsid w:val="00231D69"/>
    <w:rsid w:val="002879D1"/>
    <w:rsid w:val="002A37B3"/>
    <w:rsid w:val="00342E94"/>
    <w:rsid w:val="00425653"/>
    <w:rsid w:val="00432CC9"/>
    <w:rsid w:val="00453A41"/>
    <w:rsid w:val="00472432"/>
    <w:rsid w:val="004A47B0"/>
    <w:rsid w:val="004C5145"/>
    <w:rsid w:val="004C5B60"/>
    <w:rsid w:val="004D1CEB"/>
    <w:rsid w:val="005C6D65"/>
    <w:rsid w:val="005D5CD1"/>
    <w:rsid w:val="005F1C36"/>
    <w:rsid w:val="00651C8E"/>
    <w:rsid w:val="0067310B"/>
    <w:rsid w:val="006D70D9"/>
    <w:rsid w:val="00723400"/>
    <w:rsid w:val="007B712E"/>
    <w:rsid w:val="007F6545"/>
    <w:rsid w:val="008812AE"/>
    <w:rsid w:val="008E4E7A"/>
    <w:rsid w:val="0090139A"/>
    <w:rsid w:val="00912090"/>
    <w:rsid w:val="009701B8"/>
    <w:rsid w:val="00A0313A"/>
    <w:rsid w:val="00AE01D3"/>
    <w:rsid w:val="00B023CB"/>
    <w:rsid w:val="00B339FD"/>
    <w:rsid w:val="00B408D5"/>
    <w:rsid w:val="00B55364"/>
    <w:rsid w:val="00C76C51"/>
    <w:rsid w:val="00CD69FD"/>
    <w:rsid w:val="00D51237"/>
    <w:rsid w:val="00E06B6A"/>
    <w:rsid w:val="00EE4BDD"/>
    <w:rsid w:val="00F06FB4"/>
    <w:rsid w:val="00F1287F"/>
    <w:rsid w:val="00F32F85"/>
    <w:rsid w:val="00F3550D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849B-5A60-4B93-8414-FED67F86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link w:val="NoSpacingChar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customStyle="1" w:styleId="NoSpacingChar">
    <w:name w:val="No Spacing Char"/>
    <w:link w:val="NoSpacing"/>
    <w:uiPriority w:val="1"/>
    <w:rsid w:val="00425653"/>
    <w:rPr>
      <w:rFonts w:ascii="Arial" w:hAnsi="Arial"/>
    </w:rPr>
  </w:style>
  <w:style w:type="table" w:styleId="TableGrid">
    <w:name w:val="Table Grid"/>
    <w:basedOn w:val="TableNormal"/>
    <w:uiPriority w:val="59"/>
    <w:rsid w:val="004D1CE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Lambert (Childrens Services)</dc:creator>
  <cp:keywords/>
  <dc:description/>
  <cp:lastModifiedBy>Sophie James (Childrens Services)</cp:lastModifiedBy>
  <cp:revision>2</cp:revision>
  <dcterms:created xsi:type="dcterms:W3CDTF">2019-05-02T07:44:00Z</dcterms:created>
  <dcterms:modified xsi:type="dcterms:W3CDTF">2019-05-02T07:44:00Z</dcterms:modified>
</cp:coreProperties>
</file>