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Northumberland Family Placement Service: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Designated Authority Support Tool:</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Decision Support Tool is to assist social workers, parents, foster carers and young people to agree the authority for day to day decision making that will be delegated to foster carers. This tool is based upon the Fostering Network Tool and their more detailed guidance can also be referred to.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It is to be used as a part of the Placement Plan and completed at the Placement Planning Meeting and each subsequent review when the Placement Plan is considered. It is an aide to good practice and is required in the Placement Planning and Case Review Regulations and Fostering Services Regulations (England) (Miscellaneous Amendments) Regulations 2013.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Decision Support Tool is not a definitive list of tasks and responsibilities: over the life of a child’s placement with Foster Carers, other areas will inevitably arise and require clarification and not all of the elements that are included will apply to every young person.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Clarifying who is best placed to take every day decisions depends on many factors: the young person’s age, views, legal status and care plan, the parent’s views and the experience and the views of the foster carers. Collaboration and consultation are essential for successful partnership working.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5925"/>
        <w:tblGridChange w:id="0">
          <w:tblGrid>
            <w:gridCol w:w="3075"/>
            <w:gridCol w:w="59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Child/Young Person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Foster Carers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Completed</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7">
      <w:pPr>
        <w:rPr>
          <w:u w:val="single"/>
        </w:rPr>
      </w:pPr>
      <w:r w:rsidDel="00000000" w:rsidR="00000000" w:rsidRPr="00000000">
        <w:rPr>
          <w:u w:val="single"/>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rPr>
          <w:b w:val="1"/>
        </w:rPr>
      </w:pPr>
      <w:r w:rsidDel="00000000" w:rsidR="00000000" w:rsidRPr="00000000">
        <w:rPr>
          <w:b w:val="1"/>
          <w:rtl w:val="0"/>
        </w:rPr>
        <w:t xml:space="preserve">Medical and dental treatment.</w:t>
      </w:r>
    </w:p>
    <w:p w:rsidR="00000000" w:rsidDel="00000000" w:rsidP="00000000" w:rsidRDefault="00000000" w:rsidRPr="00000000" w14:paraId="00000025">
      <w:pPr>
        <w:rPr/>
      </w:pPr>
      <w:r w:rsidDel="00000000" w:rsidR="00000000" w:rsidRPr="00000000">
        <w:rPr>
          <w:rtl w:val="0"/>
        </w:rPr>
      </w:r>
    </w:p>
    <w:tbl>
      <w:tblPr>
        <w:tblStyle w:val="Table2"/>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Consent/agreement/task</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 has authority to give consent/agreement or undertake the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Notes: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(Inc. notifications, prior consultation/recording requirement/ 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 Signed consent to emergency medical treatment (incl. anaesthetic)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 Consent - routine immunisations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1.3 Planned medical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1.4 Medical procedure carried out in the home where the person administering the procedure requires training (e.g. child with disability/illness)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1.5 Dental - signed consent to dental emergency treatment (incl. anaesthetic)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1.6 Dental - routine treatment (incl. anaesthetic)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1.7 Optician - appointments, glasses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1.8 Consent to examination/treatment by school 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1.9 Administration of prescribed/over the counter medications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1.10 Permission for school to administer prescribed/over the counter medications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1.11 Referral/consent for YP to access another service, eg CAMHS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2. Education.</w:t>
      </w:r>
    </w:p>
    <w:p w:rsidR="00000000" w:rsidDel="00000000" w:rsidP="00000000" w:rsidRDefault="00000000" w:rsidRPr="00000000" w14:paraId="00000056">
      <w:pPr>
        <w:rPr>
          <w:b w:val="1"/>
        </w:rPr>
      </w:pPr>
      <w:r w:rsidDel="00000000" w:rsidR="00000000" w:rsidRPr="00000000">
        <w:rPr>
          <w:rtl w:val="0"/>
        </w:rPr>
      </w:r>
    </w:p>
    <w:tbl>
      <w:tblPr>
        <w:tblStyle w:val="Table3"/>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Consent/agreement/task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 has authority to give consent/agreement or undertake the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Notes</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(Inc. notifications, prior consultation/ recording requirement/conditions)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 Signed consent for school day 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2.2 Signed consents for school trips of up to four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2.3 Signed consents for school trips of over four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2.4 School trips abroad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2.5 Using computers at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2.6 School Photos taken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 photos on facebook or media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2.7 Attendance at parent’s evenings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2.8 Attendance at PEP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2.9 Attendance at unplanned meetings, re incidents or immediate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2.10 Registering at a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2.11 Changing a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2.12 Referral/consent for YP to access another service (please specify the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2.13 Personal health and social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3. Leisure and home life.</w:t>
      </w:r>
    </w:p>
    <w:p w:rsidR="00000000" w:rsidDel="00000000" w:rsidP="00000000" w:rsidRDefault="00000000" w:rsidRPr="00000000" w14:paraId="0000008E">
      <w:pPr>
        <w:rPr/>
      </w:pPr>
      <w:r w:rsidDel="00000000" w:rsidR="00000000" w:rsidRPr="00000000">
        <w:rPr>
          <w:rtl w:val="0"/>
        </w:rPr>
      </w:r>
    </w:p>
    <w:tbl>
      <w:tblPr>
        <w:tblStyle w:val="Table4"/>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Consent/agreement/task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 has authority to give consent/agreement or undertake the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Notes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(Inc. notifications, prior consultation/ recording requirements/ 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3.1 Passport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Can only be applied for by someone holding PR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3.2 Overnight with friends (‘sleepovers’)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3.3 Holidays within the British Isles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3.4 Holidays outside British Isles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3.5 Sports / social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3.6 More hazardous activities, e.g horse-riding, skiing, rock climbing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3.7 Haircuts/colouring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3.8 Body piercing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It is illegal for under 16’s to have their genitals pierced. It is also illegal for females under 16 to have their breasts pierced, although this does not apply to males under 16.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3.9 Tattoos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It is illegal to tattoo anyone under the age of 18.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3.10 Part-time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u w:val="single"/>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4. Faith and religious observance.</w:t>
      </w:r>
    </w:p>
    <w:p w:rsidR="00000000" w:rsidDel="00000000" w:rsidP="00000000" w:rsidRDefault="00000000" w:rsidRPr="00000000" w14:paraId="000000C2">
      <w:pPr>
        <w:rPr/>
      </w:pPr>
      <w:r w:rsidDel="00000000" w:rsidR="00000000" w:rsidRPr="00000000">
        <w:rPr>
          <w:rtl w:val="0"/>
        </w:rPr>
        <w:t xml:space="preserve">Particular care should be taken to ensure that foster carers respect the wishes of parents in regard to religious observance and practices. Foster Carers must not engage young people in any religious observance, attendance at place of worship or other faith based activity without the express permission of those with parental responsibility. The details must be carefully recorded of any agreed delegated authority.</w:t>
      </w:r>
    </w:p>
    <w:p w:rsidR="00000000" w:rsidDel="00000000" w:rsidP="00000000" w:rsidRDefault="00000000" w:rsidRPr="00000000" w14:paraId="000000C3">
      <w:pPr>
        <w:rPr/>
      </w:pPr>
      <w:r w:rsidDel="00000000" w:rsidR="00000000" w:rsidRPr="00000000">
        <w:rPr>
          <w:rtl w:val="0"/>
        </w:rPr>
      </w:r>
    </w:p>
    <w:tbl>
      <w:tblPr>
        <w:tblStyle w:val="Table5"/>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Consent/agreement/task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 has authority to give consent/agreement or undertake the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Notes</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(Inc. notifications, prior consultation/recording requirement/conditions)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4.1 New or changes in faith, church or religious observance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4.2 Attendance at a place of worship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4.3 Engagement in faith based activities (e.g. Sunday School attendance, celebrating festivals, distribution of faith based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b w:val="1"/>
          <w:rtl w:val="0"/>
        </w:rPr>
        <w:t xml:space="preserve">5. Identity and names.</w:t>
      </w:r>
    </w:p>
    <w:p w:rsidR="00000000" w:rsidDel="00000000" w:rsidP="00000000" w:rsidRDefault="00000000" w:rsidRPr="00000000" w14:paraId="000000D9">
      <w:pPr>
        <w:rPr/>
      </w:pPr>
      <w:r w:rsidDel="00000000" w:rsidR="00000000" w:rsidRPr="00000000">
        <w:rPr>
          <w:rtl w:val="0"/>
        </w:rPr>
      </w:r>
    </w:p>
    <w:tbl>
      <w:tblPr>
        <w:tblStyle w:val="Table6"/>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Consent/agreement/task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 has authority to give consent/agreement or undertake the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Notes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(Inc. notifications, prior consultation/ recording requirements/conditions)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5.1 Life history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5.2 New or changes in ‘nicknames’, order or first names or preferred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F3">
      <w:pPr>
        <w:rPr>
          <w:b w:val="1"/>
        </w:rPr>
      </w:pPr>
      <w:r w:rsidDel="00000000" w:rsidR="00000000" w:rsidRPr="00000000">
        <w:rPr>
          <w:b w:val="1"/>
          <w:rtl w:val="0"/>
        </w:rPr>
        <w:t xml:space="preserve">Signatures.</w:t>
      </w:r>
    </w:p>
    <w:p w:rsidR="00000000" w:rsidDel="00000000" w:rsidP="00000000" w:rsidRDefault="00000000" w:rsidRPr="00000000" w14:paraId="000000F4">
      <w:pPr>
        <w:rPr/>
      </w:pPr>
      <w:r w:rsidDel="00000000" w:rsidR="00000000" w:rsidRPr="00000000">
        <w:rPr>
          <w:rtl w:val="0"/>
        </w:rPr>
        <w:t xml:space="preserve">As appropriate (Note to be used when reviewing prior to the Child/Young person’s review, otherwise attach as a part of Placement Plan and no additional signatures required.)</w:t>
      </w:r>
    </w:p>
    <w:p w:rsidR="00000000" w:rsidDel="00000000" w:rsidP="00000000" w:rsidRDefault="00000000" w:rsidRPr="00000000" w14:paraId="000000F5">
      <w:pPr>
        <w:rPr/>
      </w:pPr>
      <w:r w:rsidDel="00000000" w:rsidR="00000000" w:rsidRPr="00000000">
        <w:rPr>
          <w:rtl w:val="0"/>
        </w:rPr>
      </w:r>
    </w:p>
    <w:tbl>
      <w:tblPr>
        <w:tblStyle w:val="Table7"/>
        <w:tblW w:w="9028.9999999999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Child’s Social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Foster 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Foster 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Supervising Social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10B">
      <w:pPr>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