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83266" w:rsidRDefault="000E4910">
      <w:pPr>
        <w:pStyle w:val="normal0"/>
        <w:rPr>
          <w:color w:val="222222"/>
          <w:highlight w:val="white"/>
        </w:rPr>
      </w:pPr>
      <w:r>
        <w:rPr>
          <w:color w:val="222222"/>
          <w:highlight w:val="white"/>
        </w:rPr>
        <w:t>02/10/2019</w:t>
      </w:r>
    </w:p>
    <w:p w:rsidR="00083266" w:rsidRDefault="00083266">
      <w:pPr>
        <w:pStyle w:val="normal0"/>
        <w:rPr>
          <w:color w:val="222222"/>
          <w:highlight w:val="white"/>
        </w:rPr>
      </w:pPr>
    </w:p>
    <w:p w:rsidR="00083266" w:rsidRDefault="000E4910">
      <w:pPr>
        <w:pStyle w:val="normal0"/>
        <w:rPr>
          <w:color w:val="222222"/>
          <w:highlight w:val="white"/>
        </w:rPr>
      </w:pPr>
      <w:r>
        <w:rPr>
          <w:color w:val="222222"/>
          <w:highlight w:val="white"/>
        </w:rPr>
        <w:t>Dear All,</w:t>
      </w:r>
    </w:p>
    <w:p w:rsidR="00083266" w:rsidRDefault="00083266">
      <w:pPr>
        <w:pStyle w:val="normal0"/>
        <w:shd w:val="clear" w:color="auto" w:fill="FFFFFF"/>
        <w:rPr>
          <w:color w:val="222222"/>
        </w:rPr>
      </w:pPr>
    </w:p>
    <w:p w:rsidR="00083266" w:rsidRDefault="000E4910">
      <w:pPr>
        <w:pStyle w:val="normal0"/>
        <w:shd w:val="clear" w:color="auto" w:fill="FFFFFF"/>
        <w:rPr>
          <w:color w:val="222222"/>
        </w:rPr>
      </w:pPr>
      <w:r>
        <w:rPr>
          <w:color w:val="222222"/>
        </w:rPr>
        <w:t>As you know the Court of Protection has a safeguarding role for those who lack mental capacity. Where we are concerned about an individual and have been unable to address those concerns with those involved in their care, it is possible to ask the court for</w:t>
      </w:r>
      <w:r>
        <w:rPr>
          <w:color w:val="222222"/>
        </w:rPr>
        <w:t xml:space="preserve"> an order under s16 Mental Capacity Act 2005. S16 Mental Capacity Act allows the court to make decisions on behalf of P and in their best interests.</w:t>
      </w:r>
    </w:p>
    <w:p w:rsidR="00083266" w:rsidRDefault="00083266">
      <w:pPr>
        <w:pStyle w:val="normal0"/>
        <w:shd w:val="clear" w:color="auto" w:fill="FFFFFF"/>
        <w:rPr>
          <w:color w:val="222222"/>
        </w:rPr>
      </w:pPr>
    </w:p>
    <w:p w:rsidR="00083266" w:rsidRDefault="000E4910">
      <w:pPr>
        <w:pStyle w:val="normal0"/>
        <w:shd w:val="clear" w:color="auto" w:fill="FFFFFF"/>
        <w:rPr>
          <w:color w:val="222222"/>
        </w:rPr>
      </w:pPr>
      <w:r>
        <w:rPr>
          <w:color w:val="222222"/>
        </w:rPr>
        <w:t>As always, litigation ought to be a last resort. In that regard the Court of Protection Rules place specif</w:t>
      </w:r>
      <w:r>
        <w:rPr>
          <w:color w:val="222222"/>
        </w:rPr>
        <w:t xml:space="preserve">ic obligations on applicant local authorities which, save for urgent cases, must be complied with before a matter is issued. </w:t>
      </w:r>
    </w:p>
    <w:p w:rsidR="00083266" w:rsidRDefault="00083266">
      <w:pPr>
        <w:pStyle w:val="normal0"/>
        <w:shd w:val="clear" w:color="auto" w:fill="FFFFFF"/>
        <w:rPr>
          <w:color w:val="222222"/>
        </w:rPr>
      </w:pPr>
    </w:p>
    <w:p w:rsidR="00083266" w:rsidRDefault="000E4910">
      <w:pPr>
        <w:pStyle w:val="normal0"/>
        <w:shd w:val="clear" w:color="auto" w:fill="FFFFFF"/>
        <w:rPr>
          <w:color w:val="222222"/>
        </w:rPr>
      </w:pPr>
      <w:r>
        <w:rPr>
          <w:color w:val="222222"/>
        </w:rPr>
        <w:t>Broadly speaking we must:</w:t>
      </w:r>
    </w:p>
    <w:p w:rsidR="00083266" w:rsidRDefault="000E4910">
      <w:pPr>
        <w:pStyle w:val="normal0"/>
        <w:numPr>
          <w:ilvl w:val="0"/>
          <w:numId w:val="1"/>
        </w:numPr>
        <w:spacing w:before="200"/>
        <w:ind w:left="940"/>
      </w:pPr>
      <w:r>
        <w:rPr>
          <w:color w:val="222222"/>
        </w:rPr>
        <w:t>Take the steps to identify all potential respondents/interested parties (i.e. those involved with their</w:t>
      </w:r>
      <w:r>
        <w:rPr>
          <w:color w:val="222222"/>
        </w:rPr>
        <w:t xml:space="preserve"> care or those who have or could reasonably be expected to have </w:t>
      </w:r>
      <w:proofErr w:type="spellStart"/>
      <w:r>
        <w:rPr>
          <w:color w:val="222222"/>
        </w:rPr>
        <w:t>and</w:t>
      </w:r>
      <w:proofErr w:type="spellEnd"/>
      <w:r>
        <w:rPr>
          <w:color w:val="222222"/>
        </w:rPr>
        <w:t xml:space="preserve"> interest in P's welfare);</w:t>
      </w:r>
    </w:p>
    <w:p w:rsidR="00083266" w:rsidRDefault="000E4910">
      <w:pPr>
        <w:pStyle w:val="normal0"/>
        <w:numPr>
          <w:ilvl w:val="0"/>
          <w:numId w:val="1"/>
        </w:numPr>
        <w:ind w:left="940"/>
      </w:pPr>
      <w:r>
        <w:rPr>
          <w:color w:val="222222"/>
        </w:rPr>
        <w:t>Notify P (where possible) and the other respondents of our intention to bring proceedings;</w:t>
      </w:r>
    </w:p>
    <w:p w:rsidR="00083266" w:rsidRDefault="000E4910">
      <w:pPr>
        <w:pStyle w:val="normal0"/>
        <w:numPr>
          <w:ilvl w:val="0"/>
          <w:numId w:val="1"/>
        </w:numPr>
        <w:ind w:left="940"/>
      </w:pPr>
      <w:r>
        <w:rPr>
          <w:color w:val="222222"/>
        </w:rPr>
        <w:t>Explain to the respondents what issues we will be asking the court to d</w:t>
      </w:r>
      <w:r>
        <w:rPr>
          <w:color w:val="222222"/>
        </w:rPr>
        <w:t>ecide upon; and</w:t>
      </w:r>
    </w:p>
    <w:p w:rsidR="00083266" w:rsidRDefault="000E4910">
      <w:pPr>
        <w:pStyle w:val="normal0"/>
        <w:numPr>
          <w:ilvl w:val="0"/>
          <w:numId w:val="1"/>
        </w:numPr>
        <w:spacing w:after="200"/>
        <w:ind w:left="940"/>
      </w:pPr>
      <w:r>
        <w:rPr>
          <w:color w:val="222222"/>
        </w:rPr>
        <w:t>Attempt to resolve issues with the respondents as far as possible.</w:t>
      </w:r>
    </w:p>
    <w:p w:rsidR="00083266" w:rsidRDefault="000E4910">
      <w:pPr>
        <w:pStyle w:val="normal0"/>
        <w:shd w:val="clear" w:color="auto" w:fill="FFFFFF"/>
        <w:rPr>
          <w:color w:val="222222"/>
        </w:rPr>
      </w:pPr>
      <w:r>
        <w:rPr>
          <w:color w:val="222222"/>
        </w:rPr>
        <w:t xml:space="preserve">With a view to fulfilling </w:t>
      </w:r>
      <w:proofErr w:type="spellStart"/>
      <w:r>
        <w:rPr>
          <w:color w:val="222222"/>
        </w:rPr>
        <w:t>out</w:t>
      </w:r>
      <w:proofErr w:type="spellEnd"/>
      <w:r>
        <w:rPr>
          <w:color w:val="222222"/>
        </w:rPr>
        <w:t xml:space="preserve"> obligation under points 3 and 4 I have drafted an example letter which might assist social workers. The letter provides a template for setting </w:t>
      </w:r>
      <w:r>
        <w:rPr>
          <w:color w:val="222222"/>
        </w:rPr>
        <w:t xml:space="preserve">out our concerns and the expectations we have of those involved with P's care. </w:t>
      </w:r>
    </w:p>
    <w:p w:rsidR="00083266" w:rsidRDefault="00083266">
      <w:pPr>
        <w:pStyle w:val="normal0"/>
        <w:shd w:val="clear" w:color="auto" w:fill="FFFFFF"/>
        <w:rPr>
          <w:color w:val="222222"/>
        </w:rPr>
      </w:pPr>
    </w:p>
    <w:p w:rsidR="00083266" w:rsidRDefault="000E4910">
      <w:pPr>
        <w:pStyle w:val="normal0"/>
        <w:shd w:val="clear" w:color="auto" w:fill="FFFFFF"/>
        <w:rPr>
          <w:color w:val="222222"/>
        </w:rPr>
      </w:pPr>
      <w:r>
        <w:rPr>
          <w:color w:val="222222"/>
        </w:rPr>
        <w:t>In terms of timing, I would suggest the letter is set out at the point the social worker, in discussion with their manager, feels a referral to legal is necessary. This is not</w:t>
      </w:r>
      <w:r>
        <w:rPr>
          <w:color w:val="222222"/>
        </w:rPr>
        <w:t xml:space="preserve"> a pre-action letter (those will be sent by legal) however, it will set the ground for the council to make an application to the Court if there is not an improvement for P.</w:t>
      </w:r>
    </w:p>
    <w:p w:rsidR="00083266" w:rsidRDefault="00083266">
      <w:pPr>
        <w:pStyle w:val="normal0"/>
        <w:shd w:val="clear" w:color="auto" w:fill="FFFFFF"/>
        <w:rPr>
          <w:color w:val="222222"/>
        </w:rPr>
      </w:pPr>
    </w:p>
    <w:p w:rsidR="00083266" w:rsidRDefault="000E4910">
      <w:pPr>
        <w:pStyle w:val="normal0"/>
        <w:shd w:val="clear" w:color="auto" w:fill="FFFFFF"/>
        <w:rPr>
          <w:color w:val="222222"/>
        </w:rPr>
      </w:pPr>
      <w:r>
        <w:rPr>
          <w:color w:val="222222"/>
        </w:rPr>
        <w:t>A typical case might have a pre-proceedings stage which goes along the following l</w:t>
      </w:r>
      <w:r>
        <w:rPr>
          <w:color w:val="222222"/>
        </w:rPr>
        <w:t>ines:</w:t>
      </w:r>
    </w:p>
    <w:p w:rsidR="00083266" w:rsidRDefault="00083266">
      <w:pPr>
        <w:pStyle w:val="normal0"/>
        <w:shd w:val="clear" w:color="auto" w:fill="FFFFFF"/>
        <w:rPr>
          <w:color w:val="222222"/>
        </w:rPr>
      </w:pPr>
    </w:p>
    <w:p w:rsidR="00083266" w:rsidRDefault="000E4910">
      <w:pPr>
        <w:pStyle w:val="normal0"/>
        <w:shd w:val="clear" w:color="auto" w:fill="FFFFFF"/>
        <w:rPr>
          <w:color w:val="222222"/>
          <w:sz w:val="21"/>
          <w:szCs w:val="21"/>
        </w:rPr>
      </w:pPr>
      <w:r>
        <w:rPr>
          <w:color w:val="222222"/>
        </w:rPr>
        <w:t xml:space="preserve">Letter is sent out setting out our concerns and expectations   </w:t>
      </w:r>
      <w:r>
        <w:rPr>
          <w:rFonts w:ascii="Arial Unicode MS" w:eastAsia="Arial Unicode MS" w:hAnsi="Arial Unicode MS" w:cs="Arial Unicode MS"/>
          <w:b/>
          <w:color w:val="FF00FF"/>
          <w:sz w:val="28"/>
          <w:szCs w:val="28"/>
        </w:rPr>
        <w:t>→</w:t>
      </w:r>
      <w:r>
        <w:rPr>
          <w:color w:val="222222"/>
        </w:rPr>
        <w:t xml:space="preserve">  </w:t>
      </w:r>
      <w:r>
        <w:rPr>
          <w:color w:val="222222"/>
          <w:sz w:val="21"/>
          <w:szCs w:val="21"/>
        </w:rPr>
        <w:t xml:space="preserve">  Discussions with proposed respondents or, if appropriate, a best interests meeting to discuss social work concerns and agree actions  </w:t>
      </w:r>
      <w:r>
        <w:rPr>
          <w:rFonts w:ascii="Arial Unicode MS" w:eastAsia="Arial Unicode MS" w:hAnsi="Arial Unicode MS" w:cs="Arial Unicode MS"/>
          <w:b/>
          <w:color w:val="FF00FF"/>
          <w:sz w:val="28"/>
          <w:szCs w:val="28"/>
        </w:rPr>
        <w:t xml:space="preserve">→ </w:t>
      </w:r>
      <w:r>
        <w:rPr>
          <w:color w:val="222222"/>
        </w:rPr>
        <w:t xml:space="preserve">  </w:t>
      </w:r>
      <w:r>
        <w:rPr>
          <w:color w:val="222222"/>
          <w:sz w:val="21"/>
          <w:szCs w:val="21"/>
        </w:rPr>
        <w:t xml:space="preserve"> If still no improvement in P's situation a</w:t>
      </w:r>
      <w:r>
        <w:rPr>
          <w:color w:val="222222"/>
          <w:sz w:val="21"/>
          <w:szCs w:val="21"/>
        </w:rPr>
        <w:t xml:space="preserve"> letter is sent out from legal to all respondents confirming our intention to issue proceedings </w:t>
      </w:r>
      <w:r>
        <w:rPr>
          <w:color w:val="222222"/>
        </w:rPr>
        <w:t xml:space="preserve">   </w:t>
      </w:r>
      <w:r>
        <w:rPr>
          <w:rFonts w:ascii="Arial Unicode MS" w:eastAsia="Arial Unicode MS" w:hAnsi="Arial Unicode MS" w:cs="Arial Unicode MS"/>
          <w:b/>
          <w:color w:val="FF00FF"/>
          <w:sz w:val="28"/>
          <w:szCs w:val="28"/>
        </w:rPr>
        <w:t>→</w:t>
      </w:r>
      <w:r>
        <w:rPr>
          <w:color w:val="222222"/>
        </w:rPr>
        <w:t xml:space="preserve">    </w:t>
      </w:r>
      <w:r>
        <w:rPr>
          <w:color w:val="222222"/>
          <w:sz w:val="21"/>
          <w:szCs w:val="21"/>
        </w:rPr>
        <w:t xml:space="preserve">  If appropriate a meeting with the respondents' legal representatives to try and resolve the dispute</w:t>
      </w:r>
      <w:r>
        <w:rPr>
          <w:color w:val="222222"/>
        </w:rPr>
        <w:t xml:space="preserve">   </w:t>
      </w:r>
      <w:r>
        <w:rPr>
          <w:rFonts w:ascii="Arial Unicode MS" w:eastAsia="Arial Unicode MS" w:hAnsi="Arial Unicode MS" w:cs="Arial Unicode MS"/>
          <w:b/>
          <w:color w:val="FF00FF"/>
          <w:sz w:val="28"/>
          <w:szCs w:val="28"/>
        </w:rPr>
        <w:t>→</w:t>
      </w:r>
      <w:r>
        <w:rPr>
          <w:color w:val="222222"/>
        </w:rPr>
        <w:tab/>
        <w:t xml:space="preserve"> If a resolution cannot be found then </w:t>
      </w:r>
      <w:r>
        <w:rPr>
          <w:color w:val="222222"/>
          <w:sz w:val="21"/>
          <w:szCs w:val="21"/>
        </w:rPr>
        <w:t>proceedi</w:t>
      </w:r>
      <w:r>
        <w:rPr>
          <w:color w:val="222222"/>
          <w:sz w:val="21"/>
          <w:szCs w:val="21"/>
        </w:rPr>
        <w:t>ngs are issued together with any interim application we consider might be necessary.</w:t>
      </w:r>
    </w:p>
    <w:p w:rsidR="00083266" w:rsidRDefault="00083266">
      <w:pPr>
        <w:pStyle w:val="normal0"/>
        <w:shd w:val="clear" w:color="auto" w:fill="FFFFFF"/>
        <w:rPr>
          <w:color w:val="222222"/>
          <w:sz w:val="21"/>
          <w:szCs w:val="21"/>
        </w:rPr>
      </w:pPr>
    </w:p>
    <w:p w:rsidR="00083266" w:rsidRDefault="000E4910">
      <w:pPr>
        <w:pStyle w:val="normal0"/>
        <w:shd w:val="clear" w:color="auto" w:fill="FFFFFF"/>
        <w:rPr>
          <w:color w:val="222222"/>
          <w:sz w:val="21"/>
          <w:szCs w:val="21"/>
        </w:rPr>
      </w:pPr>
      <w:r>
        <w:rPr>
          <w:color w:val="222222"/>
          <w:sz w:val="21"/>
          <w:szCs w:val="21"/>
        </w:rPr>
        <w:lastRenderedPageBreak/>
        <w:t xml:space="preserve">As mentioned above, in urgent cases we will not be </w:t>
      </w:r>
      <w:proofErr w:type="spellStart"/>
      <w:r>
        <w:rPr>
          <w:color w:val="222222"/>
          <w:sz w:val="21"/>
          <w:szCs w:val="21"/>
        </w:rPr>
        <w:t>be</w:t>
      </w:r>
      <w:proofErr w:type="spellEnd"/>
      <w:r>
        <w:rPr>
          <w:color w:val="222222"/>
          <w:sz w:val="21"/>
          <w:szCs w:val="21"/>
        </w:rPr>
        <w:t xml:space="preserve"> expected to follow these steps and can issue immediately if there is justification for doing so. Urgent cases are th</w:t>
      </w:r>
      <w:r>
        <w:rPr>
          <w:color w:val="222222"/>
          <w:sz w:val="21"/>
          <w:szCs w:val="21"/>
        </w:rPr>
        <w:t>ose where a person is at imminent risk of serious harm. In such cases an urgent referral to legal should be made so that the case can be discussed.</w:t>
      </w:r>
    </w:p>
    <w:p w:rsidR="00083266" w:rsidRDefault="00083266">
      <w:pPr>
        <w:pStyle w:val="normal0"/>
        <w:shd w:val="clear" w:color="auto" w:fill="FFFFFF"/>
        <w:rPr>
          <w:color w:val="222222"/>
          <w:sz w:val="21"/>
          <w:szCs w:val="21"/>
        </w:rPr>
      </w:pPr>
    </w:p>
    <w:p w:rsidR="00083266" w:rsidRDefault="000E4910">
      <w:pPr>
        <w:pStyle w:val="normal0"/>
        <w:shd w:val="clear" w:color="auto" w:fill="FFFFFF"/>
        <w:rPr>
          <w:color w:val="222222"/>
        </w:rPr>
      </w:pPr>
      <w:r>
        <w:rPr>
          <w:color w:val="222222"/>
        </w:rPr>
        <w:t>I'd be grateful if you could circulate the example letter and practice direction to you team members. For e</w:t>
      </w:r>
      <w:r>
        <w:rPr>
          <w:color w:val="222222"/>
        </w:rPr>
        <w:t>ase of reference I have also attached the example statement which we use in welfare proceedings.</w:t>
      </w:r>
    </w:p>
    <w:p w:rsidR="00083266" w:rsidRDefault="00083266">
      <w:pPr>
        <w:pStyle w:val="normal0"/>
        <w:shd w:val="clear" w:color="auto" w:fill="FFFFFF"/>
        <w:rPr>
          <w:color w:val="222222"/>
        </w:rPr>
      </w:pPr>
    </w:p>
    <w:p w:rsidR="00083266" w:rsidRDefault="000E4910">
      <w:pPr>
        <w:pStyle w:val="normal0"/>
        <w:shd w:val="clear" w:color="auto" w:fill="FFFFFF"/>
        <w:rPr>
          <w:color w:val="222222"/>
          <w:sz w:val="21"/>
          <w:szCs w:val="21"/>
        </w:rPr>
      </w:pPr>
      <w:r>
        <w:rPr>
          <w:color w:val="222222"/>
          <w:sz w:val="21"/>
          <w:szCs w:val="21"/>
        </w:rPr>
        <w:t>Many thanks,</w:t>
      </w:r>
    </w:p>
    <w:p w:rsidR="00083266" w:rsidRDefault="00083266">
      <w:pPr>
        <w:pStyle w:val="normal0"/>
        <w:shd w:val="clear" w:color="auto" w:fill="FFFFFF"/>
        <w:rPr>
          <w:color w:val="222222"/>
          <w:sz w:val="21"/>
          <w:szCs w:val="21"/>
        </w:rPr>
      </w:pPr>
    </w:p>
    <w:p w:rsidR="00083266" w:rsidRDefault="000E4910">
      <w:pPr>
        <w:pStyle w:val="normal0"/>
        <w:shd w:val="clear" w:color="auto" w:fill="FFFFFF"/>
        <w:rPr>
          <w:color w:val="222222"/>
          <w:sz w:val="21"/>
          <w:szCs w:val="21"/>
        </w:rPr>
      </w:pPr>
      <w:r>
        <w:rPr>
          <w:color w:val="222222"/>
          <w:sz w:val="21"/>
          <w:szCs w:val="21"/>
        </w:rPr>
        <w:t>Brendan</w:t>
      </w:r>
    </w:p>
    <w:p w:rsidR="00083266" w:rsidRDefault="00083266">
      <w:pPr>
        <w:pStyle w:val="normal0"/>
        <w:rPr>
          <w:color w:val="888888"/>
          <w:highlight w:val="white"/>
        </w:rPr>
      </w:pPr>
    </w:p>
    <w:p w:rsidR="00083266" w:rsidRDefault="000E4910">
      <w:pPr>
        <w:pStyle w:val="normal0"/>
        <w:spacing w:before="60" w:after="20"/>
        <w:ind w:left="60" w:right="60"/>
        <w:rPr>
          <w:b/>
          <w:color w:val="808080"/>
          <w:sz w:val="20"/>
          <w:szCs w:val="20"/>
          <w:highlight w:val="white"/>
        </w:rPr>
      </w:pPr>
      <w:r>
        <w:rPr>
          <w:b/>
          <w:color w:val="808080"/>
          <w:sz w:val="20"/>
          <w:szCs w:val="20"/>
          <w:highlight w:val="white"/>
        </w:rPr>
        <w:t>Brendan Molloy</w:t>
      </w:r>
    </w:p>
    <w:p w:rsidR="00083266" w:rsidRDefault="000E4910">
      <w:pPr>
        <w:pStyle w:val="normal0"/>
        <w:spacing w:before="60" w:after="20"/>
        <w:ind w:left="60" w:right="60"/>
        <w:rPr>
          <w:color w:val="1155CC"/>
          <w:highlight w:val="white"/>
        </w:rPr>
      </w:pPr>
      <w:r>
        <w:rPr>
          <w:color w:val="808080"/>
          <w:sz w:val="20"/>
          <w:szCs w:val="20"/>
          <w:highlight w:val="white"/>
        </w:rPr>
        <w:t xml:space="preserve">Deputy Principal </w:t>
      </w:r>
      <w:proofErr w:type="gramStart"/>
      <w:r>
        <w:rPr>
          <w:color w:val="808080"/>
          <w:sz w:val="20"/>
          <w:szCs w:val="20"/>
          <w:highlight w:val="white"/>
        </w:rPr>
        <w:t>Lawyer(</w:t>
      </w:r>
      <w:proofErr w:type="gramEnd"/>
      <w:r>
        <w:rPr>
          <w:color w:val="808080"/>
          <w:sz w:val="20"/>
          <w:szCs w:val="20"/>
          <w:highlight w:val="white"/>
        </w:rPr>
        <w:t xml:space="preserve">Education and Social Care)| London Borough of Hillingdon | Legal Services 3E/04 </w:t>
      </w:r>
      <w:r>
        <w:rPr>
          <w:color w:val="808080"/>
          <w:highlight w:val="white"/>
        </w:rPr>
        <w:t xml:space="preserve">| </w:t>
      </w:r>
      <w:r>
        <w:rPr>
          <w:b/>
          <w:color w:val="808080"/>
          <w:highlight w:val="white"/>
        </w:rPr>
        <w:t>Tel:</w:t>
      </w:r>
      <w:r>
        <w:rPr>
          <w:color w:val="808080"/>
          <w:highlight w:val="white"/>
        </w:rPr>
        <w:t xml:space="preserve"> 01895 55 6294 | </w:t>
      </w:r>
      <w:r>
        <w:rPr>
          <w:b/>
          <w:color w:val="808080"/>
          <w:highlight w:val="white"/>
        </w:rPr>
        <w:t>Fax:</w:t>
      </w:r>
      <w:r>
        <w:rPr>
          <w:color w:val="808080"/>
          <w:highlight w:val="white"/>
        </w:rPr>
        <w:t xml:space="preserve"> 01895 250784 | </w:t>
      </w:r>
      <w:r>
        <w:rPr>
          <w:b/>
          <w:color w:val="808080"/>
          <w:highlight w:val="white"/>
        </w:rPr>
        <w:t>E-mail:</w:t>
      </w:r>
      <w:r>
        <w:rPr>
          <w:color w:val="808080"/>
          <w:highlight w:val="white"/>
        </w:rPr>
        <w:t xml:space="preserve"> </w:t>
      </w:r>
      <w:r>
        <w:rPr>
          <w:color w:val="1155CC"/>
          <w:highlight w:val="white"/>
        </w:rPr>
        <w:t>bmolloy@Hillingdon.Gov.UK</w:t>
      </w:r>
    </w:p>
    <w:p w:rsidR="00083266" w:rsidRDefault="00083266">
      <w:pPr>
        <w:pStyle w:val="normal0"/>
      </w:pPr>
    </w:p>
    <w:sectPr w:rsidR="00083266" w:rsidSect="00083266">
      <w:pgSz w:w="11909" w:h="16834"/>
      <w:pgMar w:top="1440" w:right="1440" w:bottom="1440" w:left="1440" w:header="720" w:footer="720" w:gutter="0"/>
      <w:pgNumType w:start="1"/>
      <w:cols w:space="720"/>
    </w:sectPr>
  </w:body>
</w:document>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4517853"/>
    <w:multiLevelType w:val="multilevel"/>
    <w:tmpl w:val="C26C54AA"/>
    <w:lvl w:ilvl="0">
      <w:start w:val="1"/>
      <w:numFmt w:val="decimal"/>
      <w:lvlText w:val="%1."/>
      <w:lvlJc w:val="left"/>
      <w:pPr>
        <w:ind w:left="720" w:hanging="360"/>
      </w:pPr>
      <w:rPr>
        <w:rFonts w:ascii="Arial" w:eastAsia="Arial" w:hAnsi="Arial" w:cs="Arial"/>
        <w:color w:val="222222"/>
        <w:sz w:val="22"/>
        <w:szCs w:val="22"/>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083266"/>
    <w:rsid w:val="00083266"/>
    <w:rsid w:val="000E4910"/>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w:eastAsia="Arial" w:hAnsi="Arial" w:cs="Arial"/>
        <w:sz w:val="22"/>
        <w:szCs w:val="22"/>
        <w:lang w:val="en-GB" w:eastAsia="en-GB"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0"/>
    <w:next w:val="normal0"/>
    <w:rsid w:val="00083266"/>
    <w:pPr>
      <w:keepNext/>
      <w:keepLines/>
      <w:spacing w:before="400" w:after="120"/>
      <w:outlineLvl w:val="0"/>
    </w:pPr>
    <w:rPr>
      <w:sz w:val="40"/>
      <w:szCs w:val="40"/>
    </w:rPr>
  </w:style>
  <w:style w:type="paragraph" w:styleId="Heading2">
    <w:name w:val="heading 2"/>
    <w:basedOn w:val="normal0"/>
    <w:next w:val="normal0"/>
    <w:rsid w:val="00083266"/>
    <w:pPr>
      <w:keepNext/>
      <w:keepLines/>
      <w:spacing w:before="360" w:after="120"/>
      <w:outlineLvl w:val="1"/>
    </w:pPr>
    <w:rPr>
      <w:sz w:val="32"/>
      <w:szCs w:val="32"/>
    </w:rPr>
  </w:style>
  <w:style w:type="paragraph" w:styleId="Heading3">
    <w:name w:val="heading 3"/>
    <w:basedOn w:val="normal0"/>
    <w:next w:val="normal0"/>
    <w:rsid w:val="00083266"/>
    <w:pPr>
      <w:keepNext/>
      <w:keepLines/>
      <w:spacing w:before="320" w:after="80"/>
      <w:outlineLvl w:val="2"/>
    </w:pPr>
    <w:rPr>
      <w:color w:val="434343"/>
      <w:sz w:val="28"/>
      <w:szCs w:val="28"/>
    </w:rPr>
  </w:style>
  <w:style w:type="paragraph" w:styleId="Heading4">
    <w:name w:val="heading 4"/>
    <w:basedOn w:val="normal0"/>
    <w:next w:val="normal0"/>
    <w:rsid w:val="00083266"/>
    <w:pPr>
      <w:keepNext/>
      <w:keepLines/>
      <w:spacing w:before="280" w:after="80"/>
      <w:outlineLvl w:val="3"/>
    </w:pPr>
    <w:rPr>
      <w:color w:val="666666"/>
      <w:sz w:val="24"/>
      <w:szCs w:val="24"/>
    </w:rPr>
  </w:style>
  <w:style w:type="paragraph" w:styleId="Heading5">
    <w:name w:val="heading 5"/>
    <w:basedOn w:val="normal0"/>
    <w:next w:val="normal0"/>
    <w:rsid w:val="00083266"/>
    <w:pPr>
      <w:keepNext/>
      <w:keepLines/>
      <w:spacing w:before="240" w:after="80"/>
      <w:outlineLvl w:val="4"/>
    </w:pPr>
    <w:rPr>
      <w:color w:val="666666"/>
    </w:rPr>
  </w:style>
  <w:style w:type="paragraph" w:styleId="Heading6">
    <w:name w:val="heading 6"/>
    <w:basedOn w:val="normal0"/>
    <w:next w:val="normal0"/>
    <w:rsid w:val="00083266"/>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0">
    <w:name w:val="normal"/>
    <w:rsid w:val="00083266"/>
  </w:style>
  <w:style w:type="paragraph" w:styleId="Title">
    <w:name w:val="Title"/>
    <w:basedOn w:val="normal0"/>
    <w:next w:val="normal0"/>
    <w:rsid w:val="00083266"/>
    <w:pPr>
      <w:keepNext/>
      <w:keepLines/>
      <w:spacing w:after="60"/>
    </w:pPr>
    <w:rPr>
      <w:sz w:val="52"/>
      <w:szCs w:val="52"/>
    </w:rPr>
  </w:style>
  <w:style w:type="paragraph" w:styleId="Subtitle">
    <w:name w:val="Subtitle"/>
    <w:basedOn w:val="normal0"/>
    <w:next w:val="normal0"/>
    <w:rsid w:val="00083266"/>
    <w:pPr>
      <w:keepNext/>
      <w:keepLines/>
      <w:spacing w:after="320"/>
    </w:pPr>
    <w:rPr>
      <w:color w:val="666666"/>
      <w:sz w:val="30"/>
      <w:szCs w:val="30"/>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471</Words>
  <Characters>2686</Characters>
  <Application>Microsoft Office Word</Application>
  <DocSecurity>0</DocSecurity>
  <Lines>22</Lines>
  <Paragraphs>6</Paragraphs>
  <ScaleCrop>false</ScaleCrop>
  <Company>London Borough of Hillingdon</Company>
  <LinksUpToDate>false</LinksUpToDate>
  <CharactersWithSpaces>3151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Claudia Meissner</dc:creator>
  <cp:lastModifiedBy>cmeissner</cp:lastModifiedBy>
  <cp:revision>2</cp:revision>
  <dcterms:created xsi:type="dcterms:W3CDTF">2019-10-10T09:50:00Z</dcterms:created>
  <dcterms:modified xsi:type="dcterms:W3CDTF">2019-10-10T09:50:00Z</dcterms:modified>
</cp:coreProperties>
</file>