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71" w:rsidRPr="00FC2E60" w:rsidRDefault="00757F35" w:rsidP="00FC2E60">
      <w:pPr>
        <w:pStyle w:val="NoSpacing"/>
        <w:jc w:val="center"/>
        <w:rPr>
          <w:b/>
        </w:rPr>
      </w:pPr>
      <w:r w:rsidRPr="00FC2E60">
        <w:rPr>
          <w:b/>
        </w:rPr>
        <w:t>Non County Funds Procedure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u w:val="single"/>
        </w:rPr>
      </w:pPr>
    </w:p>
    <w:p w:rsidR="00F95571" w:rsidRDefault="00F95571">
      <w:pPr>
        <w:spacing w:line="240" w:lineRule="auto"/>
        <w:jc w:val="both"/>
        <w:rPr>
          <w:sz w:val="24"/>
          <w:szCs w:val="24"/>
        </w:rPr>
      </w:pPr>
    </w:p>
    <w:tbl>
      <w:tblPr>
        <w:tblStyle w:val="a"/>
        <w:tblW w:w="9465" w:type="dxa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865"/>
      </w:tblGrid>
      <w:tr w:rsidR="00F95571">
        <w:tc>
          <w:tcPr>
            <w:tcW w:w="3600" w:type="dxa"/>
          </w:tcPr>
          <w:p w:rsidR="00F95571" w:rsidRDefault="00757F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5865" w:type="dxa"/>
          </w:tcPr>
          <w:p w:rsidR="00F95571" w:rsidRDefault="00757F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5571">
        <w:tc>
          <w:tcPr>
            <w:tcW w:w="3600" w:type="dxa"/>
          </w:tcPr>
          <w:p w:rsidR="00F95571" w:rsidRDefault="00757F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B.S.M. approval date</w:t>
            </w:r>
          </w:p>
        </w:tc>
        <w:tc>
          <w:tcPr>
            <w:tcW w:w="5865" w:type="dxa"/>
          </w:tcPr>
          <w:p w:rsidR="00F95571" w:rsidRDefault="00757F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2020</w:t>
            </w:r>
          </w:p>
        </w:tc>
      </w:tr>
      <w:tr w:rsidR="00F95571">
        <w:tc>
          <w:tcPr>
            <w:tcW w:w="3600" w:type="dxa"/>
          </w:tcPr>
          <w:p w:rsidR="00F95571" w:rsidRDefault="00757F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Rationale</w:t>
            </w:r>
          </w:p>
        </w:tc>
        <w:tc>
          <w:tcPr>
            <w:tcW w:w="5865" w:type="dxa"/>
          </w:tcPr>
          <w:p w:rsidR="00F95571" w:rsidRDefault="00757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procedure has been devised to provide a consistent and auditable approach to processing Non County Funds for Children’s Services</w:t>
            </w:r>
          </w:p>
        </w:tc>
      </w:tr>
      <w:tr w:rsidR="00F95571">
        <w:tc>
          <w:tcPr>
            <w:tcW w:w="3600" w:type="dxa"/>
          </w:tcPr>
          <w:p w:rsidR="00F95571" w:rsidRDefault="00757F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policy author</w:t>
            </w:r>
          </w:p>
        </w:tc>
        <w:tc>
          <w:tcPr>
            <w:tcW w:w="5865" w:type="dxa"/>
          </w:tcPr>
          <w:p w:rsidR="00F95571" w:rsidRDefault="00757F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Simpson</w:t>
            </w:r>
          </w:p>
        </w:tc>
      </w:tr>
      <w:tr w:rsidR="00F95571">
        <w:tc>
          <w:tcPr>
            <w:tcW w:w="3600" w:type="dxa"/>
          </w:tcPr>
          <w:p w:rsidR="00F95571" w:rsidRDefault="00757F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issued</w:t>
            </w:r>
          </w:p>
        </w:tc>
        <w:tc>
          <w:tcPr>
            <w:tcW w:w="5865" w:type="dxa"/>
          </w:tcPr>
          <w:p w:rsidR="00F95571" w:rsidRDefault="00757F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2020</w:t>
            </w:r>
          </w:p>
        </w:tc>
      </w:tr>
      <w:tr w:rsidR="00F95571">
        <w:tc>
          <w:tcPr>
            <w:tcW w:w="3600" w:type="dxa"/>
          </w:tcPr>
          <w:p w:rsidR="00F95571" w:rsidRDefault="00757F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date</w:t>
            </w:r>
          </w:p>
        </w:tc>
        <w:tc>
          <w:tcPr>
            <w:tcW w:w="5865" w:type="dxa"/>
          </w:tcPr>
          <w:p w:rsidR="00F95571" w:rsidRDefault="00757F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2021</w:t>
            </w:r>
          </w:p>
        </w:tc>
      </w:tr>
      <w:tr w:rsidR="00F95571">
        <w:tc>
          <w:tcPr>
            <w:tcW w:w="3600" w:type="dxa"/>
          </w:tcPr>
          <w:p w:rsidR="00F95571" w:rsidRDefault="00757F35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Target audience</w:t>
            </w:r>
          </w:p>
          <w:p w:rsidR="00F95571" w:rsidRDefault="00F9557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65" w:type="dxa"/>
          </w:tcPr>
          <w:p w:rsidR="00F95571" w:rsidRDefault="00757F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Administration and social workers</w:t>
            </w:r>
          </w:p>
        </w:tc>
      </w:tr>
    </w:tbl>
    <w:p w:rsidR="00F95571" w:rsidRDefault="00F95571">
      <w:pPr>
        <w:spacing w:line="240" w:lineRule="auto"/>
        <w:jc w:val="both"/>
        <w:rPr>
          <w:b/>
          <w:u w:val="single"/>
        </w:rPr>
      </w:pPr>
    </w:p>
    <w:p w:rsidR="00F95571" w:rsidRDefault="00F95571">
      <w:pPr>
        <w:jc w:val="both"/>
      </w:pPr>
    </w:p>
    <w:p w:rsidR="00F95571" w:rsidRDefault="00F95571">
      <w:pPr>
        <w:jc w:val="both"/>
      </w:pPr>
    </w:p>
    <w:p w:rsidR="00F95571" w:rsidRDefault="00757F35">
      <w:pPr>
        <w:jc w:val="both"/>
        <w:rPr>
          <w:b/>
          <w:u w:val="single"/>
        </w:rPr>
      </w:pPr>
      <w:r>
        <w:t xml:space="preserve">Non County Funds are funds/grants provided by external bodies </w:t>
      </w:r>
      <w:r>
        <w:rPr>
          <w:color w:val="FF0000"/>
        </w:rPr>
        <w:t>excluding Greggs Trust</w:t>
      </w:r>
      <w:r>
        <w:t>. Funds / grants are usually provided for a particular family and for</w:t>
      </w:r>
      <w:r>
        <w:t xml:space="preserve"> a specific identified need. 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1.</w:t>
      </w:r>
      <w:r>
        <w:rPr>
          <w:b/>
        </w:rPr>
        <w:tab/>
        <w:t>Claiming Funds/Grants</w:t>
      </w: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2.</w:t>
      </w:r>
      <w:r>
        <w:rPr>
          <w:b/>
        </w:rPr>
        <w:tab/>
        <w:t xml:space="preserve">Recording Funds/Grants </w:t>
      </w: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3.</w:t>
      </w:r>
      <w:r>
        <w:rPr>
          <w:b/>
        </w:rPr>
        <w:tab/>
        <w:t>Spending Allocated Funds</w:t>
      </w: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4.</w:t>
      </w:r>
      <w:r>
        <w:rPr>
          <w:b/>
        </w:rPr>
        <w:tab/>
        <w:t>Student Monies</w:t>
      </w: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5.</w:t>
      </w:r>
      <w:r>
        <w:rPr>
          <w:b/>
        </w:rPr>
        <w:tab/>
        <w:t>Monthly Reporting</w:t>
      </w: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5.</w:t>
      </w:r>
      <w:r>
        <w:rPr>
          <w:b/>
        </w:rPr>
        <w:tab/>
        <w:t>General Information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u w:val="single"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Claiming funds/grants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The worker identifies the need for funding/grant and makes an application for the funding/grant. The identified need can be varied and may include white goods, carpets, rent arrears or clothing. 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The application is made by the worker who will provide the </w:t>
      </w:r>
      <w:r>
        <w:t xml:space="preserve">account details for the money to be received into.  </w:t>
      </w:r>
      <w:r>
        <w:rPr>
          <w:color w:val="222222"/>
        </w:rPr>
        <w:t>If the money is to be received via bank transfer, please provide the following account details: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222222"/>
        </w:rPr>
      </w:pPr>
    </w:p>
    <w:p w:rsidR="00F95571" w:rsidRDefault="00757F35">
      <w:pPr>
        <w:ind w:firstLine="720"/>
        <w:jc w:val="both"/>
        <w:rPr>
          <w:color w:val="222222"/>
        </w:rPr>
      </w:pPr>
      <w:r>
        <w:rPr>
          <w:color w:val="222222"/>
        </w:rPr>
        <w:t>Sort code:    20-58-25</w:t>
      </w:r>
    </w:p>
    <w:p w:rsidR="00F95571" w:rsidRDefault="00757F35">
      <w:pPr>
        <w:ind w:firstLine="720"/>
        <w:jc w:val="both"/>
      </w:pPr>
      <w:r>
        <w:rPr>
          <w:color w:val="222222"/>
        </w:rPr>
        <w:t>Account No: 53023915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>Non county funds should not be paid into any other account.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</w:t>
      </w:r>
      <w:r>
        <w:t xml:space="preserve">he worker will provide admin with confirmation of the grant application being accepted. Admin will then email </w:t>
      </w:r>
      <w:hyperlink r:id="rId8">
        <w:r>
          <w:rPr>
            <w:color w:val="1155CC"/>
            <w:u w:val="single"/>
          </w:rPr>
          <w:t>cashiers@northumberland.gov.uk</w:t>
        </w:r>
      </w:hyperlink>
      <w:r>
        <w:t xml:space="preserve"> to inform them that money is expected, how much it will be and the budget code it needs to  be allocated to: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:rsidR="00F95571" w:rsidRDefault="00757F35">
      <w:pPr>
        <w:ind w:left="720"/>
        <w:jc w:val="both"/>
      </w:pPr>
      <w:r>
        <w:t>990368-500201- followed by:</w:t>
      </w:r>
    </w:p>
    <w:p w:rsidR="00F95571" w:rsidRDefault="00F95571">
      <w:pPr>
        <w:ind w:left="720"/>
        <w:jc w:val="both"/>
      </w:pPr>
    </w:p>
    <w:p w:rsidR="00F95571" w:rsidRDefault="00757F35">
      <w:pPr>
        <w:numPr>
          <w:ilvl w:val="0"/>
          <w:numId w:val="5"/>
        </w:numPr>
        <w:jc w:val="both"/>
      </w:pPr>
      <w:r>
        <w:t>SS0208 - Berwick</w:t>
      </w:r>
    </w:p>
    <w:p w:rsidR="00F95571" w:rsidRDefault="00757F35">
      <w:pPr>
        <w:numPr>
          <w:ilvl w:val="0"/>
          <w:numId w:val="5"/>
        </w:numPr>
        <w:jc w:val="both"/>
      </w:pPr>
      <w:r>
        <w:t>SS0209 - South East</w:t>
      </w:r>
    </w:p>
    <w:p w:rsidR="00F95571" w:rsidRDefault="00757F35">
      <w:pPr>
        <w:numPr>
          <w:ilvl w:val="0"/>
          <w:numId w:val="5"/>
        </w:numPr>
        <w:jc w:val="both"/>
      </w:pPr>
      <w:r>
        <w:t>SS0211 - DCT</w:t>
      </w:r>
    </w:p>
    <w:p w:rsidR="00F95571" w:rsidRDefault="00757F35">
      <w:pPr>
        <w:numPr>
          <w:ilvl w:val="0"/>
          <w:numId w:val="5"/>
        </w:numPr>
        <w:jc w:val="both"/>
      </w:pPr>
      <w:r>
        <w:t>SS0213 - Central</w:t>
      </w:r>
    </w:p>
    <w:p w:rsidR="00F95571" w:rsidRDefault="00757F35">
      <w:pPr>
        <w:numPr>
          <w:ilvl w:val="0"/>
          <w:numId w:val="5"/>
        </w:numPr>
        <w:jc w:val="both"/>
      </w:pPr>
      <w:r>
        <w:t>SS0212 - West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</w:pP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</w:pPr>
      <w:r>
        <w:t>Admin must also ask to be informed when the money has been received by cashiers.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When the money is confirmed as being received into the account, admin will let the worker know it is available to spend.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Recording funds/grants 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Once confirmation is received of the money being in the account, admin will complete an </w:t>
      </w:r>
      <w:r>
        <w:rPr>
          <w:u w:val="single"/>
        </w:rPr>
        <w:t>individual</w:t>
      </w:r>
      <w:r>
        <w:t xml:space="preserve"> record sheet (see Appendix A). You must record details of where funds are from, </w:t>
      </w:r>
      <w:proofErr w:type="gramStart"/>
      <w:r>
        <w:t>clients</w:t>
      </w:r>
      <w:proofErr w:type="gramEnd"/>
      <w:r>
        <w:t xml:space="preserve"> details, workers details, the date funds received, purpose of funding</w:t>
      </w:r>
      <w:r>
        <w:t xml:space="preserve"> and the amount of money received. 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Spending Allocated Funds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F95571" w:rsidRDefault="00757F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When the worker wishes to access the funds, they need to complete the “Request for non-county funds from allocated worker” (see Appendix B). The £100 limit that applies to petty cash does not apply for Non County funds as this is sometimes the only way the</w:t>
      </w:r>
      <w:r>
        <w:t xml:space="preserve"> funds can be spent (school uniforms/second hand appliances </w:t>
      </w:r>
      <w:proofErr w:type="spellStart"/>
      <w:r>
        <w:t>etc</w:t>
      </w:r>
      <w:proofErr w:type="spellEnd"/>
      <w:r>
        <w:t xml:space="preserve">). 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:rsidR="00F95571" w:rsidRDefault="00757F3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The individual record sheet should be updated at the point of spend.  The request for funds form should be attached to the record sheet for audit purposes.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</w:rPr>
        <w:t>Student Monies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When a worker has a student, the worker completes a Placement Claim Form (available from </w:t>
      </w:r>
      <w:hyperlink r:id="rId9">
        <w:r>
          <w:rPr>
            <w:color w:val="1155CC"/>
            <w:u w:val="single"/>
          </w:rPr>
          <w:t>Tracey.Horseman@northumbria-healthcare.nhs.uk</w:t>
        </w:r>
      </w:hyperlink>
      <w:r>
        <w:t>) confirming the practice educator’s assignment nu</w:t>
      </w:r>
      <w:r>
        <w:t>mber and also the team in which the student is based.  The team payment should be allocated to 990368-500201-</w:t>
      </w:r>
      <w:r>
        <w:rPr>
          <w:i/>
        </w:rPr>
        <w:t>detail code as above</w:t>
      </w:r>
      <w:r>
        <w:t>.  The worker should share the form with admin who will complete a record sheet (Appendix A).  All student monies should be rec</w:t>
      </w:r>
      <w:r>
        <w:t xml:space="preserve">orded on one sheet (Client name: Student Monies and details of payment should be name of student).  This money is available for the social work teams to use as they wish, with approval from the CSM. 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</w:rPr>
        <w:t>Monthly Reporting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At the end of every month, starting </w:t>
      </w:r>
      <w:r>
        <w:t xml:space="preserve">31st March 2020, please provide via email, a breakdown of your non-county funds.  Please see Appendix C.  This should be submitted to Christine </w:t>
      </w:r>
      <w:proofErr w:type="spellStart"/>
      <w:r>
        <w:t>Hoggarth</w:t>
      </w:r>
      <w:proofErr w:type="spellEnd"/>
      <w:r>
        <w:t xml:space="preserve"> and Julia Simpson.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jc w:val="both"/>
      </w:pPr>
      <w:r>
        <w:t>We will highlight any discrepancies between your records and that of finance and ex</w:t>
      </w:r>
      <w:r>
        <w:t>pect these to be rectified immediately.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These monthly reports should be filed in your Non-County folder.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General Information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F95571" w:rsidRDefault="00757F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222222"/>
          <w:highlight w:val="white"/>
        </w:rPr>
        <w:t xml:space="preserve">Funds may be used for a different client than the original applicant or for a different purpose but only with the permission of the funding provider. 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highlight w:val="white"/>
        </w:rPr>
      </w:pPr>
    </w:p>
    <w:p w:rsidR="00F95571" w:rsidRDefault="00757F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222222"/>
          <w:highlight w:val="white"/>
        </w:rPr>
        <w:t xml:space="preserve">After 6 months, any unused funds received </w:t>
      </w:r>
      <w:r>
        <w:rPr>
          <w:b/>
          <w:color w:val="222222"/>
          <w:highlight w:val="white"/>
        </w:rPr>
        <w:t>must be</w:t>
      </w:r>
      <w:r>
        <w:rPr>
          <w:color w:val="222222"/>
          <w:highlight w:val="white"/>
        </w:rPr>
        <w:t xml:space="preserve"> returned to the funding provider. 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222222"/>
          <w:highlight w:val="white"/>
        </w:rPr>
      </w:pPr>
    </w:p>
    <w:p w:rsidR="00F95571" w:rsidRDefault="00757F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Funding providers </w:t>
      </w:r>
      <w:r>
        <w:rPr>
          <w:color w:val="222222"/>
          <w:highlight w:val="white"/>
        </w:rPr>
        <w:t xml:space="preserve">may request proof of the money being used for the purpose it was provided at any time. This proof might include receipts. </w:t>
      </w: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highlight w:val="white"/>
        </w:rPr>
      </w:pPr>
    </w:p>
    <w:p w:rsidR="00F95571" w:rsidRDefault="00F9557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highlight w:val="white"/>
        </w:rPr>
      </w:pPr>
    </w:p>
    <w:p w:rsidR="00F95571" w:rsidRDefault="00757F3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br/>
      </w:r>
      <w:r>
        <w:br w:type="page"/>
      </w:r>
    </w:p>
    <w:p w:rsidR="00F95571" w:rsidRDefault="00757F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APPENDIX A</w:t>
      </w:r>
    </w:p>
    <w:p w:rsidR="00F95571" w:rsidRDefault="00F95571">
      <w:pPr>
        <w:jc w:val="center"/>
        <w:rPr>
          <w:b/>
          <w:sz w:val="24"/>
          <w:szCs w:val="24"/>
        </w:rPr>
      </w:pPr>
    </w:p>
    <w:p w:rsidR="00F95571" w:rsidRDefault="00757F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NON-COUNTY FUND RECORD SHEET</w:t>
      </w:r>
    </w:p>
    <w:p w:rsidR="00F95571" w:rsidRDefault="00F95571">
      <w:pPr>
        <w:jc w:val="center"/>
        <w:rPr>
          <w:b/>
          <w:sz w:val="24"/>
          <w:szCs w:val="24"/>
        </w:rPr>
      </w:pPr>
    </w:p>
    <w:p w:rsidR="00F95571" w:rsidRDefault="00F95571">
      <w:pPr>
        <w:jc w:val="center"/>
        <w:rPr>
          <w:b/>
          <w:sz w:val="24"/>
          <w:szCs w:val="24"/>
        </w:rPr>
      </w:pPr>
    </w:p>
    <w:tbl>
      <w:tblPr>
        <w:tblStyle w:val="a0"/>
        <w:tblW w:w="105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3000"/>
        <w:gridCol w:w="1815"/>
        <w:gridCol w:w="2505"/>
      </w:tblGrid>
      <w:tr w:rsidR="00F95571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 Name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Allocated SW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ICS No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F95571" w:rsidRDefault="00F95571">
      <w:pPr>
        <w:jc w:val="center"/>
        <w:rPr>
          <w:b/>
          <w:sz w:val="24"/>
          <w:szCs w:val="24"/>
        </w:rPr>
      </w:pPr>
    </w:p>
    <w:p w:rsidR="00F95571" w:rsidRDefault="00F95571">
      <w:pPr>
        <w:jc w:val="center"/>
        <w:rPr>
          <w:b/>
          <w:sz w:val="24"/>
          <w:szCs w:val="24"/>
        </w:rPr>
      </w:pPr>
    </w:p>
    <w:p w:rsidR="00F95571" w:rsidRDefault="00F95571">
      <w:pPr>
        <w:jc w:val="center"/>
        <w:rPr>
          <w:b/>
          <w:sz w:val="24"/>
          <w:szCs w:val="24"/>
        </w:rPr>
      </w:pPr>
    </w:p>
    <w:tbl>
      <w:tblPr>
        <w:tblStyle w:val="a1"/>
        <w:tblW w:w="10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0"/>
        <w:gridCol w:w="3920"/>
        <w:gridCol w:w="1260"/>
        <w:gridCol w:w="1260"/>
        <w:gridCol w:w="1280"/>
        <w:gridCol w:w="1700"/>
      </w:tblGrid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of Payment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Receipt/Chq No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Amount </w:t>
            </w:r>
            <w:proofErr w:type="spellStart"/>
            <w:r>
              <w:rPr>
                <w:b/>
                <w:sz w:val="24"/>
                <w:szCs w:val="24"/>
              </w:rPr>
              <w:t>R’cvd</w:t>
            </w:r>
            <w:proofErr w:type="spellEnd"/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 Debited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Balance</w:t>
            </w: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95571">
        <w:trPr>
          <w:jc w:val="center"/>
        </w:trPr>
        <w:tc>
          <w:tcPr>
            <w:tcW w:w="1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F95571" w:rsidRDefault="00F95571">
      <w:pPr>
        <w:rPr>
          <w:color w:val="222222"/>
          <w:highlight w:val="white"/>
        </w:rPr>
      </w:pPr>
    </w:p>
    <w:p w:rsidR="00F95571" w:rsidRDefault="00F95571">
      <w:pPr>
        <w:rPr>
          <w:color w:val="222222"/>
          <w:highlight w:val="white"/>
        </w:rPr>
      </w:pPr>
    </w:p>
    <w:p w:rsidR="00F95571" w:rsidRDefault="00F95571">
      <w:pPr>
        <w:rPr>
          <w:color w:val="222222"/>
          <w:highlight w:val="white"/>
        </w:rPr>
      </w:pPr>
    </w:p>
    <w:p w:rsidR="00F95571" w:rsidRDefault="00F95571">
      <w:pPr>
        <w:rPr>
          <w:color w:val="222222"/>
          <w:highlight w:val="white"/>
        </w:rPr>
      </w:pPr>
    </w:p>
    <w:p w:rsidR="00F95571" w:rsidRDefault="00F95571" w:rsidP="00FC2E60">
      <w:pPr>
        <w:jc w:val="right"/>
        <w:rPr>
          <w:color w:val="222222"/>
          <w:highlight w:val="white"/>
        </w:rPr>
      </w:pPr>
    </w:p>
    <w:p w:rsidR="00FC2E60" w:rsidRDefault="00FC2E60" w:rsidP="00FC2E60">
      <w:pPr>
        <w:jc w:val="right"/>
        <w:rPr>
          <w:color w:val="222222"/>
          <w:highlight w:val="white"/>
        </w:rPr>
      </w:pPr>
    </w:p>
    <w:p w:rsidR="00FC2E60" w:rsidRDefault="00FC2E60" w:rsidP="00FC2E60">
      <w:pPr>
        <w:jc w:val="right"/>
        <w:rPr>
          <w:color w:val="222222"/>
          <w:highlight w:val="white"/>
        </w:rPr>
      </w:pPr>
    </w:p>
    <w:p w:rsidR="00F95571" w:rsidRDefault="00F95571">
      <w:pPr>
        <w:rPr>
          <w:color w:val="222222"/>
          <w:highlight w:val="white"/>
        </w:rPr>
      </w:pPr>
    </w:p>
    <w:p w:rsidR="00F95571" w:rsidRDefault="00757F35">
      <w:pPr>
        <w:jc w:val="right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lastRenderedPageBreak/>
        <w:t>APPENDIX B</w:t>
      </w:r>
    </w:p>
    <w:p w:rsidR="00F95571" w:rsidRDefault="00F95571">
      <w:pPr>
        <w:jc w:val="right"/>
        <w:rPr>
          <w:b/>
          <w:color w:val="222222"/>
          <w:highlight w:val="white"/>
        </w:rPr>
      </w:pPr>
    </w:p>
    <w:p w:rsidR="00F95571" w:rsidRDefault="00F95571">
      <w:pPr>
        <w:jc w:val="both"/>
        <w:rPr>
          <w:color w:val="222222"/>
          <w:highlight w:val="white"/>
        </w:rPr>
      </w:pPr>
    </w:p>
    <w:p w:rsidR="00F95571" w:rsidRDefault="00757F35">
      <w:pPr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REQUEST FOR NON-COUNTY FUNDS FROM ALLOCATED WORKER</w:t>
      </w:r>
    </w:p>
    <w:p w:rsidR="00F95571" w:rsidRDefault="00F95571">
      <w:pPr>
        <w:jc w:val="center"/>
        <w:rPr>
          <w:b/>
          <w:color w:val="222222"/>
          <w:highlight w:val="white"/>
        </w:rPr>
      </w:pPr>
    </w:p>
    <w:p w:rsidR="00F95571" w:rsidRDefault="00F95571">
      <w:pPr>
        <w:rPr>
          <w:color w:val="222222"/>
          <w:highlight w:val="white"/>
        </w:rPr>
      </w:pPr>
    </w:p>
    <w:p w:rsidR="00F95571" w:rsidRDefault="00757F35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To be completed by allocated worker:</w:t>
      </w:r>
    </w:p>
    <w:p w:rsidR="00F95571" w:rsidRDefault="00F95571">
      <w:pPr>
        <w:jc w:val="both"/>
        <w:rPr>
          <w:b/>
          <w:color w:val="222222"/>
          <w:highlight w:val="white"/>
        </w:rPr>
      </w:pPr>
    </w:p>
    <w:tbl>
      <w:tblPr>
        <w:tblStyle w:val="a2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5940"/>
      </w:tblGrid>
      <w:tr w:rsidR="00F95571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Name of allocated worker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22222"/>
                <w:highlight w:val="white"/>
              </w:rPr>
            </w:pPr>
          </w:p>
        </w:tc>
      </w:tr>
      <w:tr w:rsidR="00F95571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Name of client/family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22222"/>
                <w:highlight w:val="white"/>
              </w:rPr>
            </w:pPr>
          </w:p>
        </w:tc>
      </w:tr>
      <w:tr w:rsidR="00F95571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Amount required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22222"/>
                <w:highlight w:val="white"/>
              </w:rPr>
            </w:pPr>
          </w:p>
        </w:tc>
      </w:tr>
      <w:tr w:rsidR="00F95571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Purpose of spend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22222"/>
                <w:highlight w:val="white"/>
              </w:rPr>
            </w:pPr>
          </w:p>
        </w:tc>
      </w:tr>
      <w:tr w:rsidR="00F95571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Signature of allocated worker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22222"/>
                <w:highlight w:val="white"/>
              </w:rPr>
            </w:pPr>
          </w:p>
        </w:tc>
      </w:tr>
      <w:tr w:rsidR="00F95571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Date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22222"/>
                <w:highlight w:val="white"/>
              </w:rPr>
            </w:pPr>
          </w:p>
        </w:tc>
      </w:tr>
    </w:tbl>
    <w:p w:rsidR="00F95571" w:rsidRDefault="00F95571">
      <w:pPr>
        <w:jc w:val="both"/>
        <w:rPr>
          <w:b/>
          <w:color w:val="222222"/>
          <w:highlight w:val="white"/>
        </w:rPr>
      </w:pPr>
    </w:p>
    <w:p w:rsidR="00F95571" w:rsidRDefault="00F95571">
      <w:pPr>
        <w:jc w:val="both"/>
        <w:rPr>
          <w:b/>
          <w:color w:val="222222"/>
          <w:highlight w:val="white"/>
        </w:rPr>
      </w:pPr>
    </w:p>
    <w:p w:rsidR="00F95571" w:rsidRDefault="00F95571">
      <w:pPr>
        <w:jc w:val="center"/>
        <w:rPr>
          <w:b/>
          <w:color w:val="222222"/>
          <w:highlight w:val="white"/>
        </w:rPr>
      </w:pPr>
    </w:p>
    <w:p w:rsidR="00F95571" w:rsidRDefault="00757F35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To be completed by admin:</w:t>
      </w:r>
    </w:p>
    <w:p w:rsidR="00F95571" w:rsidRDefault="00F95571">
      <w:pPr>
        <w:jc w:val="both"/>
        <w:rPr>
          <w:b/>
          <w:color w:val="222222"/>
          <w:highlight w:val="white"/>
        </w:rPr>
      </w:pPr>
    </w:p>
    <w:tbl>
      <w:tblPr>
        <w:tblStyle w:val="a3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5940"/>
      </w:tblGrid>
      <w:tr w:rsidR="00F95571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Name of admin worker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color w:val="222222"/>
                <w:highlight w:val="white"/>
              </w:rPr>
            </w:pPr>
          </w:p>
        </w:tc>
      </w:tr>
      <w:tr w:rsidR="00F95571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Name of client/family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color w:val="222222"/>
                <w:highlight w:val="white"/>
              </w:rPr>
            </w:pPr>
          </w:p>
        </w:tc>
      </w:tr>
      <w:tr w:rsidR="00F95571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Amount given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color w:val="222222"/>
                <w:highlight w:val="white"/>
              </w:rPr>
            </w:pPr>
          </w:p>
        </w:tc>
      </w:tr>
      <w:tr w:rsidR="00F95571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Signature of admin worker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color w:val="222222"/>
                <w:highlight w:val="white"/>
              </w:rPr>
            </w:pPr>
          </w:p>
        </w:tc>
      </w:tr>
      <w:tr w:rsidR="00F95571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Date</w:t>
            </w: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spacing w:line="240" w:lineRule="auto"/>
              <w:rPr>
                <w:b/>
                <w:color w:val="222222"/>
                <w:highlight w:val="white"/>
              </w:rPr>
            </w:pPr>
          </w:p>
        </w:tc>
      </w:tr>
    </w:tbl>
    <w:p w:rsidR="00F95571" w:rsidRDefault="00F95571">
      <w:pPr>
        <w:jc w:val="both"/>
        <w:rPr>
          <w:b/>
          <w:color w:val="222222"/>
          <w:highlight w:val="white"/>
        </w:rPr>
      </w:pPr>
    </w:p>
    <w:p w:rsidR="00F95571" w:rsidRDefault="00F95571">
      <w:pPr>
        <w:jc w:val="center"/>
        <w:rPr>
          <w:b/>
          <w:color w:val="222222"/>
          <w:highlight w:val="white"/>
        </w:rPr>
      </w:pPr>
    </w:p>
    <w:p w:rsidR="00F95571" w:rsidRDefault="00F95571">
      <w:pPr>
        <w:jc w:val="center"/>
        <w:rPr>
          <w:b/>
          <w:color w:val="222222"/>
          <w:highlight w:val="white"/>
        </w:rPr>
      </w:pPr>
    </w:p>
    <w:p w:rsidR="00F95571" w:rsidRDefault="00F95571">
      <w:pPr>
        <w:rPr>
          <w:color w:val="222222"/>
          <w:highlight w:val="white"/>
        </w:rPr>
      </w:pPr>
    </w:p>
    <w:p w:rsidR="00F95571" w:rsidRDefault="00757F35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I acknowledge receipt of the above amount</w:t>
      </w:r>
    </w:p>
    <w:p w:rsidR="00F95571" w:rsidRDefault="00F95571">
      <w:pPr>
        <w:jc w:val="both"/>
        <w:rPr>
          <w:b/>
          <w:color w:val="222222"/>
          <w:highlight w:val="whit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FC2E60" w:rsidTr="00FC2E60">
        <w:trPr>
          <w:trHeight w:val="567"/>
        </w:trPr>
        <w:tc>
          <w:tcPr>
            <w:tcW w:w="3227" w:type="dxa"/>
            <w:vAlign w:val="center"/>
          </w:tcPr>
          <w:p w:rsidR="00FC2E60" w:rsidRDefault="00FC2E60" w:rsidP="00FC2E60">
            <w:pPr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Signature of allocated worker</w:t>
            </w:r>
          </w:p>
        </w:tc>
        <w:tc>
          <w:tcPr>
            <w:tcW w:w="5953" w:type="dxa"/>
          </w:tcPr>
          <w:p w:rsidR="00FC2E60" w:rsidRDefault="00FC2E60">
            <w:pPr>
              <w:jc w:val="both"/>
              <w:rPr>
                <w:color w:val="222222"/>
                <w:highlight w:val="white"/>
              </w:rPr>
            </w:pPr>
          </w:p>
        </w:tc>
      </w:tr>
      <w:tr w:rsidR="00FC2E60" w:rsidTr="00FC2E60">
        <w:trPr>
          <w:trHeight w:val="567"/>
        </w:trPr>
        <w:tc>
          <w:tcPr>
            <w:tcW w:w="3227" w:type="dxa"/>
            <w:vAlign w:val="center"/>
          </w:tcPr>
          <w:p w:rsidR="00FC2E60" w:rsidRDefault="00FC2E60" w:rsidP="00FC2E60">
            <w:pPr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Date</w:t>
            </w:r>
          </w:p>
        </w:tc>
        <w:tc>
          <w:tcPr>
            <w:tcW w:w="5953" w:type="dxa"/>
          </w:tcPr>
          <w:p w:rsidR="00FC2E60" w:rsidRDefault="00FC2E60">
            <w:pPr>
              <w:jc w:val="both"/>
              <w:rPr>
                <w:color w:val="222222"/>
                <w:highlight w:val="white"/>
              </w:rPr>
            </w:pPr>
          </w:p>
        </w:tc>
      </w:tr>
    </w:tbl>
    <w:p w:rsidR="00F95571" w:rsidRDefault="00F95571">
      <w:pPr>
        <w:jc w:val="both"/>
        <w:rPr>
          <w:color w:val="222222"/>
          <w:highlight w:val="white"/>
        </w:rPr>
      </w:pPr>
    </w:p>
    <w:p w:rsidR="00F95571" w:rsidRDefault="00F95571">
      <w:pPr>
        <w:rPr>
          <w:color w:val="222222"/>
          <w:highlight w:val="white"/>
        </w:rPr>
      </w:pPr>
    </w:p>
    <w:p w:rsidR="00F95571" w:rsidRDefault="00757F35">
      <w:pPr>
        <w:jc w:val="both"/>
        <w:rPr>
          <w:b/>
          <w:color w:val="222222"/>
          <w:highlight w:val="white"/>
        </w:rPr>
      </w:pPr>
      <w:r>
        <w:br w:type="page"/>
      </w:r>
    </w:p>
    <w:p w:rsidR="00F95571" w:rsidRDefault="00757F35">
      <w:pPr>
        <w:jc w:val="right"/>
        <w:rPr>
          <w:color w:val="222222"/>
          <w:highlight w:val="white"/>
        </w:rPr>
      </w:pPr>
      <w:r>
        <w:rPr>
          <w:b/>
          <w:color w:val="222222"/>
          <w:highlight w:val="white"/>
        </w:rPr>
        <w:lastRenderedPageBreak/>
        <w:t>APPENDIX C</w:t>
      </w:r>
    </w:p>
    <w:p w:rsidR="00F95571" w:rsidRDefault="00F95571">
      <w:pPr>
        <w:jc w:val="right"/>
        <w:rPr>
          <w:color w:val="222222"/>
          <w:highlight w:val="white"/>
        </w:rPr>
      </w:pPr>
    </w:p>
    <w:p w:rsidR="00F95571" w:rsidRDefault="00F95571">
      <w:pPr>
        <w:rPr>
          <w:color w:val="222222"/>
          <w:highlight w:val="white"/>
        </w:rPr>
      </w:pPr>
    </w:p>
    <w:p w:rsidR="00F95571" w:rsidRDefault="00757F35">
      <w:pPr>
        <w:jc w:val="center"/>
        <w:rPr>
          <w:color w:val="222222"/>
          <w:highlight w:val="white"/>
        </w:rPr>
      </w:pPr>
      <w:r>
        <w:rPr>
          <w:b/>
          <w:color w:val="222222"/>
          <w:highlight w:val="white"/>
        </w:rPr>
        <w:t>SUMMARY OF NON-COUNTY FUNDS</w:t>
      </w:r>
    </w:p>
    <w:p w:rsidR="00F95571" w:rsidRDefault="00F95571">
      <w:pPr>
        <w:jc w:val="center"/>
        <w:rPr>
          <w:color w:val="222222"/>
          <w:highlight w:val="white"/>
        </w:rPr>
      </w:pPr>
    </w:p>
    <w:tbl>
      <w:tblPr>
        <w:tblStyle w:val="a5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78"/>
        <w:gridCol w:w="3060"/>
        <w:gridCol w:w="1410"/>
        <w:gridCol w:w="2278"/>
      </w:tblGrid>
      <w:tr w:rsidR="00F95571"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Name of Office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22222"/>
                <w:highlight w:val="white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Month</w:t>
            </w:r>
          </w:p>
        </w:tc>
        <w:tc>
          <w:tcPr>
            <w:tcW w:w="22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</w:tbl>
    <w:p w:rsidR="00F95571" w:rsidRDefault="00F95571">
      <w:pPr>
        <w:rPr>
          <w:color w:val="222222"/>
          <w:highlight w:val="white"/>
        </w:rPr>
      </w:pPr>
    </w:p>
    <w:p w:rsidR="00F95571" w:rsidRDefault="00F95571">
      <w:pPr>
        <w:rPr>
          <w:color w:val="222222"/>
          <w:highlight w:val="white"/>
        </w:rPr>
      </w:pPr>
    </w:p>
    <w:p w:rsidR="00F95571" w:rsidRDefault="00F95571">
      <w:pPr>
        <w:rPr>
          <w:color w:val="222222"/>
          <w:highlight w:val="white"/>
        </w:rPr>
      </w:pPr>
    </w:p>
    <w:tbl>
      <w:tblPr>
        <w:tblStyle w:val="a6"/>
        <w:tblW w:w="89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1350"/>
        <w:gridCol w:w="1440"/>
        <w:gridCol w:w="1410"/>
      </w:tblGrid>
      <w:tr w:rsidR="00F95571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Client/Family Name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 xml:space="preserve">Amount </w:t>
            </w:r>
          </w:p>
          <w:p w:rsidR="00F95571" w:rsidRDefault="0075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222222"/>
                <w:highlight w:val="white"/>
              </w:rPr>
            </w:pPr>
            <w:proofErr w:type="spellStart"/>
            <w:r>
              <w:rPr>
                <w:b/>
                <w:color w:val="222222"/>
                <w:highlight w:val="white"/>
              </w:rPr>
              <w:t>R’cvd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Amount</w:t>
            </w:r>
          </w:p>
          <w:p w:rsidR="00F95571" w:rsidRDefault="0075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Debited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757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Balance</w:t>
            </w:r>
          </w:p>
        </w:tc>
      </w:tr>
      <w:tr w:rsidR="00F95571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  <w:tr w:rsidR="00F95571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  <w:tr w:rsidR="00F95571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  <w:tr w:rsidR="00F95571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  <w:tr w:rsidR="00F95571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  <w:tr w:rsidR="00F95571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  <w:tr w:rsidR="00F95571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  <w:tr w:rsidR="00F95571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  <w:tr w:rsidR="00F95571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5571" w:rsidRDefault="00F955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</w:tbl>
    <w:p w:rsidR="00F95571" w:rsidRDefault="00F95571">
      <w:pPr>
        <w:rPr>
          <w:color w:val="222222"/>
          <w:highlight w:val="white"/>
        </w:rPr>
      </w:pPr>
    </w:p>
    <w:p w:rsidR="00FC2E60" w:rsidRDefault="00FC2E60">
      <w:pPr>
        <w:rPr>
          <w:color w:val="222222"/>
          <w:highlight w:val="white"/>
        </w:rPr>
      </w:pPr>
    </w:p>
    <w:p w:rsidR="00FC2E60" w:rsidRDefault="00FC2E60" w:rsidP="00FC2E60">
      <w:pPr>
        <w:jc w:val="center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To be submitted monthly to Christine </w:t>
      </w:r>
      <w:proofErr w:type="spellStart"/>
      <w:r>
        <w:rPr>
          <w:color w:val="222222"/>
          <w:highlight w:val="white"/>
        </w:rPr>
        <w:t>Hoggarth</w:t>
      </w:r>
      <w:proofErr w:type="spellEnd"/>
      <w:r>
        <w:rPr>
          <w:color w:val="222222"/>
          <w:highlight w:val="white"/>
        </w:rPr>
        <w:t xml:space="preserve"> and Julia Simpson</w:t>
      </w:r>
      <w:bookmarkStart w:id="0" w:name="_GoBack"/>
      <w:bookmarkEnd w:id="0"/>
    </w:p>
    <w:sectPr w:rsidR="00FC2E60">
      <w:headerReference w:type="default" r:id="rId10"/>
      <w:headerReference w:type="first" r:id="rId11"/>
      <w:footerReference w:type="first" r:id="rId12"/>
      <w:pgSz w:w="11906" w:h="16838"/>
      <w:pgMar w:top="566" w:right="1440" w:bottom="566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35" w:rsidRDefault="00757F35">
      <w:pPr>
        <w:spacing w:line="240" w:lineRule="auto"/>
      </w:pPr>
      <w:r>
        <w:separator/>
      </w:r>
    </w:p>
  </w:endnote>
  <w:endnote w:type="continuationSeparator" w:id="0">
    <w:p w:rsidR="00757F35" w:rsidRDefault="00757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71" w:rsidRDefault="00F955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35" w:rsidRDefault="00757F35">
      <w:pPr>
        <w:spacing w:line="240" w:lineRule="auto"/>
      </w:pPr>
      <w:r>
        <w:separator/>
      </w:r>
    </w:p>
  </w:footnote>
  <w:footnote w:type="continuationSeparator" w:id="0">
    <w:p w:rsidR="00757F35" w:rsidRDefault="00757F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71" w:rsidRDefault="00F95571">
    <w:pPr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71" w:rsidRDefault="00F955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7D9"/>
    <w:multiLevelType w:val="multilevel"/>
    <w:tmpl w:val="B1C6A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BF03A0"/>
    <w:multiLevelType w:val="multilevel"/>
    <w:tmpl w:val="6AC0B0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06785E99"/>
    <w:multiLevelType w:val="multilevel"/>
    <w:tmpl w:val="9F6454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9685D70"/>
    <w:multiLevelType w:val="multilevel"/>
    <w:tmpl w:val="A1AA66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1380824"/>
    <w:multiLevelType w:val="multilevel"/>
    <w:tmpl w:val="D80039A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6E25507"/>
    <w:multiLevelType w:val="multilevel"/>
    <w:tmpl w:val="5E86D74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5571"/>
    <w:rsid w:val="00757F35"/>
    <w:rsid w:val="00F95571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FC2E60"/>
    <w:pPr>
      <w:spacing w:line="240" w:lineRule="auto"/>
    </w:pPr>
  </w:style>
  <w:style w:type="table" w:styleId="TableGrid">
    <w:name w:val="Table Grid"/>
    <w:basedOn w:val="TableNormal"/>
    <w:uiPriority w:val="59"/>
    <w:rsid w:val="00FC2E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FC2E60"/>
    <w:pPr>
      <w:spacing w:line="240" w:lineRule="auto"/>
    </w:pPr>
  </w:style>
  <w:style w:type="table" w:styleId="TableGrid">
    <w:name w:val="Table Grid"/>
    <w:basedOn w:val="TableNormal"/>
    <w:uiPriority w:val="59"/>
    <w:rsid w:val="00FC2E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hiers@northumberland.gov.u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cey.Horseman@northumbria-healthcare.nhs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780</Words>
  <Characters>4449</Characters>
  <Application>Microsoft Office Word</Application>
  <DocSecurity>0</DocSecurity>
  <Lines>37</Lines>
  <Paragraphs>10</Paragraphs>
  <ScaleCrop>false</ScaleCrop>
  <Company>Northumberland County Council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Simpson</cp:lastModifiedBy>
  <cp:revision>3</cp:revision>
  <dcterms:created xsi:type="dcterms:W3CDTF">2020-03-25T15:16:00Z</dcterms:created>
  <dcterms:modified xsi:type="dcterms:W3CDTF">2020-03-25T15:22:00Z</dcterms:modified>
</cp:coreProperties>
</file>