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7B313" w14:textId="77777777" w:rsidR="00C61236" w:rsidRDefault="00C61236">
      <w:pPr>
        <w:jc w:val="center"/>
        <w:rPr>
          <w:b/>
          <w:sz w:val="28"/>
          <w:szCs w:val="28"/>
        </w:rPr>
      </w:pPr>
    </w:p>
    <w:p w14:paraId="21DBFDC0" w14:textId="06AD89CB" w:rsidR="00F41E4F" w:rsidRPr="00484ACE" w:rsidRDefault="00831B60">
      <w:pPr>
        <w:jc w:val="center"/>
        <w:rPr>
          <w:sz w:val="36"/>
          <w:szCs w:val="36"/>
        </w:rPr>
      </w:pPr>
      <w:r w:rsidRPr="00484ACE">
        <w:rPr>
          <w:b/>
          <w:sz w:val="36"/>
          <w:szCs w:val="36"/>
        </w:rPr>
        <w:t xml:space="preserve">Confidentiality and Consent to Share Information </w:t>
      </w:r>
    </w:p>
    <w:p w14:paraId="21DBFDC1" w14:textId="77777777" w:rsidR="00F41E4F" w:rsidRDefault="00F41E4F">
      <w:pPr>
        <w:rPr>
          <w:b/>
        </w:rPr>
      </w:pPr>
    </w:p>
    <w:p w14:paraId="21DBFDC2" w14:textId="77777777" w:rsidR="00F41E4F" w:rsidRDefault="00F41E4F">
      <w:pPr>
        <w:rPr>
          <w:highlight w:val="white"/>
        </w:rPr>
      </w:pPr>
    </w:p>
    <w:p w14:paraId="21DBFDC3" w14:textId="77777777" w:rsidR="00F41E4F" w:rsidRDefault="00831B60">
      <w:pPr>
        <w:rPr>
          <w:b/>
          <w:highlight w:val="white"/>
        </w:rPr>
      </w:pPr>
      <w:r>
        <w:rPr>
          <w:b/>
          <w:highlight w:val="white"/>
        </w:rPr>
        <w:t>1. What is Confidentiality?</w:t>
      </w:r>
    </w:p>
    <w:p w14:paraId="21DBFDC4" w14:textId="77777777" w:rsidR="00F41E4F" w:rsidRDefault="00F41E4F">
      <w:pPr>
        <w:rPr>
          <w:highlight w:val="white"/>
        </w:rPr>
      </w:pPr>
    </w:p>
    <w:p w14:paraId="21DBFDC5" w14:textId="77777777" w:rsidR="00F41E4F" w:rsidRDefault="00831B60">
      <w:pPr>
        <w:rPr>
          <w:b/>
          <w:highlight w:val="white"/>
        </w:rPr>
      </w:pPr>
      <w:r>
        <w:rPr>
          <w:b/>
          <w:highlight w:val="white"/>
        </w:rPr>
        <w:t>2. What legislation covers confidentiality in Social Care?</w:t>
      </w:r>
    </w:p>
    <w:p w14:paraId="21DBFDC6" w14:textId="77777777" w:rsidR="00F41E4F" w:rsidRDefault="00831B60">
      <w:pPr>
        <w:numPr>
          <w:ilvl w:val="0"/>
          <w:numId w:val="2"/>
        </w:numPr>
        <w:shd w:val="clear" w:color="auto" w:fill="FFFFFF"/>
        <w:rPr>
          <w:highlight w:val="white"/>
        </w:rPr>
      </w:pPr>
      <w:r>
        <w:t>The Common Law of Confidentiality</w:t>
      </w:r>
    </w:p>
    <w:p w14:paraId="21DBFDC7" w14:textId="77777777" w:rsidR="00F41E4F" w:rsidRDefault="00831B60">
      <w:pPr>
        <w:numPr>
          <w:ilvl w:val="0"/>
          <w:numId w:val="2"/>
        </w:numPr>
        <w:shd w:val="clear" w:color="auto" w:fill="FFFFFF"/>
        <w:rPr>
          <w:highlight w:val="white"/>
        </w:rPr>
      </w:pPr>
      <w:r>
        <w:t>The Human Rights Act 1998</w:t>
      </w:r>
    </w:p>
    <w:p w14:paraId="21DBFDC8" w14:textId="77777777" w:rsidR="00F41E4F" w:rsidRDefault="00831B60">
      <w:pPr>
        <w:numPr>
          <w:ilvl w:val="0"/>
          <w:numId w:val="2"/>
        </w:numPr>
        <w:shd w:val="clear" w:color="auto" w:fill="FFFFFF"/>
        <w:rPr>
          <w:highlight w:val="white"/>
        </w:rPr>
      </w:pPr>
      <w:r>
        <w:t>The Care Act 2014</w:t>
      </w:r>
    </w:p>
    <w:p w14:paraId="21DBFDC9" w14:textId="77777777" w:rsidR="00F41E4F" w:rsidRDefault="00831B60">
      <w:pPr>
        <w:numPr>
          <w:ilvl w:val="0"/>
          <w:numId w:val="2"/>
        </w:numPr>
        <w:shd w:val="clear" w:color="auto" w:fill="FFFFFF"/>
        <w:rPr>
          <w:highlight w:val="white"/>
        </w:rPr>
      </w:pPr>
      <w:r>
        <w:t>The Health and Social Care (Safety and Quality) Act 2015</w:t>
      </w:r>
    </w:p>
    <w:p w14:paraId="21DBFDCA" w14:textId="77777777" w:rsidR="00F41E4F" w:rsidRDefault="00831B60">
      <w:pPr>
        <w:numPr>
          <w:ilvl w:val="0"/>
          <w:numId w:val="2"/>
        </w:numPr>
        <w:shd w:val="clear" w:color="auto" w:fill="FFFFFF"/>
        <w:rPr>
          <w:highlight w:val="white"/>
        </w:rPr>
      </w:pPr>
      <w:r>
        <w:t>The Data Protection Act 2018 and the GDPR</w:t>
      </w:r>
    </w:p>
    <w:p w14:paraId="21DBFDCB" w14:textId="77777777" w:rsidR="00F41E4F" w:rsidRDefault="00F41E4F">
      <w:pPr>
        <w:rPr>
          <w:highlight w:val="white"/>
        </w:rPr>
      </w:pPr>
    </w:p>
    <w:p w14:paraId="21DBFDCC" w14:textId="77777777" w:rsidR="00F41E4F" w:rsidRDefault="00831B60">
      <w:pPr>
        <w:rPr>
          <w:b/>
          <w:highlight w:val="white"/>
        </w:rPr>
      </w:pPr>
      <w:r>
        <w:rPr>
          <w:b/>
          <w:highlight w:val="white"/>
        </w:rPr>
        <w:t>3. When can you break confidentiality in Social Care?</w:t>
      </w:r>
    </w:p>
    <w:p w14:paraId="766D5D6D" w14:textId="78DD1232" w:rsidR="00A50E14" w:rsidRDefault="00831B60">
      <w:pPr>
        <w:ind w:left="720"/>
        <w:rPr>
          <w:highlight w:val="white"/>
        </w:rPr>
      </w:pPr>
      <w:r>
        <w:rPr>
          <w:highlight w:val="white"/>
        </w:rPr>
        <w:t xml:space="preserve">3.1 </w:t>
      </w:r>
      <w:r w:rsidR="00285A88">
        <w:rPr>
          <w:highlight w:val="white"/>
        </w:rPr>
        <w:t>When can you override confidentiality</w:t>
      </w:r>
    </w:p>
    <w:p w14:paraId="21DBFDCD" w14:textId="11BBAE97" w:rsidR="00F41E4F" w:rsidRDefault="00A50E14">
      <w:pPr>
        <w:ind w:left="720"/>
        <w:rPr>
          <w:highlight w:val="white"/>
        </w:rPr>
      </w:pPr>
      <w:r>
        <w:rPr>
          <w:highlight w:val="white"/>
        </w:rPr>
        <w:t xml:space="preserve">3.2 </w:t>
      </w:r>
      <w:r w:rsidR="00831B60">
        <w:rPr>
          <w:highlight w:val="white"/>
        </w:rPr>
        <w:t>The Domestic Violence Disclosure Scheme</w:t>
      </w:r>
    </w:p>
    <w:p w14:paraId="21DBFDCE" w14:textId="77777777" w:rsidR="00F41E4F" w:rsidRDefault="00F41E4F">
      <w:pPr>
        <w:rPr>
          <w:highlight w:val="white"/>
        </w:rPr>
      </w:pPr>
    </w:p>
    <w:p w14:paraId="21DBFDCF" w14:textId="77777777" w:rsidR="00F41E4F" w:rsidRDefault="00831B60">
      <w:pPr>
        <w:rPr>
          <w:b/>
          <w:highlight w:val="white"/>
        </w:rPr>
      </w:pPr>
      <w:r>
        <w:rPr>
          <w:b/>
          <w:highlight w:val="white"/>
        </w:rPr>
        <w:t>4. Confidentiality and Information Sharing</w:t>
      </w:r>
    </w:p>
    <w:p w14:paraId="21DBFDD0" w14:textId="77777777" w:rsidR="00F41E4F" w:rsidRDefault="00831B60">
      <w:pPr>
        <w:ind w:left="720"/>
        <w:rPr>
          <w:highlight w:val="white"/>
        </w:rPr>
      </w:pPr>
      <w:r>
        <w:rPr>
          <w:highlight w:val="white"/>
        </w:rPr>
        <w:t>4.1 Caldicott Principles</w:t>
      </w:r>
    </w:p>
    <w:p w14:paraId="21DBFDD1" w14:textId="77777777" w:rsidR="00F41E4F" w:rsidRDefault="00831B60">
      <w:pPr>
        <w:ind w:left="720"/>
        <w:rPr>
          <w:highlight w:val="white"/>
        </w:rPr>
      </w:pPr>
      <w:r>
        <w:rPr>
          <w:highlight w:val="white"/>
        </w:rPr>
        <w:t>4.2 Seven golden rules for Sharing Information</w:t>
      </w:r>
    </w:p>
    <w:p w14:paraId="21DBFDD2" w14:textId="77777777" w:rsidR="00F41E4F" w:rsidRDefault="00831B60">
      <w:pPr>
        <w:ind w:left="720"/>
        <w:rPr>
          <w:highlight w:val="white"/>
        </w:rPr>
      </w:pPr>
      <w:r>
        <w:rPr>
          <w:highlight w:val="white"/>
        </w:rPr>
        <w:t xml:space="preserve">4.3 </w:t>
      </w:r>
      <w:proofErr w:type="spellStart"/>
      <w:r>
        <w:rPr>
          <w:highlight w:val="white"/>
        </w:rPr>
        <w:t>Tri.x</w:t>
      </w:r>
      <w:proofErr w:type="spellEnd"/>
      <w:r>
        <w:rPr>
          <w:highlight w:val="white"/>
        </w:rPr>
        <w:t xml:space="preserve"> resources</w:t>
      </w:r>
    </w:p>
    <w:p w14:paraId="21DBFDD3" w14:textId="77777777" w:rsidR="00F41E4F" w:rsidRDefault="00F41E4F">
      <w:pPr>
        <w:rPr>
          <w:highlight w:val="white"/>
        </w:rPr>
      </w:pPr>
    </w:p>
    <w:p w14:paraId="21DBFDD4" w14:textId="77777777" w:rsidR="00F41E4F" w:rsidRDefault="00F41E4F">
      <w:pPr>
        <w:rPr>
          <w:highlight w:val="white"/>
        </w:rPr>
      </w:pPr>
    </w:p>
    <w:p w14:paraId="21DBFDD5" w14:textId="77777777" w:rsidR="00F41E4F" w:rsidRDefault="00F41E4F">
      <w:pPr>
        <w:rPr>
          <w:highlight w:val="white"/>
        </w:rPr>
      </w:pPr>
    </w:p>
    <w:p w14:paraId="21DBFDD6" w14:textId="77777777" w:rsidR="00F41E4F" w:rsidRDefault="00F41E4F">
      <w:pPr>
        <w:rPr>
          <w:highlight w:val="white"/>
        </w:rPr>
      </w:pPr>
    </w:p>
    <w:p w14:paraId="21DBFDD7" w14:textId="77777777" w:rsidR="00F41E4F" w:rsidRDefault="00831B60">
      <w:pPr>
        <w:jc w:val="both"/>
        <w:rPr>
          <w:b/>
          <w:sz w:val="28"/>
          <w:szCs w:val="28"/>
        </w:rPr>
      </w:pPr>
      <w:r>
        <w:rPr>
          <w:b/>
          <w:sz w:val="28"/>
          <w:szCs w:val="28"/>
        </w:rPr>
        <w:t>1. What is Confidentiality?</w:t>
      </w:r>
    </w:p>
    <w:p w14:paraId="21DBFDD8" w14:textId="77777777" w:rsidR="00F41E4F" w:rsidRDefault="00831B60">
      <w:pPr>
        <w:jc w:val="both"/>
      </w:pPr>
      <w:r>
        <w:t xml:space="preserve">The principle of confidentiality is about privacy and respecting someone’s wishes. It means that you shouldn’t share personal details about someone with others, unless that person has said you can or it’s </w:t>
      </w:r>
      <w:proofErr w:type="gramStart"/>
      <w:r>
        <w:t>absolutely necessary</w:t>
      </w:r>
      <w:proofErr w:type="gramEnd"/>
      <w:r>
        <w:t xml:space="preserve">. </w:t>
      </w:r>
    </w:p>
    <w:p w14:paraId="21DBFDD9" w14:textId="77777777" w:rsidR="00F41E4F" w:rsidRDefault="00F41E4F">
      <w:pPr>
        <w:shd w:val="clear" w:color="auto" w:fill="FFFFFF"/>
        <w:spacing w:before="260" w:after="260"/>
        <w:jc w:val="both"/>
        <w:rPr>
          <w:highlight w:val="white"/>
        </w:rPr>
      </w:pPr>
    </w:p>
    <w:p w14:paraId="21DBFDDA" w14:textId="77777777" w:rsidR="00F41E4F" w:rsidRDefault="00831B60">
      <w:pPr>
        <w:jc w:val="both"/>
        <w:rPr>
          <w:b/>
          <w:sz w:val="28"/>
          <w:szCs w:val="28"/>
        </w:rPr>
      </w:pPr>
      <w:r>
        <w:rPr>
          <w:b/>
          <w:sz w:val="28"/>
          <w:szCs w:val="28"/>
        </w:rPr>
        <w:t>2. What legislation covers confidentiality in Social Care?</w:t>
      </w:r>
    </w:p>
    <w:p w14:paraId="21DBFDDB" w14:textId="77777777" w:rsidR="00F41E4F" w:rsidRDefault="00831B60">
      <w:pPr>
        <w:jc w:val="both"/>
      </w:pPr>
      <w:r>
        <w:t>There are many legislative requirements surrounding confidentiality in social care. If you work with people and their records, then it’s important that you’re aware of the following legislation.</w:t>
      </w:r>
    </w:p>
    <w:p w14:paraId="21DBFDDC" w14:textId="77777777" w:rsidR="00F41E4F" w:rsidRDefault="00F41E4F">
      <w:pPr>
        <w:jc w:val="both"/>
      </w:pPr>
    </w:p>
    <w:p w14:paraId="21DBFDDD" w14:textId="77777777" w:rsidR="00F41E4F" w:rsidRDefault="00831B60">
      <w:pPr>
        <w:jc w:val="both"/>
        <w:rPr>
          <w:b/>
        </w:rPr>
      </w:pPr>
      <w:r>
        <w:rPr>
          <w:b/>
        </w:rPr>
        <w:t>The Common Law of Confidentiality</w:t>
      </w:r>
    </w:p>
    <w:p w14:paraId="21DBFDDE" w14:textId="77777777" w:rsidR="00F41E4F" w:rsidRDefault="00831B60">
      <w:pPr>
        <w:jc w:val="both"/>
      </w:pPr>
      <w:r>
        <w:t>The principle of confidentiality is broadly taken from common law, which is why it’s called a common law duty of confidentiality. Confidentiality is important for encouraging people to come forward with issues and concerns.</w:t>
      </w:r>
    </w:p>
    <w:p w14:paraId="21DBFDDF" w14:textId="77777777" w:rsidR="00F41E4F" w:rsidRDefault="00831B60">
      <w:pPr>
        <w:jc w:val="both"/>
      </w:pPr>
      <w:r>
        <w:t xml:space="preserve">However, there are certain offences and provisions where the duty of confidentiality is </w:t>
      </w:r>
      <w:proofErr w:type="gramStart"/>
      <w:r>
        <w:t>overridden</w:t>
      </w:r>
      <w:proofErr w:type="gramEnd"/>
      <w:r>
        <w:t xml:space="preserve"> and the appropriate authorities need to know. Additionally, if there is a serious </w:t>
      </w:r>
      <w:r>
        <w:lastRenderedPageBreak/>
        <w:t>safeguarding concern and somebody is at risk, then you have a duty to share this information to keep people safe.</w:t>
      </w:r>
    </w:p>
    <w:p w14:paraId="21DBFDE0" w14:textId="77777777" w:rsidR="00F41E4F" w:rsidRDefault="00F41E4F">
      <w:pPr>
        <w:jc w:val="both"/>
      </w:pPr>
    </w:p>
    <w:p w14:paraId="21DBFDE1" w14:textId="77777777" w:rsidR="00F41E4F" w:rsidRDefault="00831B60">
      <w:pPr>
        <w:jc w:val="both"/>
        <w:rPr>
          <w:b/>
        </w:rPr>
      </w:pPr>
      <w:r>
        <w:rPr>
          <w:b/>
        </w:rPr>
        <w:t>The Human Rights Act 1998</w:t>
      </w:r>
    </w:p>
    <w:p w14:paraId="21DBFDE2" w14:textId="77777777" w:rsidR="00F41E4F" w:rsidRDefault="00831B60">
      <w:pPr>
        <w:jc w:val="both"/>
      </w:pPr>
      <w:r>
        <w:t>The Human Rights Act gives every individual the right to respect for their private and family life. This includes having any personal information held in confidence. This right, however, is not absolute and can be overridden if necessary, such as for a safeguarding concern.</w:t>
      </w:r>
    </w:p>
    <w:p w14:paraId="21DBFDE3" w14:textId="77777777" w:rsidR="00F41E4F" w:rsidRDefault="00F41E4F">
      <w:pPr>
        <w:jc w:val="both"/>
      </w:pPr>
    </w:p>
    <w:p w14:paraId="21DBFDE4" w14:textId="77777777" w:rsidR="00F41E4F" w:rsidRDefault="00831B60">
      <w:pPr>
        <w:jc w:val="both"/>
        <w:rPr>
          <w:b/>
        </w:rPr>
      </w:pPr>
      <w:r>
        <w:rPr>
          <w:b/>
        </w:rPr>
        <w:t>The Care Act 2014</w:t>
      </w:r>
    </w:p>
    <w:p w14:paraId="21DBFDE5" w14:textId="77777777" w:rsidR="00F41E4F" w:rsidRDefault="00831B60">
      <w:pPr>
        <w:jc w:val="both"/>
      </w:pPr>
      <w:r>
        <w:t>This Act encourages caregivers to take a person-centred approach when safeguarding vulnerable adults. It also sets out a new way of thinking in relation to adult social care by explaining the importance of sharing information at early stages so that people stay safe.</w:t>
      </w:r>
    </w:p>
    <w:p w14:paraId="21DBFDE6" w14:textId="77777777" w:rsidR="00F41E4F" w:rsidRDefault="00F41E4F">
      <w:pPr>
        <w:jc w:val="both"/>
      </w:pPr>
    </w:p>
    <w:p w14:paraId="21DBFDE7" w14:textId="77777777" w:rsidR="00F41E4F" w:rsidRDefault="00831B60">
      <w:pPr>
        <w:jc w:val="both"/>
        <w:rPr>
          <w:b/>
        </w:rPr>
      </w:pPr>
      <w:r>
        <w:rPr>
          <w:b/>
        </w:rPr>
        <w:t>The Health and Social Care (Safety and Quality) Act 2015</w:t>
      </w:r>
    </w:p>
    <w:p w14:paraId="21DBFDE8" w14:textId="77777777" w:rsidR="00F41E4F" w:rsidRDefault="00831B60">
      <w:pPr>
        <w:jc w:val="both"/>
      </w:pPr>
      <w:r>
        <w:t xml:space="preserve">This Act sets out </w:t>
      </w:r>
      <w:proofErr w:type="gramStart"/>
      <w:r>
        <w:t>a number of</w:t>
      </w:r>
      <w:proofErr w:type="gramEnd"/>
      <w:r>
        <w:t xml:space="preserve"> provisions relating to the health and social care services in England. It covers the integration of information relating to users of health and social services. It also explains the sharing of information for individuals who use health and social care services.</w:t>
      </w:r>
    </w:p>
    <w:p w14:paraId="21DBFDE9" w14:textId="77777777" w:rsidR="00F41E4F" w:rsidRDefault="00F41E4F">
      <w:pPr>
        <w:jc w:val="both"/>
      </w:pPr>
    </w:p>
    <w:p w14:paraId="21DBFDEA" w14:textId="77777777" w:rsidR="00F41E4F" w:rsidRDefault="00831B60">
      <w:pPr>
        <w:jc w:val="both"/>
        <w:rPr>
          <w:b/>
        </w:rPr>
      </w:pPr>
      <w:r>
        <w:rPr>
          <w:b/>
        </w:rPr>
        <w:t>The Data Protection Act 2018 and the GDPR</w:t>
      </w:r>
    </w:p>
    <w:p w14:paraId="21DBFDEB" w14:textId="77777777" w:rsidR="00F41E4F" w:rsidRDefault="00831B60">
      <w:pPr>
        <w:jc w:val="both"/>
      </w:pPr>
      <w:r>
        <w:t>The Data Protection Act and the GDPR both have provisions that explain the way organisations, charities, and businesses must handle information. This includes care settings and provisions relating to clients, patients, and employees. Under Data Protection and the GDPR, personal information must be:</w:t>
      </w:r>
    </w:p>
    <w:p w14:paraId="21DBFDEC" w14:textId="77777777" w:rsidR="00F41E4F" w:rsidRDefault="00831B60">
      <w:pPr>
        <w:numPr>
          <w:ilvl w:val="0"/>
          <w:numId w:val="3"/>
        </w:numPr>
        <w:shd w:val="clear" w:color="auto" w:fill="FFFFFF"/>
        <w:spacing w:before="260"/>
        <w:jc w:val="both"/>
        <w:rPr>
          <w:highlight w:val="white"/>
        </w:rPr>
      </w:pPr>
      <w:r>
        <w:rPr>
          <w:highlight w:val="white"/>
        </w:rPr>
        <w:t>Processed lawfully, fairly, and transparently.</w:t>
      </w:r>
    </w:p>
    <w:p w14:paraId="21DBFDED" w14:textId="77777777" w:rsidR="00F41E4F" w:rsidRDefault="00831B60">
      <w:pPr>
        <w:numPr>
          <w:ilvl w:val="0"/>
          <w:numId w:val="3"/>
        </w:numPr>
        <w:shd w:val="clear" w:color="auto" w:fill="FFFFFF"/>
        <w:jc w:val="both"/>
        <w:rPr>
          <w:highlight w:val="white"/>
        </w:rPr>
      </w:pPr>
      <w:r>
        <w:rPr>
          <w:highlight w:val="white"/>
        </w:rPr>
        <w:t>Collected for specified, explicit and legitimate purposes.</w:t>
      </w:r>
    </w:p>
    <w:p w14:paraId="21DBFDEE" w14:textId="77777777" w:rsidR="00F41E4F" w:rsidRDefault="00831B60">
      <w:pPr>
        <w:numPr>
          <w:ilvl w:val="0"/>
          <w:numId w:val="3"/>
        </w:numPr>
        <w:shd w:val="clear" w:color="auto" w:fill="FFFFFF"/>
        <w:jc w:val="both"/>
        <w:rPr>
          <w:highlight w:val="white"/>
        </w:rPr>
      </w:pPr>
      <w:r>
        <w:rPr>
          <w:highlight w:val="white"/>
        </w:rPr>
        <w:t>Adequate, relevant, and limited to what’s necessary for the purposes of why it was collected.</w:t>
      </w:r>
    </w:p>
    <w:p w14:paraId="21DBFDEF" w14:textId="77777777" w:rsidR="00F41E4F" w:rsidRDefault="00831B60">
      <w:pPr>
        <w:numPr>
          <w:ilvl w:val="0"/>
          <w:numId w:val="3"/>
        </w:numPr>
        <w:shd w:val="clear" w:color="auto" w:fill="FFFFFF"/>
        <w:jc w:val="both"/>
        <w:rPr>
          <w:highlight w:val="white"/>
        </w:rPr>
      </w:pPr>
      <w:r>
        <w:rPr>
          <w:highlight w:val="white"/>
        </w:rPr>
        <w:t>Accurate and up to date.</w:t>
      </w:r>
    </w:p>
    <w:p w14:paraId="21DBFDF0" w14:textId="77777777" w:rsidR="00F41E4F" w:rsidRDefault="00831B60">
      <w:pPr>
        <w:numPr>
          <w:ilvl w:val="0"/>
          <w:numId w:val="3"/>
        </w:numPr>
        <w:shd w:val="clear" w:color="auto" w:fill="FFFFFF"/>
        <w:jc w:val="both"/>
        <w:rPr>
          <w:highlight w:val="white"/>
        </w:rPr>
      </w:pPr>
      <w:r>
        <w:rPr>
          <w:highlight w:val="white"/>
        </w:rPr>
        <w:t>Not be kept for longer than is necessary.</w:t>
      </w:r>
    </w:p>
    <w:p w14:paraId="21DBFDF1" w14:textId="77777777" w:rsidR="00F41E4F" w:rsidRDefault="00831B60">
      <w:pPr>
        <w:numPr>
          <w:ilvl w:val="0"/>
          <w:numId w:val="3"/>
        </w:numPr>
        <w:shd w:val="clear" w:color="auto" w:fill="FFFFFF"/>
        <w:spacing w:after="260"/>
        <w:jc w:val="both"/>
        <w:rPr>
          <w:highlight w:val="white"/>
        </w:rPr>
      </w:pPr>
      <w:r>
        <w:rPr>
          <w:highlight w:val="white"/>
        </w:rPr>
        <w:t>Processed in a manner with appropriate security, including protection against accidental loss.</w:t>
      </w:r>
    </w:p>
    <w:p w14:paraId="21DBFDF2" w14:textId="77777777" w:rsidR="00F41E4F" w:rsidRDefault="00F41E4F">
      <w:pPr>
        <w:jc w:val="both"/>
        <w:rPr>
          <w:highlight w:val="white"/>
        </w:rPr>
      </w:pPr>
    </w:p>
    <w:p w14:paraId="21DBFDF3" w14:textId="77777777" w:rsidR="00F41E4F" w:rsidRDefault="00F41E4F">
      <w:pPr>
        <w:jc w:val="both"/>
        <w:rPr>
          <w:highlight w:val="white"/>
        </w:rPr>
      </w:pPr>
    </w:p>
    <w:p w14:paraId="21DBFDF4" w14:textId="69D9D508" w:rsidR="00F41E4F" w:rsidRDefault="0051663B">
      <w:pPr>
        <w:jc w:val="both"/>
        <w:rPr>
          <w:b/>
          <w:sz w:val="28"/>
          <w:szCs w:val="28"/>
        </w:rPr>
      </w:pPr>
      <w:r>
        <w:rPr>
          <w:b/>
          <w:sz w:val="28"/>
          <w:szCs w:val="28"/>
        </w:rPr>
        <w:t xml:space="preserve">3. </w:t>
      </w:r>
      <w:r w:rsidR="00831B60">
        <w:rPr>
          <w:b/>
          <w:sz w:val="28"/>
          <w:szCs w:val="28"/>
        </w:rPr>
        <w:t>When can you break confidentiality in Social Care?</w:t>
      </w:r>
    </w:p>
    <w:p w14:paraId="3C02E6DD" w14:textId="5D6670BF" w:rsidR="009B36BA" w:rsidRPr="00285A88" w:rsidRDefault="009B36BA">
      <w:pPr>
        <w:jc w:val="both"/>
        <w:rPr>
          <w:b/>
          <w:bCs/>
        </w:rPr>
      </w:pPr>
      <w:r w:rsidRPr="00285A88">
        <w:rPr>
          <w:b/>
          <w:bCs/>
        </w:rPr>
        <w:t xml:space="preserve">3.1 </w:t>
      </w:r>
      <w:r w:rsidR="00285A88" w:rsidRPr="00285A88">
        <w:rPr>
          <w:b/>
          <w:bCs/>
        </w:rPr>
        <w:t>When can you override confidentiality?</w:t>
      </w:r>
    </w:p>
    <w:p w14:paraId="21DBFDF5" w14:textId="344AFE19" w:rsidR="00F41E4F" w:rsidRDefault="00831B60">
      <w:pPr>
        <w:jc w:val="both"/>
      </w:pPr>
      <w:r>
        <w:t>You may, in certain circumstances, override your duty of confidentiality if it’s done to protect the person’s best interests or the interests of the public. This means you may override your duty if:</w:t>
      </w:r>
    </w:p>
    <w:p w14:paraId="21DBFDF6" w14:textId="77777777" w:rsidR="00F41E4F" w:rsidRDefault="00831B60">
      <w:pPr>
        <w:numPr>
          <w:ilvl w:val="0"/>
          <w:numId w:val="6"/>
        </w:numPr>
        <w:jc w:val="both"/>
      </w:pPr>
      <w:r>
        <w:t>You have information that suggests a person is at risk of harm.</w:t>
      </w:r>
    </w:p>
    <w:p w14:paraId="21DBFDF7" w14:textId="77777777" w:rsidR="00F41E4F" w:rsidRDefault="00831B60">
      <w:pPr>
        <w:numPr>
          <w:ilvl w:val="0"/>
          <w:numId w:val="6"/>
        </w:numPr>
        <w:jc w:val="both"/>
      </w:pPr>
      <w:r>
        <w:t>You have information to suggest that a person is posing a risk of harm to someone else.</w:t>
      </w:r>
    </w:p>
    <w:p w14:paraId="21DBFDF8" w14:textId="77777777" w:rsidR="00F41E4F" w:rsidRDefault="00831B60">
      <w:pPr>
        <w:jc w:val="both"/>
      </w:pPr>
      <w:r>
        <w:t>In these instances, you should always report your concerns to your manager or supervisor. You should also help and contribute to any further actions that are taken to reduce the risk of harm.</w:t>
      </w:r>
    </w:p>
    <w:p w14:paraId="21DBFDF9" w14:textId="77777777" w:rsidR="00F41E4F" w:rsidRDefault="00831B60">
      <w:pPr>
        <w:jc w:val="both"/>
      </w:pPr>
      <w:r>
        <w:lastRenderedPageBreak/>
        <w:t xml:space="preserve">However, sometimes things are not this </w:t>
      </w:r>
      <w:proofErr w:type="gramStart"/>
      <w:r>
        <w:t>simple</w:t>
      </w:r>
      <w:proofErr w:type="gramEnd"/>
      <w:r>
        <w:t xml:space="preserve"> and it can be easy to misread and misunderstand the signs. If you have any concerns about someone, or a confidentiality issue arises, you should always ask your manager or supervisor for advice.</w:t>
      </w:r>
    </w:p>
    <w:p w14:paraId="21DBFDFA" w14:textId="77777777" w:rsidR="00F41E4F" w:rsidRDefault="00F41E4F">
      <w:pPr>
        <w:jc w:val="both"/>
      </w:pPr>
    </w:p>
    <w:p w14:paraId="21DBFDFB" w14:textId="76D714EF" w:rsidR="00F41E4F" w:rsidRDefault="009B36BA">
      <w:pPr>
        <w:jc w:val="both"/>
        <w:rPr>
          <w:b/>
          <w:sz w:val="24"/>
          <w:szCs w:val="24"/>
        </w:rPr>
      </w:pPr>
      <w:r>
        <w:rPr>
          <w:b/>
          <w:sz w:val="24"/>
          <w:szCs w:val="24"/>
        </w:rPr>
        <w:t xml:space="preserve">3.2 </w:t>
      </w:r>
      <w:r w:rsidR="00831B60">
        <w:rPr>
          <w:b/>
          <w:sz w:val="24"/>
          <w:szCs w:val="24"/>
        </w:rPr>
        <w:t>The Domestic Violence Disclosure Scheme</w:t>
      </w:r>
    </w:p>
    <w:p w14:paraId="21DBFDFC" w14:textId="77777777" w:rsidR="00F41E4F" w:rsidRDefault="00831B60">
      <w:pPr>
        <w:jc w:val="both"/>
      </w:pPr>
      <w:r>
        <w:t xml:space="preserve">The </w:t>
      </w:r>
      <w:hyperlink r:id="rId7">
        <w:r>
          <w:rPr>
            <w:u w:val="single"/>
          </w:rPr>
          <w:t>Domestic Violence Disclosure Scheme</w:t>
        </w:r>
      </w:hyperlink>
      <w:r>
        <w:t xml:space="preserve"> (DVDS) commenced on 8 March 2014. The DVDS gives members of the public a formal mechanism to make enquiries about an individual who they are in a relationship with, or who is in a relationship with someone they know, where there is a concern that the individual may be violent towards their partner. This scheme adds a further dimension to the information sharing about children where there are concerns that domestic violence and abuse is impacting on the care and welfare of the children in the family.</w:t>
      </w:r>
    </w:p>
    <w:p w14:paraId="21DBFDFD" w14:textId="77777777" w:rsidR="00F41E4F" w:rsidRDefault="00831B60">
      <w:pPr>
        <w:jc w:val="both"/>
      </w:pPr>
      <w:r>
        <w:t>Members of the public can make an application for a disclosure, known as the ‘right to ask’. Anybody can make an enquiry, but information will only be given to someone at risk or a person in a position to safeguard the victim. The scheme is for anyone in an intimate relationship regardless of gender.</w:t>
      </w:r>
    </w:p>
    <w:p w14:paraId="21DBFDFE" w14:textId="77777777" w:rsidR="00F41E4F" w:rsidRDefault="00831B60">
      <w:pPr>
        <w:jc w:val="both"/>
      </w:pPr>
      <w:r>
        <w:t xml:space="preserve">Partner agencies can also request disclosure is made of an offender’s </w:t>
      </w:r>
      <w:proofErr w:type="gramStart"/>
      <w:r>
        <w:t>past history</w:t>
      </w:r>
      <w:proofErr w:type="gramEnd"/>
      <w:r>
        <w:t xml:space="preserve"> where it is believed someone is at risk of harm. This is known as ‘right to know’.</w:t>
      </w:r>
    </w:p>
    <w:p w14:paraId="21DBFDFF" w14:textId="77777777" w:rsidR="00F41E4F" w:rsidRDefault="00831B60">
      <w:pPr>
        <w:jc w:val="both"/>
      </w:pPr>
      <w:r>
        <w:t>If a potentially violent individual is identified as having convictions for violent offences, or information is held about their behaviour which reasonably leads the police and other agencies to believe they pose a risk of harm to their partner, a disclosure will be made.</w:t>
      </w:r>
    </w:p>
    <w:p w14:paraId="21DBFE00" w14:textId="77777777" w:rsidR="00F41E4F" w:rsidRDefault="00F41E4F">
      <w:pPr>
        <w:jc w:val="both"/>
        <w:rPr>
          <w:highlight w:val="white"/>
        </w:rPr>
      </w:pPr>
    </w:p>
    <w:p w14:paraId="21DBFE01" w14:textId="77777777" w:rsidR="00F41E4F" w:rsidRDefault="00F41E4F">
      <w:pPr>
        <w:jc w:val="both"/>
        <w:rPr>
          <w:highlight w:val="white"/>
        </w:rPr>
      </w:pPr>
    </w:p>
    <w:p w14:paraId="21DBFE02" w14:textId="77777777" w:rsidR="00F41E4F" w:rsidRDefault="00F41E4F">
      <w:pPr>
        <w:jc w:val="both"/>
        <w:rPr>
          <w:highlight w:val="white"/>
        </w:rPr>
      </w:pPr>
    </w:p>
    <w:p w14:paraId="21DBFE03" w14:textId="77777777" w:rsidR="00F41E4F" w:rsidRDefault="00F41E4F">
      <w:pPr>
        <w:jc w:val="both"/>
        <w:rPr>
          <w:highlight w:val="white"/>
        </w:rPr>
      </w:pPr>
    </w:p>
    <w:p w14:paraId="21DBFE04" w14:textId="3921D44B" w:rsidR="00F41E4F" w:rsidRDefault="00285A88">
      <w:pPr>
        <w:jc w:val="both"/>
        <w:rPr>
          <w:b/>
          <w:sz w:val="28"/>
          <w:szCs w:val="28"/>
        </w:rPr>
      </w:pPr>
      <w:r>
        <w:rPr>
          <w:b/>
          <w:sz w:val="28"/>
          <w:szCs w:val="28"/>
        </w:rPr>
        <w:t xml:space="preserve">4. </w:t>
      </w:r>
      <w:bookmarkStart w:id="0" w:name="_GoBack"/>
      <w:bookmarkEnd w:id="0"/>
      <w:r w:rsidR="00831B60">
        <w:rPr>
          <w:b/>
          <w:sz w:val="28"/>
          <w:szCs w:val="28"/>
        </w:rPr>
        <w:t>Confidentiality and Information Sharing</w:t>
      </w:r>
    </w:p>
    <w:p w14:paraId="21DBFE05" w14:textId="77777777" w:rsidR="00F41E4F" w:rsidRDefault="00831B60">
      <w:pPr>
        <w:jc w:val="both"/>
      </w:pPr>
      <w:r>
        <w:t>Information should be treated in the utmost confidence and not divulged to anyone outside your organisation without the person's consent. The law does not prevent you from sharing information if:</w:t>
      </w:r>
    </w:p>
    <w:p w14:paraId="21DBFE06" w14:textId="77777777" w:rsidR="00F41E4F" w:rsidRDefault="00831B60">
      <w:pPr>
        <w:numPr>
          <w:ilvl w:val="0"/>
          <w:numId w:val="1"/>
        </w:numPr>
        <w:pBdr>
          <w:top w:val="none" w:sz="0" w:space="2" w:color="auto"/>
          <w:bottom w:val="none" w:sz="0" w:space="3" w:color="auto"/>
          <w:between w:val="none" w:sz="0" w:space="2" w:color="auto"/>
        </w:pBdr>
        <w:shd w:val="clear" w:color="auto" w:fill="FFFFFF"/>
        <w:jc w:val="both"/>
      </w:pPr>
      <w:r>
        <w:t>You have the person’s consent;</w:t>
      </w:r>
    </w:p>
    <w:p w14:paraId="21DBFE07" w14:textId="77777777" w:rsidR="00F41E4F" w:rsidRDefault="00831B60">
      <w:pPr>
        <w:numPr>
          <w:ilvl w:val="0"/>
          <w:numId w:val="1"/>
        </w:numPr>
        <w:pBdr>
          <w:top w:val="none" w:sz="0" w:space="2" w:color="auto"/>
          <w:bottom w:val="none" w:sz="0" w:space="3" w:color="auto"/>
          <w:between w:val="none" w:sz="0" w:space="2" w:color="auto"/>
        </w:pBdr>
        <w:shd w:val="clear" w:color="auto" w:fill="FFFFFF"/>
        <w:jc w:val="both"/>
      </w:pPr>
      <w:r>
        <w:t>The public interest in safeguarding a person's welfare overrides the need to keep the information confidential;</w:t>
      </w:r>
    </w:p>
    <w:p w14:paraId="21DBFE08" w14:textId="77777777" w:rsidR="00F41E4F" w:rsidRDefault="00831B60">
      <w:pPr>
        <w:numPr>
          <w:ilvl w:val="0"/>
          <w:numId w:val="1"/>
        </w:numPr>
        <w:pBdr>
          <w:top w:val="none" w:sz="0" w:space="2" w:color="auto"/>
          <w:bottom w:val="none" w:sz="0" w:space="3" w:color="auto"/>
          <w:between w:val="none" w:sz="0" w:space="2" w:color="auto"/>
        </w:pBdr>
        <w:shd w:val="clear" w:color="auto" w:fill="FFFFFF"/>
        <w:jc w:val="both"/>
      </w:pPr>
      <w:r>
        <w:t>Disclosure is required by court order or other legal obligation.</w:t>
      </w:r>
    </w:p>
    <w:p w14:paraId="21DBFE09" w14:textId="77777777" w:rsidR="00F41E4F" w:rsidRDefault="00F41E4F">
      <w:pPr>
        <w:pBdr>
          <w:top w:val="none" w:sz="0" w:space="2" w:color="auto"/>
          <w:bottom w:val="none" w:sz="0" w:space="2" w:color="auto"/>
          <w:between w:val="none" w:sz="0" w:space="2" w:color="auto"/>
        </w:pBdr>
        <w:shd w:val="clear" w:color="auto" w:fill="FFFFFF"/>
        <w:jc w:val="both"/>
        <w:rPr>
          <w:highlight w:val="white"/>
        </w:rPr>
      </w:pPr>
    </w:p>
    <w:p w14:paraId="21DBFE0A" w14:textId="77777777" w:rsidR="00F41E4F" w:rsidRDefault="00831B60">
      <w:pPr>
        <w:jc w:val="both"/>
        <w:rPr>
          <w:b/>
          <w:sz w:val="24"/>
          <w:szCs w:val="24"/>
        </w:rPr>
      </w:pPr>
      <w:r>
        <w:rPr>
          <w:b/>
          <w:sz w:val="24"/>
          <w:szCs w:val="24"/>
        </w:rPr>
        <w:t>4.1 Caldicott principles</w:t>
      </w:r>
    </w:p>
    <w:p w14:paraId="21DBFE0B" w14:textId="77777777" w:rsidR="00F41E4F" w:rsidRDefault="00831B60">
      <w:pPr>
        <w:jc w:val="both"/>
      </w:pPr>
      <w:r>
        <w:t>The Caldicott Principles are fundamentals that organisations should follow to protect any information that could identify a person, such as their name and their records. They also ensure that this information is only used and shared when it is appropriate to do so.</w:t>
      </w:r>
    </w:p>
    <w:p w14:paraId="21DBFE0C" w14:textId="77777777" w:rsidR="00F41E4F" w:rsidRDefault="00831B60">
      <w:pPr>
        <w:jc w:val="both"/>
      </w:pPr>
      <w:r>
        <w:t>Organisations should use the Principles as a test to determine whether they need to share information that could identify an individual.</w:t>
      </w:r>
    </w:p>
    <w:p w14:paraId="21DBFE0D" w14:textId="77777777" w:rsidR="00F41E4F" w:rsidRDefault="00F41E4F">
      <w:pPr>
        <w:jc w:val="both"/>
      </w:pPr>
    </w:p>
    <w:p w14:paraId="21DBFE0E" w14:textId="77777777" w:rsidR="00F41E4F" w:rsidRDefault="00831B60">
      <w:pPr>
        <w:jc w:val="both"/>
        <w:rPr>
          <w:b/>
        </w:rPr>
      </w:pPr>
      <w:r>
        <w:rPr>
          <w:b/>
        </w:rPr>
        <w:t>Principle 1: Justify the purpose for using confidential information</w:t>
      </w:r>
    </w:p>
    <w:p w14:paraId="21DBFE0F" w14:textId="77777777" w:rsidR="00F41E4F" w:rsidRDefault="00831B60">
      <w:pPr>
        <w:jc w:val="both"/>
      </w:pPr>
      <w:r>
        <w:t>Every proposed use or transfer of personally identifiable information, either within or from an organisation, should be clearly defined and scrutinised. Its continuing uses should be regularly reviewed by an appropriate guardian.</w:t>
      </w:r>
    </w:p>
    <w:p w14:paraId="21DBFE10" w14:textId="77777777" w:rsidR="00F41E4F" w:rsidRDefault="00F41E4F">
      <w:pPr>
        <w:jc w:val="both"/>
      </w:pPr>
    </w:p>
    <w:p w14:paraId="21DBFE11" w14:textId="77777777" w:rsidR="00F41E4F" w:rsidRDefault="00831B60">
      <w:pPr>
        <w:jc w:val="both"/>
        <w:rPr>
          <w:b/>
        </w:rPr>
      </w:pPr>
      <w:r>
        <w:rPr>
          <w:b/>
        </w:rPr>
        <w:t xml:space="preserve">Principle 2: Don’t use personal confidential data unless </w:t>
      </w:r>
      <w:proofErr w:type="gramStart"/>
      <w:r>
        <w:rPr>
          <w:b/>
        </w:rPr>
        <w:t>absolutely necessary</w:t>
      </w:r>
      <w:proofErr w:type="gramEnd"/>
    </w:p>
    <w:p w14:paraId="21DBFE12" w14:textId="77777777" w:rsidR="00F41E4F" w:rsidRDefault="00831B60">
      <w:pPr>
        <w:jc w:val="both"/>
      </w:pPr>
      <w:r>
        <w:lastRenderedPageBreak/>
        <w:t>Identifiable information should not be used unless it’s essential for the specified purposes. The need for this information should be considered at each stage of the process.</w:t>
      </w:r>
    </w:p>
    <w:p w14:paraId="21DBFE13" w14:textId="77777777" w:rsidR="00F41E4F" w:rsidRDefault="00F41E4F">
      <w:pPr>
        <w:jc w:val="both"/>
      </w:pPr>
    </w:p>
    <w:p w14:paraId="21DBFE14" w14:textId="77777777" w:rsidR="00F41E4F" w:rsidRDefault="00831B60">
      <w:pPr>
        <w:jc w:val="both"/>
        <w:rPr>
          <w:b/>
        </w:rPr>
      </w:pPr>
      <w:r>
        <w:rPr>
          <w:b/>
        </w:rPr>
        <w:t>Principle 3: Use the minimum necessary personal confidential data</w:t>
      </w:r>
    </w:p>
    <w:p w14:paraId="21DBFE15" w14:textId="77777777" w:rsidR="00F41E4F" w:rsidRDefault="00831B60">
      <w:pPr>
        <w:jc w:val="both"/>
      </w:pPr>
      <w:r>
        <w:t xml:space="preserve">Where the use of personally identifiable information is essential, each individual item should be considered and justified. This is so the minimum amount of data is </w:t>
      </w:r>
      <w:proofErr w:type="gramStart"/>
      <w:r>
        <w:t>shared</w:t>
      </w:r>
      <w:proofErr w:type="gramEnd"/>
      <w:r>
        <w:t xml:space="preserve"> and the likelihood of identifiability is minimal.</w:t>
      </w:r>
    </w:p>
    <w:p w14:paraId="21DBFE16" w14:textId="77777777" w:rsidR="00F41E4F" w:rsidRDefault="00F41E4F">
      <w:pPr>
        <w:jc w:val="both"/>
      </w:pPr>
    </w:p>
    <w:p w14:paraId="21DBFE17" w14:textId="77777777" w:rsidR="00F41E4F" w:rsidRDefault="00831B60">
      <w:pPr>
        <w:jc w:val="both"/>
        <w:rPr>
          <w:b/>
        </w:rPr>
      </w:pPr>
      <w:r>
        <w:rPr>
          <w:b/>
        </w:rPr>
        <w:t>Principle 4: Access to personal confidential data should be on a strict need-to-know basis</w:t>
      </w:r>
    </w:p>
    <w:p w14:paraId="21DBFE18" w14:textId="77777777" w:rsidR="00F41E4F" w:rsidRDefault="00831B60">
      <w:pPr>
        <w:jc w:val="both"/>
      </w:pPr>
      <w:r>
        <w:t>Only those who need access to personal confidential data should have access to it. They should also only have access to the data items that they need.</w:t>
      </w:r>
    </w:p>
    <w:p w14:paraId="21DBFE19" w14:textId="77777777" w:rsidR="00F41E4F" w:rsidRDefault="00F41E4F">
      <w:pPr>
        <w:jc w:val="both"/>
      </w:pPr>
    </w:p>
    <w:p w14:paraId="21DBFE1A" w14:textId="77777777" w:rsidR="00F41E4F" w:rsidRDefault="00831B60">
      <w:pPr>
        <w:jc w:val="both"/>
        <w:rPr>
          <w:b/>
        </w:rPr>
      </w:pPr>
      <w:r>
        <w:rPr>
          <w:b/>
        </w:rPr>
        <w:t>Principle 5: Everyone with access to personal confidential data should be aware of their responsibilities</w:t>
      </w:r>
    </w:p>
    <w:p w14:paraId="21DBFE1B" w14:textId="77777777" w:rsidR="00F41E4F" w:rsidRDefault="00831B60">
      <w:pPr>
        <w:jc w:val="both"/>
      </w:pPr>
      <w:r>
        <w:t>Action should be taken to ensure that those handling personally identifiable information are aware of their responsibilities and their obligation to respect patient and client confidentiality.</w:t>
      </w:r>
    </w:p>
    <w:p w14:paraId="21DBFE1C" w14:textId="77777777" w:rsidR="00F41E4F" w:rsidRDefault="00F41E4F">
      <w:pPr>
        <w:jc w:val="both"/>
      </w:pPr>
    </w:p>
    <w:p w14:paraId="21DBFE1D" w14:textId="77777777" w:rsidR="00F41E4F" w:rsidRDefault="00831B60">
      <w:pPr>
        <w:jc w:val="both"/>
        <w:rPr>
          <w:b/>
        </w:rPr>
      </w:pPr>
      <w:r>
        <w:rPr>
          <w:b/>
        </w:rPr>
        <w:t>Principle 6: Understand and comply with the law</w:t>
      </w:r>
    </w:p>
    <w:p w14:paraId="21DBFE1E" w14:textId="77777777" w:rsidR="00F41E4F" w:rsidRDefault="00831B60">
      <w:pPr>
        <w:jc w:val="both"/>
      </w:pPr>
      <w:r>
        <w:t>Every use of personally identifiable data must be lawful. Organisations that handle confidential data must have someone responsible for ensuring that the organisation complies with legal requirements.</w:t>
      </w:r>
    </w:p>
    <w:p w14:paraId="21DBFE1F" w14:textId="77777777" w:rsidR="00F41E4F" w:rsidRDefault="00F41E4F">
      <w:pPr>
        <w:jc w:val="both"/>
      </w:pPr>
    </w:p>
    <w:p w14:paraId="21DBFE20" w14:textId="77777777" w:rsidR="00F41E4F" w:rsidRDefault="00831B60">
      <w:pPr>
        <w:jc w:val="both"/>
        <w:rPr>
          <w:b/>
        </w:rPr>
      </w:pPr>
      <w:r>
        <w:rPr>
          <w:b/>
        </w:rPr>
        <w:t>Principle 7: The duty to share information can be as important as the duty to protect patient confidentiality</w:t>
      </w:r>
    </w:p>
    <w:p w14:paraId="21DBFE21" w14:textId="77777777" w:rsidR="00F41E4F" w:rsidRDefault="00831B60">
      <w:pPr>
        <w:jc w:val="both"/>
      </w:pPr>
      <w:r>
        <w:t>Health and social care professionals should have the confidence to share information in the best interests of their patients and within the framework set out by these principles. They should also be supported by the policies of their employers, regulators, and professional bodies.</w:t>
      </w:r>
    </w:p>
    <w:p w14:paraId="21DBFE22" w14:textId="77777777" w:rsidR="00F41E4F" w:rsidRDefault="00F41E4F">
      <w:pPr>
        <w:pBdr>
          <w:top w:val="none" w:sz="0" w:space="2" w:color="auto"/>
          <w:bottom w:val="none" w:sz="0" w:space="2" w:color="auto"/>
          <w:between w:val="none" w:sz="0" w:space="2" w:color="auto"/>
        </w:pBdr>
        <w:shd w:val="clear" w:color="auto" w:fill="FFFFFF"/>
        <w:jc w:val="both"/>
        <w:rPr>
          <w:shd w:val="clear" w:color="auto" w:fill="EAD1DC"/>
        </w:rPr>
      </w:pPr>
    </w:p>
    <w:p w14:paraId="21DBFE23" w14:textId="77777777" w:rsidR="00F41E4F" w:rsidRDefault="00F41E4F">
      <w:pPr>
        <w:pBdr>
          <w:top w:val="none" w:sz="0" w:space="2" w:color="auto"/>
          <w:bottom w:val="none" w:sz="0" w:space="2" w:color="auto"/>
          <w:between w:val="none" w:sz="0" w:space="2" w:color="auto"/>
        </w:pBdr>
        <w:shd w:val="clear" w:color="auto" w:fill="FFFFFF"/>
        <w:jc w:val="both"/>
      </w:pPr>
    </w:p>
    <w:p w14:paraId="21DBFE24" w14:textId="77777777" w:rsidR="00F41E4F" w:rsidRDefault="00831B60">
      <w:pPr>
        <w:jc w:val="both"/>
        <w:rPr>
          <w:b/>
          <w:sz w:val="24"/>
          <w:szCs w:val="24"/>
        </w:rPr>
      </w:pPr>
      <w:r>
        <w:rPr>
          <w:b/>
          <w:sz w:val="24"/>
          <w:szCs w:val="24"/>
        </w:rPr>
        <w:t>4.2 Seven golden rules for Sharing Information</w:t>
      </w:r>
    </w:p>
    <w:p w14:paraId="21DBFE25" w14:textId="77777777" w:rsidR="00F41E4F" w:rsidRDefault="00831B60">
      <w:pPr>
        <w:jc w:val="both"/>
      </w:pPr>
      <w:r>
        <w:t xml:space="preserve">You should use your judgement when making decisions on what information to share and when and should follow LBH procedures or consult with your manager if in doubt. </w:t>
      </w:r>
    </w:p>
    <w:p w14:paraId="21DBFE26" w14:textId="77777777" w:rsidR="00F41E4F" w:rsidRDefault="00F41E4F">
      <w:pPr>
        <w:jc w:val="both"/>
      </w:pPr>
    </w:p>
    <w:p w14:paraId="21DBFE27" w14:textId="77777777" w:rsidR="00F41E4F" w:rsidRDefault="00831B60">
      <w:pPr>
        <w:numPr>
          <w:ilvl w:val="0"/>
          <w:numId w:val="4"/>
        </w:numPr>
        <w:rPr>
          <w:color w:val="000000"/>
        </w:rPr>
      </w:pPr>
      <w:r>
        <w:rPr>
          <w:b/>
        </w:rPr>
        <w:t xml:space="preserve">Remember that the General Data Protection Regulation (GDPR) is not a barrier to sharing information </w:t>
      </w:r>
      <w:r>
        <w:t>but provides a framework to ensure that personal information about living persons is shared appropriately.</w:t>
      </w:r>
    </w:p>
    <w:p w14:paraId="21DBFE28" w14:textId="77777777" w:rsidR="00F41E4F" w:rsidRDefault="00831B60">
      <w:pPr>
        <w:numPr>
          <w:ilvl w:val="0"/>
          <w:numId w:val="4"/>
        </w:numPr>
        <w:rPr>
          <w:color w:val="000000"/>
        </w:rPr>
      </w:pPr>
      <w:r>
        <w:rPr>
          <w:b/>
        </w:rPr>
        <w:t xml:space="preserve">Be open and honest </w:t>
      </w:r>
      <w:r>
        <w:t>with the person (and/or their family where appropriate) from the outset about why, what, how and with whom information will, or could be, shared, and seek their agreement, unless it is unsafe or inappropriate to do so.</w:t>
      </w:r>
    </w:p>
    <w:p w14:paraId="21DBFE29" w14:textId="77777777" w:rsidR="00F41E4F" w:rsidRDefault="00831B60">
      <w:pPr>
        <w:numPr>
          <w:ilvl w:val="0"/>
          <w:numId w:val="4"/>
        </w:numPr>
        <w:rPr>
          <w:color w:val="000000"/>
        </w:rPr>
      </w:pPr>
      <w:r>
        <w:rPr>
          <w:b/>
        </w:rPr>
        <w:t xml:space="preserve">Seek advice </w:t>
      </w:r>
      <w:r>
        <w:t>if you are in any doubt, without disclosing the identity of the person where possible.</w:t>
      </w:r>
    </w:p>
    <w:p w14:paraId="21DBFE2A" w14:textId="77777777" w:rsidR="00F41E4F" w:rsidRDefault="00831B60">
      <w:pPr>
        <w:numPr>
          <w:ilvl w:val="0"/>
          <w:numId w:val="4"/>
        </w:numPr>
        <w:rPr>
          <w:color w:val="000000"/>
        </w:rPr>
      </w:pPr>
      <w:r>
        <w:rPr>
          <w:b/>
        </w:rPr>
        <w:t xml:space="preserve">Share with consent where appropriate </w:t>
      </w:r>
      <w:r>
        <w:t xml:space="preserve">and, where possible, respect the wishes of those who do not consent to share confidential information. You may still share information without consent if, in your judgement, that lack of consent can be </w:t>
      </w:r>
      <w:r>
        <w:lastRenderedPageBreak/>
        <w:t>overridden in the public interest. You will need to base your judgement on the facts of the case.</w:t>
      </w:r>
    </w:p>
    <w:p w14:paraId="21DBFE2B" w14:textId="77777777" w:rsidR="00F41E4F" w:rsidRDefault="00831B60">
      <w:pPr>
        <w:numPr>
          <w:ilvl w:val="0"/>
          <w:numId w:val="4"/>
        </w:numPr>
        <w:rPr>
          <w:color w:val="000000"/>
        </w:rPr>
      </w:pPr>
      <w:r>
        <w:rPr>
          <w:b/>
        </w:rPr>
        <w:t xml:space="preserve">Consider safety and wellbeing: </w:t>
      </w:r>
      <w:r>
        <w:t xml:space="preserve">base your information-sharing decisions on considerations of the safety and wellbeing of the person and others who may be affected by their actions. </w:t>
      </w:r>
    </w:p>
    <w:p w14:paraId="21DBFE2C" w14:textId="77777777" w:rsidR="00F41E4F" w:rsidRDefault="00831B60">
      <w:pPr>
        <w:numPr>
          <w:ilvl w:val="0"/>
          <w:numId w:val="4"/>
        </w:numPr>
        <w:rPr>
          <w:color w:val="000000"/>
        </w:rPr>
      </w:pPr>
      <w:r>
        <w:rPr>
          <w:b/>
        </w:rPr>
        <w:t xml:space="preserve">Necessary, proportionate, relevant, accurate, timely and secure: </w:t>
      </w:r>
      <w:r>
        <w:t>ensure that the information you share is necessary for the purpose for which you are sharing it, is shared only with those people who need to have it, is accurate and up to date, is shared in a timely fashion, and is shared securely.</w:t>
      </w:r>
    </w:p>
    <w:p w14:paraId="21DBFE2D" w14:textId="77777777" w:rsidR="00F41E4F" w:rsidRDefault="00831B60">
      <w:pPr>
        <w:numPr>
          <w:ilvl w:val="0"/>
          <w:numId w:val="4"/>
        </w:numPr>
        <w:rPr>
          <w:color w:val="000000"/>
        </w:rPr>
      </w:pPr>
      <w:r>
        <w:rPr>
          <w:b/>
        </w:rPr>
        <w:t xml:space="preserve">Keep a record </w:t>
      </w:r>
      <w:r>
        <w:t>of your decision and the reasons for it – whether it is to share information or not. If you decide to share, then record what you have shared, with whom and for what purpose.</w:t>
      </w:r>
    </w:p>
    <w:p w14:paraId="21DBFE2E" w14:textId="77777777" w:rsidR="00F41E4F" w:rsidRDefault="00831B60">
      <w:pPr>
        <w:jc w:val="both"/>
      </w:pPr>
      <w:r>
        <w:t xml:space="preserve"> </w:t>
      </w:r>
    </w:p>
    <w:p w14:paraId="21DBFE2F" w14:textId="77777777" w:rsidR="00F41E4F" w:rsidRDefault="00F41E4F">
      <w:pPr>
        <w:jc w:val="both"/>
        <w:rPr>
          <w:highlight w:val="white"/>
        </w:rPr>
      </w:pPr>
    </w:p>
    <w:p w14:paraId="21DBFE30" w14:textId="77777777" w:rsidR="00F41E4F" w:rsidRDefault="00F41E4F">
      <w:pPr>
        <w:jc w:val="both"/>
        <w:rPr>
          <w:highlight w:val="white"/>
        </w:rPr>
      </w:pPr>
    </w:p>
    <w:p w14:paraId="21DBFE31" w14:textId="77777777" w:rsidR="00F41E4F" w:rsidRDefault="00831B60">
      <w:pPr>
        <w:jc w:val="both"/>
        <w:rPr>
          <w:b/>
          <w:sz w:val="24"/>
          <w:szCs w:val="24"/>
        </w:rPr>
      </w:pPr>
      <w:r>
        <w:rPr>
          <w:b/>
          <w:sz w:val="24"/>
          <w:szCs w:val="24"/>
        </w:rPr>
        <w:t xml:space="preserve">4.3 Available </w:t>
      </w:r>
      <w:proofErr w:type="spellStart"/>
      <w:r>
        <w:rPr>
          <w:b/>
          <w:sz w:val="24"/>
          <w:szCs w:val="24"/>
        </w:rPr>
        <w:t>tri.x</w:t>
      </w:r>
      <w:proofErr w:type="spellEnd"/>
      <w:r>
        <w:rPr>
          <w:b/>
          <w:sz w:val="24"/>
          <w:szCs w:val="24"/>
        </w:rPr>
        <w:t xml:space="preserve"> resources</w:t>
      </w:r>
    </w:p>
    <w:p w14:paraId="21DBFE32" w14:textId="77777777" w:rsidR="00F41E4F" w:rsidRDefault="00831B60">
      <w:pPr>
        <w:numPr>
          <w:ilvl w:val="0"/>
          <w:numId w:val="5"/>
        </w:numPr>
        <w:jc w:val="both"/>
        <w:rPr>
          <w:highlight w:val="white"/>
        </w:rPr>
      </w:pPr>
      <w:r>
        <w:rPr>
          <w:highlight w:val="white"/>
        </w:rPr>
        <w:t>How to guide “Consent to Information Sharing”</w:t>
      </w:r>
    </w:p>
    <w:p w14:paraId="21DBFE33" w14:textId="77777777" w:rsidR="00F41E4F" w:rsidRDefault="00831B60">
      <w:pPr>
        <w:numPr>
          <w:ilvl w:val="0"/>
          <w:numId w:val="5"/>
        </w:numPr>
        <w:jc w:val="both"/>
        <w:rPr>
          <w:highlight w:val="white"/>
        </w:rPr>
      </w:pPr>
      <w:r>
        <w:rPr>
          <w:highlight w:val="white"/>
        </w:rPr>
        <w:t>Adult Social Care Privacy Notice</w:t>
      </w:r>
    </w:p>
    <w:p w14:paraId="21DBFE34" w14:textId="77777777" w:rsidR="00F41E4F" w:rsidRDefault="00831B60">
      <w:pPr>
        <w:numPr>
          <w:ilvl w:val="0"/>
          <w:numId w:val="5"/>
        </w:numPr>
        <w:jc w:val="both"/>
        <w:rPr>
          <w:highlight w:val="white"/>
        </w:rPr>
      </w:pPr>
      <w:r>
        <w:rPr>
          <w:highlight w:val="white"/>
        </w:rPr>
        <w:t>Service User Consent Form</w:t>
      </w:r>
    </w:p>
    <w:p w14:paraId="21DBFE35" w14:textId="77777777" w:rsidR="00F41E4F" w:rsidRDefault="00831B60">
      <w:pPr>
        <w:numPr>
          <w:ilvl w:val="0"/>
          <w:numId w:val="5"/>
        </w:numPr>
        <w:jc w:val="both"/>
        <w:rPr>
          <w:highlight w:val="white"/>
        </w:rPr>
      </w:pPr>
      <w:r>
        <w:rPr>
          <w:highlight w:val="white"/>
        </w:rPr>
        <w:t xml:space="preserve">Poster “Seven golden rules for information sharing” and “Flowchart of key questions for information sharing” </w:t>
      </w:r>
    </w:p>
    <w:p w14:paraId="21DBFE36" w14:textId="77777777" w:rsidR="00F41E4F" w:rsidRDefault="00F41E4F">
      <w:pPr>
        <w:jc w:val="both"/>
        <w:rPr>
          <w:highlight w:val="white"/>
        </w:rPr>
      </w:pPr>
    </w:p>
    <w:p w14:paraId="21DBFE37" w14:textId="77777777" w:rsidR="00F41E4F" w:rsidRDefault="00F41E4F">
      <w:pPr>
        <w:jc w:val="both"/>
        <w:rPr>
          <w:b/>
          <w:highlight w:val="white"/>
        </w:rPr>
      </w:pPr>
    </w:p>
    <w:p w14:paraId="21DBFE38" w14:textId="77777777" w:rsidR="00F41E4F" w:rsidRDefault="00F41E4F">
      <w:pPr>
        <w:jc w:val="both"/>
        <w:rPr>
          <w:b/>
          <w:highlight w:val="white"/>
        </w:rPr>
      </w:pPr>
    </w:p>
    <w:p w14:paraId="21DBFE39" w14:textId="77777777" w:rsidR="00F41E4F" w:rsidRDefault="00831B60">
      <w:pPr>
        <w:jc w:val="both"/>
        <w:rPr>
          <w:b/>
          <w:color w:val="741B47"/>
          <w:sz w:val="24"/>
          <w:szCs w:val="24"/>
        </w:rPr>
      </w:pPr>
      <w:r>
        <w:rPr>
          <w:b/>
          <w:color w:val="741B47"/>
          <w:sz w:val="24"/>
          <w:szCs w:val="24"/>
        </w:rPr>
        <w:t>Remember:</w:t>
      </w:r>
    </w:p>
    <w:p w14:paraId="21DBFE3A" w14:textId="77777777" w:rsidR="00F41E4F" w:rsidRDefault="00831B60">
      <w:pPr>
        <w:jc w:val="both"/>
        <w:rPr>
          <w:b/>
          <w:color w:val="741B47"/>
          <w:sz w:val="24"/>
          <w:szCs w:val="24"/>
        </w:rPr>
      </w:pPr>
      <w:r>
        <w:rPr>
          <w:b/>
          <w:color w:val="741B47"/>
          <w:sz w:val="24"/>
          <w:szCs w:val="24"/>
        </w:rPr>
        <w:t>Always ask for consent to share information unless there is a compelling reason for not doing so. Information can be shared without consent if it is justified in the public interest or required by law. Do not delay disclosing information to obtain consent if that might put a person at risk of significant harm.</w:t>
      </w:r>
    </w:p>
    <w:p w14:paraId="21DBFE3B" w14:textId="77777777" w:rsidR="00F41E4F" w:rsidRDefault="00F41E4F">
      <w:pPr>
        <w:rPr>
          <w:highlight w:val="white"/>
        </w:rPr>
      </w:pPr>
    </w:p>
    <w:sectPr w:rsidR="00F41E4F" w:rsidSect="00567F02">
      <w:headerReference w:type="default" r:id="rId8"/>
      <w:footerReference w:type="default" r:id="rId9"/>
      <w:headerReference w:type="first" r:id="rId10"/>
      <w:footerReference w:type="first" r:id="rId11"/>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8F770" w14:textId="77777777" w:rsidR="001834AB" w:rsidRDefault="001834AB" w:rsidP="00831B60">
      <w:pPr>
        <w:spacing w:line="240" w:lineRule="auto"/>
      </w:pPr>
      <w:r>
        <w:separator/>
      </w:r>
    </w:p>
  </w:endnote>
  <w:endnote w:type="continuationSeparator" w:id="0">
    <w:p w14:paraId="4D3284EE" w14:textId="77777777" w:rsidR="001834AB" w:rsidRDefault="001834AB" w:rsidP="00831B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E8E4E" w14:textId="122530A1" w:rsidR="00E56792" w:rsidRPr="00B575CA" w:rsidRDefault="00B575CA" w:rsidP="00B575CA">
    <w:pPr>
      <w:pStyle w:val="Footer"/>
      <w:rPr>
        <w:i/>
        <w:iCs/>
      </w:rPr>
    </w:pPr>
    <w:r w:rsidRPr="00B575CA">
      <w:rPr>
        <w:sz w:val="18"/>
        <w:szCs w:val="18"/>
      </w:rPr>
      <w:t>V1</w:t>
    </w:r>
    <w:r w:rsidRPr="00364843">
      <w:rPr>
        <w:i/>
        <w:iCs/>
        <w:sz w:val="18"/>
        <w:szCs w:val="18"/>
      </w:rPr>
      <w:t xml:space="preserve">; Confidentiality and Consent to Share Information: effective 1 November 2020; review 01 November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AED2" w14:textId="3A89DAEC" w:rsidR="005F2DA8" w:rsidRPr="005F2DA8" w:rsidRDefault="005F2DA8">
    <w:pPr>
      <w:pStyle w:val="Footer"/>
      <w:rPr>
        <w:i/>
        <w:iCs/>
      </w:rPr>
    </w:pPr>
    <w:r w:rsidRPr="00B575CA">
      <w:rPr>
        <w:sz w:val="18"/>
        <w:szCs w:val="18"/>
      </w:rPr>
      <w:t>V1</w:t>
    </w:r>
    <w:r w:rsidRPr="00364843">
      <w:rPr>
        <w:i/>
        <w:iCs/>
        <w:sz w:val="18"/>
        <w:szCs w:val="18"/>
      </w:rPr>
      <w:t xml:space="preserve">; Confidentiality and Consent to Share Information: effective 1 November 2020; review 01 November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E1BEA" w14:textId="77777777" w:rsidR="001834AB" w:rsidRDefault="001834AB" w:rsidP="00831B60">
      <w:pPr>
        <w:spacing w:line="240" w:lineRule="auto"/>
      </w:pPr>
      <w:r>
        <w:separator/>
      </w:r>
    </w:p>
  </w:footnote>
  <w:footnote w:type="continuationSeparator" w:id="0">
    <w:p w14:paraId="05D2BE43" w14:textId="77777777" w:rsidR="001834AB" w:rsidRDefault="001834AB" w:rsidP="00831B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DCF4F" w14:textId="3FC1EE77" w:rsidR="00DE5302" w:rsidRDefault="003407B0" w:rsidP="003407B0">
    <w:pPr>
      <w:pStyle w:val="Header"/>
    </w:pPr>
    <w:r w:rsidRPr="003407B0">
      <w:rPr>
        <w:i/>
        <w:iCs/>
        <w:noProof/>
      </w:rPr>
      <w:t>London Borough of</w:t>
    </w:r>
    <w:r>
      <w:rPr>
        <w:noProof/>
      </w:rPr>
      <w:t xml:space="preserve"> </w:t>
    </w:r>
    <w:r w:rsidRPr="003407B0">
      <w:rPr>
        <w:i/>
        <w:iCs/>
        <w:noProof/>
      </w:rPr>
      <w:t>Hillingdon</w:t>
    </w:r>
    <w:r w:rsidR="00690596" w:rsidRPr="003407B0">
      <w:rPr>
        <w:i/>
        <w:iCs/>
      </w:rPr>
      <w:ptab w:relativeTo="margin" w:alignment="center" w:leader="none"/>
    </w:r>
  </w:p>
  <w:p w14:paraId="662C83A2" w14:textId="77777777" w:rsidR="00DE5302" w:rsidRDefault="00DE5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55C7" w14:textId="65A72483" w:rsidR="00AA7716" w:rsidRDefault="00E17A63" w:rsidP="00E17A63">
    <w:pPr>
      <w:pStyle w:val="Header"/>
      <w:jc w:val="center"/>
    </w:pPr>
    <w:bookmarkStart w:id="1" w:name="_Hlk55378797"/>
    <w:r>
      <w:rPr>
        <w:noProof/>
      </w:rPr>
      <w:drawing>
        <wp:inline distT="0" distB="0" distL="0" distR="0" wp14:anchorId="0D081D53" wp14:editId="41A15783">
          <wp:extent cx="2165350" cy="13208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1320800"/>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10E2"/>
    <w:multiLevelType w:val="multilevel"/>
    <w:tmpl w:val="A0F8D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A26833"/>
    <w:multiLevelType w:val="multilevel"/>
    <w:tmpl w:val="54ACE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027739"/>
    <w:multiLevelType w:val="multilevel"/>
    <w:tmpl w:val="17686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8417E8"/>
    <w:multiLevelType w:val="multilevel"/>
    <w:tmpl w:val="B150F8CC"/>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B242CC"/>
    <w:multiLevelType w:val="multilevel"/>
    <w:tmpl w:val="AE267F90"/>
    <w:lvl w:ilvl="0">
      <w:start w:val="1"/>
      <w:numFmt w:val="decimal"/>
      <w:lvlText w:val="%1."/>
      <w:lvlJc w:val="left"/>
      <w:pPr>
        <w:ind w:left="720" w:hanging="360"/>
      </w:pPr>
      <w:rPr>
        <w:rFonts w:ascii="Arial" w:eastAsia="Arial" w:hAnsi="Arial" w:cs="Arial"/>
        <w:color w:val="30303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9951234"/>
    <w:multiLevelType w:val="multilevel"/>
    <w:tmpl w:val="F57C35C6"/>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E4F"/>
    <w:rsid w:val="001834AB"/>
    <w:rsid w:val="00285A88"/>
    <w:rsid w:val="003407B0"/>
    <w:rsid w:val="00364843"/>
    <w:rsid w:val="00484ACE"/>
    <w:rsid w:val="00506E7B"/>
    <w:rsid w:val="0051663B"/>
    <w:rsid w:val="00567F02"/>
    <w:rsid w:val="005F2DA8"/>
    <w:rsid w:val="00690596"/>
    <w:rsid w:val="00831B60"/>
    <w:rsid w:val="00932FC0"/>
    <w:rsid w:val="009B36BA"/>
    <w:rsid w:val="00A50E14"/>
    <w:rsid w:val="00AA7716"/>
    <w:rsid w:val="00AD6C88"/>
    <w:rsid w:val="00B575CA"/>
    <w:rsid w:val="00BF1120"/>
    <w:rsid w:val="00C61236"/>
    <w:rsid w:val="00CF0CAB"/>
    <w:rsid w:val="00DE5302"/>
    <w:rsid w:val="00E17A63"/>
    <w:rsid w:val="00E56792"/>
    <w:rsid w:val="00F41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BFDC0"/>
  <w15:docId w15:val="{8839C702-956E-4180-B18D-FFEB04D3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E5302"/>
    <w:pPr>
      <w:tabs>
        <w:tab w:val="center" w:pos="4513"/>
        <w:tab w:val="right" w:pos="9026"/>
      </w:tabs>
      <w:spacing w:line="240" w:lineRule="auto"/>
    </w:pPr>
  </w:style>
  <w:style w:type="character" w:customStyle="1" w:styleId="HeaderChar">
    <w:name w:val="Header Char"/>
    <w:basedOn w:val="DefaultParagraphFont"/>
    <w:link w:val="Header"/>
    <w:uiPriority w:val="99"/>
    <w:rsid w:val="00DE5302"/>
  </w:style>
  <w:style w:type="paragraph" w:styleId="Footer">
    <w:name w:val="footer"/>
    <w:basedOn w:val="Normal"/>
    <w:link w:val="FooterChar"/>
    <w:uiPriority w:val="99"/>
    <w:unhideWhenUsed/>
    <w:rsid w:val="00DE5302"/>
    <w:pPr>
      <w:tabs>
        <w:tab w:val="center" w:pos="4513"/>
        <w:tab w:val="right" w:pos="9026"/>
      </w:tabs>
      <w:spacing w:line="240" w:lineRule="auto"/>
    </w:pPr>
  </w:style>
  <w:style w:type="character" w:customStyle="1" w:styleId="FooterChar">
    <w:name w:val="Footer Char"/>
    <w:basedOn w:val="DefaultParagraphFont"/>
    <w:link w:val="Footer"/>
    <w:uiPriority w:val="99"/>
    <w:rsid w:val="00DE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rixresources.proceduresonline.com/nat_key/keywords/a_dom_dis_schem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1622</Words>
  <Characters>9249</Characters>
  <Application>Microsoft Office Word</Application>
  <DocSecurity>0</DocSecurity>
  <Lines>77</Lines>
  <Paragraphs>21</Paragraphs>
  <ScaleCrop>false</ScaleCrop>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Meissner</dc:creator>
  <cp:lastModifiedBy>Claudia Meissner</cp:lastModifiedBy>
  <cp:revision>21</cp:revision>
  <dcterms:created xsi:type="dcterms:W3CDTF">2020-11-04T10:18:00Z</dcterms:created>
  <dcterms:modified xsi:type="dcterms:W3CDTF">2021-01-26T12:33:00Z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2020-10-22T11:58:35Z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2c01e75c-0ff4-4082-a315-b0d4a83d12a5</vt:lpwstr>
  </property>
  <property fmtid="{D5CDD505-2E9C-101B-9397-08002B2CF9AE}" pid="8" name="MSIP_Label_7a8edf35-91ea-44e1-afab-38c462b39a0c_ContentBits">
    <vt:lpwstr>0</vt:lpwstr>
  </property>
</Properties>
</file>