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0B0A" w14:textId="678C6182" w:rsidR="009F4760" w:rsidRPr="008946B6" w:rsidRDefault="00475553">
      <w:pPr>
        <w:pStyle w:val="Heading1"/>
        <w:spacing w:before="60"/>
        <w:ind w:left="163"/>
      </w:pPr>
      <w:r>
        <w:rPr>
          <w:noProof/>
          <w:color w:val="16365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33FE0" wp14:editId="225977C2">
                <wp:simplePos x="0" y="0"/>
                <wp:positionH relativeFrom="margin">
                  <wp:align>right</wp:align>
                </wp:positionH>
                <wp:positionV relativeFrom="paragraph">
                  <wp:posOffset>-517525</wp:posOffset>
                </wp:positionV>
                <wp:extent cx="2105025" cy="67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7DB8E" w14:textId="0F85A15B" w:rsidR="00475553" w:rsidRDefault="0047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BCD78" wp14:editId="52562AEA">
                                  <wp:extent cx="1783724" cy="683671"/>
                                  <wp:effectExtent l="0" t="0" r="698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051" cy="70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33F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.55pt;margin-top:-40.75pt;width:165.75pt;height:53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" filled="f" stroked="f" strokeweight=".5pt">
                <v:textbox>
                  <w:txbxContent>
                    <w:p w14:paraId="4B37DB8E" w14:textId="0F85A15B" w:rsidR="00475553" w:rsidRDefault="00475553">
                      <w:r>
                        <w:rPr>
                          <w:noProof/>
                        </w:rPr>
                        <w:drawing>
                          <wp:inline distT="0" distB="0" distL="0" distR="0" wp14:anchorId="148BCD78" wp14:editId="52562AEA">
                            <wp:extent cx="1783724" cy="683671"/>
                            <wp:effectExtent l="0" t="0" r="6985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7051" cy="70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6365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80F99" wp14:editId="6AA9F3F2">
                <wp:simplePos x="0" y="0"/>
                <wp:positionH relativeFrom="column">
                  <wp:posOffset>-82550</wp:posOffset>
                </wp:positionH>
                <wp:positionV relativeFrom="paragraph">
                  <wp:posOffset>-488950</wp:posOffset>
                </wp:positionV>
                <wp:extent cx="2286000" cy="485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46F0A" w14:textId="7DE0D37E" w:rsidR="00475553" w:rsidRDefault="0047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E74F9" wp14:editId="6C7A3305">
                                  <wp:extent cx="1666875" cy="428625"/>
                                  <wp:effectExtent l="0" t="0" r="9525" b="9525"/>
                                  <wp:docPr id="3" name="Picture 3" descr="A close-up of a label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close-up of a label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80F99" id="Text Box 6" o:spid="_x0000_s1027" type="#_x0000_t202" style="position:absolute;left:0;text-align:left;margin-left:-6.5pt;margin-top:-38.5pt;width:180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" filled="f" stroked="f" strokeweight=".5pt">
                <v:textbox>
                  <w:txbxContent>
                    <w:p w14:paraId="77246F0A" w14:textId="7DE0D37E" w:rsidR="00475553" w:rsidRDefault="00475553">
                      <w:r>
                        <w:rPr>
                          <w:noProof/>
                        </w:rPr>
                        <w:drawing>
                          <wp:inline distT="0" distB="0" distL="0" distR="0" wp14:anchorId="351E74F9" wp14:editId="6C7A3305">
                            <wp:extent cx="1666875" cy="428625"/>
                            <wp:effectExtent l="0" t="0" r="9525" b="9525"/>
                            <wp:docPr id="3" name="Picture 3" descr="A close-up of a label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close-up of a label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719" w:rsidRPr="008946B6">
        <w:rPr>
          <w:color w:val="16365D"/>
          <w:w w:val="105"/>
        </w:rPr>
        <w:t>Practice</w:t>
      </w:r>
      <w:r w:rsidR="009F3719" w:rsidRPr="008946B6">
        <w:rPr>
          <w:color w:val="16365D"/>
          <w:spacing w:val="62"/>
          <w:w w:val="105"/>
        </w:rPr>
        <w:t xml:space="preserve"> </w:t>
      </w:r>
      <w:r w:rsidR="009F3719" w:rsidRPr="008946B6">
        <w:rPr>
          <w:color w:val="16365D"/>
          <w:w w:val="105"/>
        </w:rPr>
        <w:t>Matters</w:t>
      </w:r>
    </w:p>
    <w:p w14:paraId="3BE54644" w14:textId="1885E8CA" w:rsidR="009F4760" w:rsidRPr="008946B6" w:rsidRDefault="009F3719">
      <w:pPr>
        <w:spacing w:before="47"/>
        <w:ind w:left="154"/>
        <w:rPr>
          <w:rFonts w:ascii="Times New Roman"/>
          <w:b/>
          <w:sz w:val="49"/>
        </w:rPr>
      </w:pPr>
      <w:r w:rsidRPr="008946B6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5CF8D1" wp14:editId="4CEC1D43">
                <wp:simplePos x="0" y="0"/>
                <wp:positionH relativeFrom="page">
                  <wp:posOffset>897890</wp:posOffset>
                </wp:positionH>
                <wp:positionV relativeFrom="paragraph">
                  <wp:posOffset>450850</wp:posOffset>
                </wp:positionV>
                <wp:extent cx="57823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106"/>
                            <a:gd name="T2" fmla="+- 0 10519 1414"/>
                            <a:gd name="T3" fmla="*/ T2 w 9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6">
                              <a:moveTo>
                                <a:pt x="0" y="0"/>
                              </a:moveTo>
                              <a:lnTo>
                                <a:pt x="910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0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5AE66" id="Freeform 2" o:spid="_x0000_s1026" style="position:absolute;margin-left:70.7pt;margin-top:35.5pt;width:45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" path="m,l9105,e" filled="f" strokecolor="#4f80bc" strokeweight=".96pt">
                <v:path arrowok="t" o:connecttype="custom" o:connectlocs="0,0;5781675,0" o:connectangles="0,0"/>
                <w10:wrap type="topAndBottom" anchorx="page"/>
              </v:shape>
            </w:pict>
          </mc:Fallback>
        </mc:AlternateContent>
      </w:r>
      <w:r w:rsidR="00B875B3" w:rsidRPr="008946B6">
        <w:rPr>
          <w:rFonts w:ascii="Times New Roman"/>
          <w:b/>
          <w:color w:val="933634"/>
          <w:w w:val="105"/>
          <w:sz w:val="49"/>
        </w:rPr>
        <w:t>Personalisation</w:t>
      </w:r>
      <w:r w:rsidR="004013A3" w:rsidRPr="008946B6">
        <w:rPr>
          <w:rFonts w:ascii="Times New Roman"/>
          <w:b/>
          <w:color w:val="933634"/>
          <w:w w:val="105"/>
          <w:sz w:val="49"/>
        </w:rPr>
        <w:t xml:space="preserve"> of case work</w:t>
      </w:r>
      <w:r w:rsidR="00B875B3" w:rsidRPr="008946B6">
        <w:rPr>
          <w:rFonts w:ascii="Times New Roman"/>
          <w:b/>
          <w:color w:val="933634"/>
          <w:w w:val="105"/>
          <w:sz w:val="49"/>
        </w:rPr>
        <w:t xml:space="preserve"> recording</w:t>
      </w:r>
    </w:p>
    <w:p w14:paraId="65C56B0E" w14:textId="77777777" w:rsidR="009F4760" w:rsidRPr="008946B6" w:rsidRDefault="009F4760">
      <w:pPr>
        <w:pStyle w:val="BodyText"/>
        <w:rPr>
          <w:rFonts w:ascii="Times New Roman"/>
          <w:b/>
          <w:sz w:val="20"/>
        </w:rPr>
      </w:pPr>
    </w:p>
    <w:p w14:paraId="61A8D572" w14:textId="22177E6D" w:rsidR="009F4760" w:rsidRPr="008946B6" w:rsidRDefault="009F3719">
      <w:pPr>
        <w:pStyle w:val="Heading2"/>
        <w:spacing w:before="229"/>
      </w:pPr>
      <w:r w:rsidRPr="008946B6">
        <w:rPr>
          <w:color w:val="0170BF"/>
          <w:w w:val="105"/>
        </w:rPr>
        <w:t xml:space="preserve">What is </w:t>
      </w:r>
      <w:r w:rsidR="004013A3" w:rsidRPr="008946B6">
        <w:rPr>
          <w:color w:val="0170BF"/>
          <w:w w:val="105"/>
        </w:rPr>
        <w:t xml:space="preserve">meant by the </w:t>
      </w:r>
      <w:r w:rsidR="00AE71DF" w:rsidRPr="008946B6">
        <w:rPr>
          <w:color w:val="0170BF"/>
          <w:w w:val="105"/>
        </w:rPr>
        <w:t>personalisation</w:t>
      </w:r>
      <w:r w:rsidR="004013A3" w:rsidRPr="008946B6">
        <w:rPr>
          <w:color w:val="0170BF"/>
          <w:w w:val="105"/>
        </w:rPr>
        <w:t xml:space="preserve"> of case work</w:t>
      </w:r>
      <w:r w:rsidR="00B875B3" w:rsidRPr="008946B6">
        <w:rPr>
          <w:color w:val="0170BF"/>
          <w:w w:val="105"/>
        </w:rPr>
        <w:t xml:space="preserve"> recording</w:t>
      </w:r>
      <w:r w:rsidRPr="008946B6">
        <w:rPr>
          <w:color w:val="0170BF"/>
          <w:w w:val="105"/>
        </w:rPr>
        <w:t>?</w:t>
      </w:r>
    </w:p>
    <w:p w14:paraId="25115CB1" w14:textId="52338D71" w:rsidR="009F4760" w:rsidRPr="0075433D" w:rsidRDefault="00AE3E5B" w:rsidP="0075433D">
      <w:pPr>
        <w:pStyle w:val="BodyText"/>
        <w:spacing w:before="79" w:line="285" w:lineRule="auto"/>
        <w:ind w:left="145" w:right="355" w:hanging="4"/>
        <w:jc w:val="both"/>
        <w:rPr>
          <w:color w:val="202124"/>
          <w:shd w:val="clear" w:color="auto" w:fill="FFFFFF"/>
        </w:rPr>
      </w:pPr>
      <w:r w:rsidRPr="008946B6">
        <w:rPr>
          <w:color w:val="202124"/>
          <w:shd w:val="clear" w:color="auto" w:fill="FFFFFF"/>
        </w:rPr>
        <w:t xml:space="preserve">Personalisation </w:t>
      </w:r>
      <w:r w:rsidR="00B875B3" w:rsidRPr="008946B6">
        <w:rPr>
          <w:color w:val="202124"/>
          <w:shd w:val="clear" w:color="auto" w:fill="FFFFFF"/>
        </w:rPr>
        <w:t xml:space="preserve">of case work recording </w:t>
      </w:r>
      <w:r w:rsidRPr="008946B6">
        <w:rPr>
          <w:color w:val="202124"/>
          <w:shd w:val="clear" w:color="auto" w:fill="FFFFFF"/>
        </w:rPr>
        <w:t xml:space="preserve">is </w:t>
      </w:r>
      <w:r w:rsidR="005E1801" w:rsidRPr="008946B6">
        <w:rPr>
          <w:color w:val="202124"/>
          <w:shd w:val="clear" w:color="auto" w:fill="FFFFFF"/>
        </w:rPr>
        <w:t>the tailoring of our recording, so each individual child’s file tells their story</w:t>
      </w:r>
      <w:r w:rsidR="0075433D">
        <w:rPr>
          <w:color w:val="202124"/>
          <w:shd w:val="clear" w:color="auto" w:fill="FFFFFF"/>
        </w:rPr>
        <w:t>, being clear about both the strengths and risks within their family system, whilst</w:t>
      </w:r>
      <w:r w:rsidR="005E1801" w:rsidRPr="008946B6">
        <w:rPr>
          <w:color w:val="202124"/>
          <w:shd w:val="clear" w:color="auto" w:fill="FFFFFF"/>
        </w:rPr>
        <w:t xml:space="preserve"> </w:t>
      </w:r>
      <w:r w:rsidR="0075433D">
        <w:rPr>
          <w:color w:val="202124"/>
          <w:shd w:val="clear" w:color="auto" w:fill="FFFFFF"/>
        </w:rPr>
        <w:t xml:space="preserve">ensuring their file </w:t>
      </w:r>
      <w:r w:rsidR="0075433D" w:rsidRPr="008946B6">
        <w:rPr>
          <w:color w:val="202124"/>
          <w:shd w:val="clear" w:color="auto" w:fill="FFFFFF"/>
        </w:rPr>
        <w:t>focu</w:t>
      </w:r>
      <w:r w:rsidR="0075433D">
        <w:rPr>
          <w:color w:val="202124"/>
          <w:shd w:val="clear" w:color="auto" w:fill="FFFFFF"/>
        </w:rPr>
        <w:t>ses</w:t>
      </w:r>
      <w:r w:rsidR="005E1801" w:rsidRPr="008946B6">
        <w:rPr>
          <w:color w:val="202124"/>
          <w:shd w:val="clear" w:color="auto" w:fill="FFFFFF"/>
        </w:rPr>
        <w:t xml:space="preserve"> on them</w:t>
      </w:r>
      <w:r w:rsidR="0075433D">
        <w:rPr>
          <w:color w:val="202124"/>
          <w:shd w:val="clear" w:color="auto" w:fill="FFFFFF"/>
        </w:rPr>
        <w:t xml:space="preserve"> as individuals</w:t>
      </w:r>
      <w:r w:rsidR="005E1801" w:rsidRPr="008946B6">
        <w:rPr>
          <w:color w:val="202124"/>
          <w:shd w:val="clear" w:color="auto" w:fill="FFFFFF"/>
        </w:rPr>
        <w:t>.  Whilst some details of other family members are needed, the level of explicit detail on other persons should be considered / minimized.  Where the level of detail may be necessary for readers to understand why decisions / actions are taken – the location of that information (on that individual’s file) should be referred to.</w:t>
      </w:r>
    </w:p>
    <w:p w14:paraId="261DC9D2" w14:textId="77777777" w:rsidR="009F4760" w:rsidRPr="008946B6" w:rsidRDefault="009F4760">
      <w:pPr>
        <w:pStyle w:val="BodyText"/>
        <w:spacing w:before="5"/>
      </w:pPr>
    </w:p>
    <w:p w14:paraId="5FD436C2" w14:textId="2BB274E7" w:rsidR="009F4760" w:rsidRPr="008946B6" w:rsidRDefault="009F3719">
      <w:pPr>
        <w:pStyle w:val="Heading2"/>
        <w:ind w:left="149"/>
      </w:pPr>
      <w:r w:rsidRPr="008946B6">
        <w:rPr>
          <w:color w:val="0170BF"/>
          <w:sz w:val="27"/>
        </w:rPr>
        <w:t xml:space="preserve">Why </w:t>
      </w:r>
      <w:r w:rsidR="004013A3" w:rsidRPr="008946B6">
        <w:rPr>
          <w:color w:val="0170BF"/>
        </w:rPr>
        <w:t xml:space="preserve">should you </w:t>
      </w:r>
      <w:r w:rsidR="00AE71DF" w:rsidRPr="008946B6">
        <w:rPr>
          <w:color w:val="0170BF"/>
        </w:rPr>
        <w:t>personalise</w:t>
      </w:r>
      <w:r w:rsidR="004013A3" w:rsidRPr="008946B6">
        <w:rPr>
          <w:color w:val="0170BF"/>
        </w:rPr>
        <w:t xml:space="preserve"> case work</w:t>
      </w:r>
      <w:r w:rsidR="00B875B3" w:rsidRPr="008946B6">
        <w:rPr>
          <w:color w:val="0170BF"/>
        </w:rPr>
        <w:t xml:space="preserve"> recording</w:t>
      </w:r>
      <w:r w:rsidRPr="008946B6">
        <w:rPr>
          <w:color w:val="0170BF"/>
        </w:rPr>
        <w:t>?</w:t>
      </w:r>
    </w:p>
    <w:p w14:paraId="67ACA204" w14:textId="314CBFBA" w:rsidR="009F4760" w:rsidRPr="008946B6" w:rsidRDefault="00B875B3" w:rsidP="004013A3">
      <w:pPr>
        <w:pStyle w:val="BodyText"/>
        <w:spacing w:before="56" w:line="288" w:lineRule="auto"/>
        <w:ind w:left="148" w:right="367"/>
        <w:jc w:val="both"/>
      </w:pPr>
      <w:r w:rsidRPr="008946B6">
        <w:rPr>
          <w:color w:val="010101"/>
          <w:w w:val="110"/>
        </w:rPr>
        <w:t xml:space="preserve">Lots of people read case files, which includes lots of personal information, including children when they are older and members of their family.  Personalisation of </w:t>
      </w:r>
      <w:r w:rsidRPr="008946B6">
        <w:rPr>
          <w:color w:val="202124"/>
          <w:shd w:val="clear" w:color="auto" w:fill="FFFFFF"/>
        </w:rPr>
        <w:t xml:space="preserve">case work recording ensures we are treating </w:t>
      </w:r>
      <w:proofErr w:type="gramStart"/>
      <w:r w:rsidRPr="008946B6">
        <w:rPr>
          <w:color w:val="202124"/>
          <w:shd w:val="clear" w:color="auto" w:fill="FFFFFF"/>
        </w:rPr>
        <w:t>each individual</w:t>
      </w:r>
      <w:proofErr w:type="gramEnd"/>
      <w:r w:rsidRPr="008946B6">
        <w:rPr>
          <w:color w:val="202124"/>
          <w:shd w:val="clear" w:color="auto" w:fill="FFFFFF"/>
        </w:rPr>
        <w:t xml:space="preserve"> with respect, valuing their right to privacy, protecting their data and complying with the law around data protection and processing (GDPR).</w:t>
      </w:r>
    </w:p>
    <w:p w14:paraId="64D05FB9" w14:textId="77777777" w:rsidR="009F4760" w:rsidRPr="008946B6" w:rsidRDefault="009F4760">
      <w:pPr>
        <w:pStyle w:val="BodyText"/>
        <w:spacing w:before="5"/>
        <w:rPr>
          <w:sz w:val="18"/>
        </w:rPr>
      </w:pPr>
    </w:p>
    <w:p w14:paraId="28F5281B" w14:textId="0DBCB377" w:rsidR="009F4760" w:rsidRPr="008946B6" w:rsidRDefault="009F3719">
      <w:pPr>
        <w:pStyle w:val="Heading2"/>
        <w:ind w:left="150"/>
      </w:pPr>
      <w:r w:rsidRPr="008946B6">
        <w:rPr>
          <w:color w:val="0170BF"/>
          <w:w w:val="105"/>
        </w:rPr>
        <w:t xml:space="preserve">How to </w:t>
      </w:r>
      <w:r w:rsidR="00AE71DF" w:rsidRPr="008946B6">
        <w:rPr>
          <w:color w:val="0170BF"/>
        </w:rPr>
        <w:t>personalise</w:t>
      </w:r>
      <w:r w:rsidR="004013A3" w:rsidRPr="008946B6">
        <w:rPr>
          <w:color w:val="0170BF"/>
        </w:rPr>
        <w:t xml:space="preserve"> case work </w:t>
      </w:r>
    </w:p>
    <w:p w14:paraId="161D0A00" w14:textId="2821DE32" w:rsidR="009F4760" w:rsidRPr="008946B6" w:rsidRDefault="004013A3" w:rsidP="0009094D">
      <w:pPr>
        <w:pStyle w:val="BodyText"/>
        <w:numPr>
          <w:ilvl w:val="0"/>
          <w:numId w:val="2"/>
        </w:numPr>
        <w:rPr>
          <w:sz w:val="20"/>
        </w:rPr>
      </w:pPr>
      <w:r w:rsidRPr="008946B6">
        <w:rPr>
          <w:sz w:val="20"/>
        </w:rPr>
        <w:t xml:space="preserve">At </w:t>
      </w:r>
      <w:r w:rsidRPr="008946B6">
        <w:rPr>
          <w:b/>
          <w:bCs/>
          <w:sz w:val="20"/>
        </w:rPr>
        <w:t>starting point</w:t>
      </w:r>
      <w:r w:rsidRPr="008946B6">
        <w:rPr>
          <w:sz w:val="20"/>
        </w:rPr>
        <w:t xml:space="preserve">, contacts </w:t>
      </w:r>
      <w:r w:rsidR="0009094D" w:rsidRPr="008946B6">
        <w:rPr>
          <w:sz w:val="20"/>
        </w:rPr>
        <w:t xml:space="preserve">records </w:t>
      </w:r>
      <w:r w:rsidR="00CF1EC6" w:rsidRPr="008946B6">
        <w:rPr>
          <w:sz w:val="20"/>
        </w:rPr>
        <w:t>to be</w:t>
      </w:r>
      <w:r w:rsidRPr="008946B6">
        <w:rPr>
          <w:sz w:val="20"/>
        </w:rPr>
        <w:t xml:space="preserve"> </w:t>
      </w:r>
      <w:r w:rsidR="0009094D" w:rsidRPr="008946B6">
        <w:rPr>
          <w:sz w:val="20"/>
        </w:rPr>
        <w:t>put</w:t>
      </w:r>
      <w:r w:rsidRPr="008946B6">
        <w:rPr>
          <w:sz w:val="20"/>
        </w:rPr>
        <w:t xml:space="preserve"> on all known children in t</w:t>
      </w:r>
      <w:r w:rsidR="003204C1" w:rsidRPr="008946B6">
        <w:rPr>
          <w:sz w:val="20"/>
        </w:rPr>
        <w:t>he family</w:t>
      </w:r>
      <w:r w:rsidR="00CF1EC6" w:rsidRPr="008946B6">
        <w:rPr>
          <w:sz w:val="20"/>
        </w:rPr>
        <w:t xml:space="preserve"> and o</w:t>
      </w:r>
      <w:r w:rsidR="0009094D" w:rsidRPr="008946B6">
        <w:rPr>
          <w:sz w:val="20"/>
        </w:rPr>
        <w:t xml:space="preserve">ther than exceptional circumstances, </w:t>
      </w:r>
      <w:r w:rsidR="00CF1EC6" w:rsidRPr="008946B6">
        <w:rPr>
          <w:sz w:val="20"/>
        </w:rPr>
        <w:t xml:space="preserve">where needed </w:t>
      </w:r>
      <w:r w:rsidR="0009094D" w:rsidRPr="008946B6">
        <w:rPr>
          <w:sz w:val="20"/>
        </w:rPr>
        <w:t xml:space="preserve">an assessment workflow </w:t>
      </w:r>
      <w:r w:rsidR="00CF1EC6" w:rsidRPr="008946B6">
        <w:rPr>
          <w:sz w:val="20"/>
        </w:rPr>
        <w:t xml:space="preserve">to </w:t>
      </w:r>
      <w:r w:rsidR="0009094D" w:rsidRPr="008946B6">
        <w:rPr>
          <w:sz w:val="20"/>
        </w:rPr>
        <w:t>be sent on all children.</w:t>
      </w:r>
    </w:p>
    <w:p w14:paraId="7DEC276D" w14:textId="145F121F" w:rsidR="008847D0" w:rsidRPr="008946B6" w:rsidRDefault="0009094D" w:rsidP="008946B6">
      <w:pPr>
        <w:pStyle w:val="BodyText"/>
        <w:numPr>
          <w:ilvl w:val="0"/>
          <w:numId w:val="2"/>
        </w:numPr>
        <w:spacing w:before="128"/>
        <w:jc w:val="both"/>
      </w:pPr>
      <w:r w:rsidRPr="008946B6">
        <w:rPr>
          <w:b/>
          <w:bCs/>
          <w:sz w:val="20"/>
        </w:rPr>
        <w:t>Assessments</w:t>
      </w:r>
      <w:r w:rsidR="00E25278" w:rsidRPr="008946B6">
        <w:rPr>
          <w:b/>
          <w:bCs/>
          <w:sz w:val="20"/>
        </w:rPr>
        <w:t xml:space="preserve"> / S47s</w:t>
      </w:r>
      <w:r w:rsidRPr="008946B6">
        <w:rPr>
          <w:b/>
          <w:bCs/>
          <w:sz w:val="20"/>
        </w:rPr>
        <w:t xml:space="preserve"> </w:t>
      </w:r>
      <w:r w:rsidRPr="008946B6">
        <w:rPr>
          <w:sz w:val="20"/>
        </w:rPr>
        <w:t xml:space="preserve">(Early Help Assessment or Single Assessment) should </w:t>
      </w:r>
      <w:r w:rsidR="00CF1EC6" w:rsidRPr="008946B6">
        <w:rPr>
          <w:sz w:val="20"/>
        </w:rPr>
        <w:t xml:space="preserve">consider </w:t>
      </w:r>
      <w:r w:rsidRPr="008946B6">
        <w:rPr>
          <w:sz w:val="20"/>
        </w:rPr>
        <w:t>each child</w:t>
      </w:r>
      <w:r w:rsidR="00CF1EC6" w:rsidRPr="008946B6">
        <w:rPr>
          <w:sz w:val="20"/>
        </w:rPr>
        <w:t xml:space="preserve"> in the family as a unique individual and should </w:t>
      </w:r>
      <w:r w:rsidRPr="008946B6">
        <w:rPr>
          <w:sz w:val="20"/>
        </w:rPr>
        <w:t>analys</w:t>
      </w:r>
      <w:r w:rsidR="00CF1EC6" w:rsidRPr="008946B6">
        <w:rPr>
          <w:sz w:val="20"/>
        </w:rPr>
        <w:t>e</w:t>
      </w:r>
      <w:r w:rsidRPr="008946B6">
        <w:rPr>
          <w:sz w:val="20"/>
        </w:rPr>
        <w:t xml:space="preserve"> how any identified risks</w:t>
      </w:r>
      <w:r w:rsidR="008847D0" w:rsidRPr="008946B6">
        <w:rPr>
          <w:sz w:val="20"/>
        </w:rPr>
        <w:t>,</w:t>
      </w:r>
      <w:r w:rsidRPr="008946B6">
        <w:rPr>
          <w:sz w:val="20"/>
        </w:rPr>
        <w:t xml:space="preserve"> needs are already or are likely (in the future) to impact on each child.  This analysis </w:t>
      </w:r>
      <w:r w:rsidR="008847D0" w:rsidRPr="008946B6">
        <w:rPr>
          <w:sz w:val="20"/>
        </w:rPr>
        <w:t xml:space="preserve">should then inform the decisions on which (if any) child needs a plan lead by children’s services </w:t>
      </w:r>
      <w:r w:rsidR="00CF1EC6" w:rsidRPr="008946B6">
        <w:rPr>
          <w:sz w:val="20"/>
        </w:rPr>
        <w:t xml:space="preserve">(or a partner agency) </w:t>
      </w:r>
      <w:r w:rsidR="008847D0" w:rsidRPr="008946B6">
        <w:rPr>
          <w:sz w:val="20"/>
        </w:rPr>
        <w:t xml:space="preserve">following that assessment. See </w:t>
      </w:r>
      <w:hyperlink r:id="rId9" w:history="1">
        <w:r w:rsidR="008847D0" w:rsidRPr="008946B6">
          <w:rPr>
            <w:rStyle w:val="Hyperlink"/>
            <w:sz w:val="20"/>
          </w:rPr>
          <w:t>Step down to partner agencies</w:t>
        </w:r>
      </w:hyperlink>
      <w:r w:rsidR="00AE3E5B" w:rsidRPr="008946B6">
        <w:rPr>
          <w:sz w:val="20"/>
        </w:rPr>
        <w:t xml:space="preserve">.  Where there is explicit and detailed information on a child that </w:t>
      </w:r>
      <w:r w:rsidR="002B7368">
        <w:rPr>
          <w:sz w:val="20"/>
        </w:rPr>
        <w:t xml:space="preserve">level of detail </w:t>
      </w:r>
      <w:r w:rsidR="00AE3E5B" w:rsidRPr="008946B6">
        <w:rPr>
          <w:sz w:val="20"/>
        </w:rPr>
        <w:t xml:space="preserve">should only be put </w:t>
      </w:r>
      <w:r w:rsidR="007B169B">
        <w:rPr>
          <w:sz w:val="20"/>
        </w:rPr>
        <w:t xml:space="preserve">only </w:t>
      </w:r>
      <w:r w:rsidR="00AE3E5B" w:rsidRPr="008946B6">
        <w:rPr>
          <w:sz w:val="20"/>
        </w:rPr>
        <w:t xml:space="preserve">on that child’s </w:t>
      </w:r>
      <w:r w:rsidR="008946B6">
        <w:rPr>
          <w:sz w:val="20"/>
        </w:rPr>
        <w:t>file</w:t>
      </w:r>
      <w:r w:rsidR="002B7368">
        <w:rPr>
          <w:sz w:val="20"/>
        </w:rPr>
        <w:t xml:space="preserve"> </w:t>
      </w:r>
      <w:r w:rsidR="007B169B">
        <w:rPr>
          <w:sz w:val="20"/>
        </w:rPr>
        <w:t>–</w:t>
      </w:r>
      <w:r w:rsidR="002B7368">
        <w:rPr>
          <w:sz w:val="20"/>
        </w:rPr>
        <w:t xml:space="preserve"> </w:t>
      </w:r>
      <w:r w:rsidR="007B169B">
        <w:rPr>
          <w:sz w:val="20"/>
        </w:rPr>
        <w:t>it</w:t>
      </w:r>
      <w:r w:rsidR="00410760">
        <w:rPr>
          <w:sz w:val="20"/>
        </w:rPr>
        <w:t>’</w:t>
      </w:r>
      <w:r w:rsidR="007B169B">
        <w:rPr>
          <w:sz w:val="20"/>
        </w:rPr>
        <w:t>s recommended this level of detail is put in an invidual case note (and referenced in the assessment) so it isn’t accidentally shared inappropriately</w:t>
      </w:r>
      <w:r w:rsidR="008946B6">
        <w:rPr>
          <w:sz w:val="20"/>
        </w:rPr>
        <w:t xml:space="preserve">.  </w:t>
      </w:r>
    </w:p>
    <w:p w14:paraId="2AFC3728" w14:textId="6085751A" w:rsidR="00E25278" w:rsidRPr="008946B6" w:rsidRDefault="008847D0" w:rsidP="00AE3E5B">
      <w:pPr>
        <w:pStyle w:val="BodyText"/>
        <w:numPr>
          <w:ilvl w:val="0"/>
          <w:numId w:val="2"/>
        </w:numPr>
        <w:spacing w:before="128"/>
        <w:jc w:val="both"/>
      </w:pPr>
      <w:r w:rsidRPr="008946B6">
        <w:rPr>
          <w:b/>
          <w:bCs/>
          <w:sz w:val="20"/>
        </w:rPr>
        <w:t xml:space="preserve">Plans </w:t>
      </w:r>
      <w:r w:rsidRPr="008946B6">
        <w:rPr>
          <w:sz w:val="20"/>
        </w:rPr>
        <w:t xml:space="preserve">– </w:t>
      </w:r>
      <w:r w:rsidR="00CF1EC6" w:rsidRPr="008946B6">
        <w:rPr>
          <w:sz w:val="20"/>
        </w:rPr>
        <w:t xml:space="preserve">Every plan should be focused on the individual child’s needs.  </w:t>
      </w:r>
      <w:r w:rsidRPr="008946B6">
        <w:rPr>
          <w:sz w:val="20"/>
        </w:rPr>
        <w:t xml:space="preserve">This may mean that a child needs to be ‘ungrouped’ </w:t>
      </w:r>
      <w:r w:rsidR="00CF1EC6" w:rsidRPr="008946B6">
        <w:rPr>
          <w:sz w:val="20"/>
        </w:rPr>
        <w:t>to enable that to happen</w:t>
      </w:r>
      <w:r w:rsidR="008946B6">
        <w:rPr>
          <w:sz w:val="20"/>
        </w:rPr>
        <w:t xml:space="preserve"> (you can add the child to the group again for future workflows)</w:t>
      </w:r>
      <w:r w:rsidR="00CF1EC6" w:rsidRPr="008946B6">
        <w:rPr>
          <w:sz w:val="20"/>
        </w:rPr>
        <w:t xml:space="preserve">.  At each </w:t>
      </w:r>
      <w:r w:rsidR="00CF1EC6" w:rsidRPr="008946B6">
        <w:rPr>
          <w:b/>
          <w:bCs/>
          <w:sz w:val="20"/>
        </w:rPr>
        <w:t xml:space="preserve">Child’s </w:t>
      </w:r>
      <w:r w:rsidR="00E25278" w:rsidRPr="008946B6">
        <w:rPr>
          <w:b/>
          <w:bCs/>
          <w:sz w:val="20"/>
        </w:rPr>
        <w:t>P</w:t>
      </w:r>
      <w:r w:rsidR="00CF1EC6" w:rsidRPr="008946B6">
        <w:rPr>
          <w:b/>
          <w:bCs/>
          <w:sz w:val="20"/>
        </w:rPr>
        <w:t xml:space="preserve">lan </w:t>
      </w:r>
      <w:r w:rsidR="00E25278" w:rsidRPr="008946B6">
        <w:rPr>
          <w:b/>
          <w:bCs/>
          <w:sz w:val="20"/>
        </w:rPr>
        <w:t>R</w:t>
      </w:r>
      <w:r w:rsidR="00CF1EC6" w:rsidRPr="008946B6">
        <w:rPr>
          <w:b/>
          <w:bCs/>
          <w:sz w:val="20"/>
        </w:rPr>
        <w:t>eview,</w:t>
      </w:r>
      <w:r w:rsidR="00CF1EC6" w:rsidRPr="008946B6">
        <w:rPr>
          <w:sz w:val="20"/>
        </w:rPr>
        <w:t xml:space="preserve"> the team around the family should consider </w:t>
      </w:r>
      <w:r w:rsidR="00E25278" w:rsidRPr="008946B6">
        <w:rPr>
          <w:sz w:val="20"/>
        </w:rPr>
        <w:t xml:space="preserve">(using </w:t>
      </w:r>
      <w:hyperlink r:id="rId10" w:history="1">
        <w:r w:rsidR="00E25278" w:rsidRPr="008946B6">
          <w:rPr>
            <w:rStyle w:val="Hyperlink"/>
            <w:sz w:val="20"/>
          </w:rPr>
          <w:t>the joint threshold document</w:t>
        </w:r>
      </w:hyperlink>
      <w:r w:rsidR="00E25278" w:rsidRPr="008946B6">
        <w:rPr>
          <w:sz w:val="20"/>
        </w:rPr>
        <w:t xml:space="preserve">) </w:t>
      </w:r>
      <w:r w:rsidR="00CF1EC6" w:rsidRPr="008946B6">
        <w:rPr>
          <w:sz w:val="20"/>
        </w:rPr>
        <w:t>if each invidual child still needs a plan</w:t>
      </w:r>
      <w:r w:rsidR="00E25278" w:rsidRPr="008946B6">
        <w:rPr>
          <w:sz w:val="20"/>
        </w:rPr>
        <w:t>.</w:t>
      </w:r>
      <w:r w:rsidR="00CF1EC6" w:rsidRPr="008946B6">
        <w:rPr>
          <w:sz w:val="20"/>
        </w:rPr>
        <w:t xml:space="preserve"> </w:t>
      </w:r>
      <w:r w:rsidR="00E25278" w:rsidRPr="008946B6">
        <w:rPr>
          <w:sz w:val="20"/>
        </w:rPr>
        <w:t xml:space="preserve">Case should close to children’s services where appropriate.  This ensures we only remain involved where appropriate and for as long as is necessary for each child.  </w:t>
      </w:r>
    </w:p>
    <w:p w14:paraId="741CE6BF" w14:textId="2C0AAF0A" w:rsidR="00E25278" w:rsidRPr="008946B6" w:rsidRDefault="00E25278" w:rsidP="00CF1EC6">
      <w:pPr>
        <w:pStyle w:val="BodyText"/>
        <w:numPr>
          <w:ilvl w:val="0"/>
          <w:numId w:val="2"/>
        </w:numPr>
        <w:spacing w:before="128"/>
        <w:jc w:val="both"/>
      </w:pPr>
      <w:r w:rsidRPr="008946B6">
        <w:rPr>
          <w:b/>
          <w:bCs/>
          <w:sz w:val="20"/>
        </w:rPr>
        <w:t>Strategy discussions</w:t>
      </w:r>
      <w:r w:rsidR="00AE3E5B" w:rsidRPr="008946B6">
        <w:rPr>
          <w:b/>
          <w:bCs/>
          <w:sz w:val="20"/>
        </w:rPr>
        <w:t xml:space="preserve"> / case supervision</w:t>
      </w:r>
      <w:r w:rsidRPr="008946B6">
        <w:rPr>
          <w:b/>
          <w:bCs/>
          <w:sz w:val="20"/>
        </w:rPr>
        <w:t xml:space="preserve"> - </w:t>
      </w:r>
      <w:r w:rsidRPr="008946B6">
        <w:rPr>
          <w:sz w:val="20"/>
        </w:rPr>
        <w:t>should consider all children in the family.  Reco</w:t>
      </w:r>
      <w:r w:rsidR="00AE3E5B" w:rsidRPr="008946B6">
        <w:rPr>
          <w:sz w:val="20"/>
        </w:rPr>
        <w:t>r</w:t>
      </w:r>
      <w:r w:rsidRPr="008946B6">
        <w:rPr>
          <w:sz w:val="20"/>
        </w:rPr>
        <w:t xml:space="preserve">ding those discussions on a child’s file should consider how much </w:t>
      </w:r>
      <w:r w:rsidRPr="008946B6">
        <w:rPr>
          <w:sz w:val="20"/>
          <w:u w:val="single"/>
        </w:rPr>
        <w:t xml:space="preserve">detail </w:t>
      </w:r>
      <w:r w:rsidRPr="008946B6">
        <w:rPr>
          <w:sz w:val="20"/>
        </w:rPr>
        <w:t xml:space="preserve">on individual child is recorded on their siblings and should reflect the impact of risk </w:t>
      </w:r>
      <w:r w:rsidR="00AE3E5B" w:rsidRPr="008946B6">
        <w:rPr>
          <w:sz w:val="20"/>
        </w:rPr>
        <w:t xml:space="preserve">and how that is being managed for </w:t>
      </w:r>
      <w:r w:rsidRPr="008946B6">
        <w:rPr>
          <w:sz w:val="20"/>
        </w:rPr>
        <w:t xml:space="preserve">the individual child </w:t>
      </w:r>
    </w:p>
    <w:p w14:paraId="139EB11D" w14:textId="1DD9591C" w:rsidR="00E25278" w:rsidRPr="008946B6" w:rsidRDefault="00E25278" w:rsidP="00CF1EC6">
      <w:pPr>
        <w:pStyle w:val="BodyText"/>
        <w:numPr>
          <w:ilvl w:val="0"/>
          <w:numId w:val="2"/>
        </w:numPr>
        <w:spacing w:before="128"/>
        <w:jc w:val="both"/>
      </w:pPr>
      <w:r w:rsidRPr="008946B6">
        <w:rPr>
          <w:b/>
          <w:bCs/>
          <w:sz w:val="20"/>
        </w:rPr>
        <w:t>Visit workflows</w:t>
      </w:r>
      <w:r w:rsidR="008946B6">
        <w:rPr>
          <w:b/>
          <w:bCs/>
          <w:sz w:val="20"/>
        </w:rPr>
        <w:t xml:space="preserve"> </w:t>
      </w:r>
      <w:r w:rsidR="008946B6">
        <w:rPr>
          <w:sz w:val="20"/>
        </w:rPr>
        <w:t xml:space="preserve">– the visit workflow should be recorded on the file of all children present at that visit.  If 1 or more children are not present for a visit they should be ‘ungrouped’ for that visit.   </w:t>
      </w:r>
      <w:r w:rsidR="002B7368">
        <w:rPr>
          <w:sz w:val="20"/>
        </w:rPr>
        <w:t>If</w:t>
      </w:r>
      <w:r w:rsidR="007B169B">
        <w:rPr>
          <w:sz w:val="20"/>
        </w:rPr>
        <w:t xml:space="preserve"> very explicit / personal information is shared by a child during th</w:t>
      </w:r>
      <w:r w:rsidR="00410760">
        <w:rPr>
          <w:sz w:val="20"/>
        </w:rPr>
        <w:t>e</w:t>
      </w:r>
      <w:r w:rsidR="007B169B">
        <w:rPr>
          <w:sz w:val="20"/>
        </w:rPr>
        <w:t xml:space="preserve"> visit </w:t>
      </w:r>
      <w:r w:rsidR="007B169B" w:rsidRPr="008946B6">
        <w:rPr>
          <w:sz w:val="20"/>
        </w:rPr>
        <w:t xml:space="preserve">that </w:t>
      </w:r>
      <w:r w:rsidR="007B169B">
        <w:rPr>
          <w:sz w:val="20"/>
        </w:rPr>
        <w:t xml:space="preserve">level of detail </w:t>
      </w:r>
      <w:r w:rsidR="007B169B" w:rsidRPr="008946B6">
        <w:rPr>
          <w:sz w:val="20"/>
        </w:rPr>
        <w:t xml:space="preserve">should only be put </w:t>
      </w:r>
      <w:r w:rsidR="007B169B">
        <w:rPr>
          <w:sz w:val="20"/>
        </w:rPr>
        <w:t xml:space="preserve">only </w:t>
      </w:r>
      <w:r w:rsidR="007B169B" w:rsidRPr="008946B6">
        <w:rPr>
          <w:sz w:val="20"/>
        </w:rPr>
        <w:t xml:space="preserve">on that child’s </w:t>
      </w:r>
      <w:r w:rsidR="007B169B">
        <w:rPr>
          <w:sz w:val="20"/>
        </w:rPr>
        <w:t>file – it</w:t>
      </w:r>
      <w:r w:rsidR="0075433D">
        <w:rPr>
          <w:sz w:val="20"/>
        </w:rPr>
        <w:t xml:space="preserve"> i</w:t>
      </w:r>
      <w:r w:rsidR="007B169B">
        <w:rPr>
          <w:sz w:val="20"/>
        </w:rPr>
        <w:t>s recommended this level of detail is put in an invidual case note (and referenced in the assessment) so it isn’t accidentally shared inappropriately.</w:t>
      </w:r>
    </w:p>
    <w:p w14:paraId="44413350" w14:textId="4DDCC83B" w:rsidR="007B169B" w:rsidRDefault="00E25278" w:rsidP="007B169B">
      <w:pPr>
        <w:pStyle w:val="BodyText"/>
        <w:numPr>
          <w:ilvl w:val="0"/>
          <w:numId w:val="2"/>
        </w:numPr>
        <w:spacing w:before="128"/>
        <w:jc w:val="both"/>
      </w:pPr>
      <w:r w:rsidRPr="008946B6">
        <w:rPr>
          <w:b/>
          <w:bCs/>
          <w:sz w:val="20"/>
        </w:rPr>
        <w:t>Case Notes</w:t>
      </w:r>
      <w:r w:rsidR="007B169B">
        <w:t xml:space="preserve"> and </w:t>
      </w:r>
      <w:r w:rsidRPr="007B169B">
        <w:rPr>
          <w:b/>
          <w:bCs/>
          <w:sz w:val="20"/>
        </w:rPr>
        <w:t xml:space="preserve">Recording style </w:t>
      </w:r>
      <w:r w:rsidR="002B7368" w:rsidRPr="007B169B">
        <w:rPr>
          <w:b/>
          <w:bCs/>
          <w:sz w:val="20"/>
        </w:rPr>
        <w:t>–</w:t>
      </w:r>
      <w:r w:rsidR="008946B6" w:rsidRPr="007B169B">
        <w:rPr>
          <w:b/>
          <w:bCs/>
          <w:sz w:val="20"/>
        </w:rPr>
        <w:t xml:space="preserve"> </w:t>
      </w:r>
      <w:r w:rsidR="002B7368" w:rsidRPr="007B169B">
        <w:rPr>
          <w:sz w:val="20"/>
        </w:rPr>
        <w:t xml:space="preserve">the individual child should always be at the </w:t>
      </w:r>
      <w:r w:rsidR="00410760" w:rsidRPr="007B169B">
        <w:rPr>
          <w:sz w:val="20"/>
        </w:rPr>
        <w:t>center</w:t>
      </w:r>
      <w:r w:rsidR="002B7368" w:rsidRPr="007B169B">
        <w:rPr>
          <w:sz w:val="20"/>
        </w:rPr>
        <w:t xml:space="preserve"> of your case recording</w:t>
      </w:r>
      <w:r w:rsidR="007B169B" w:rsidRPr="007B169B">
        <w:rPr>
          <w:sz w:val="20"/>
        </w:rPr>
        <w:t xml:space="preserve">. </w:t>
      </w:r>
      <w:r w:rsidR="002B7368" w:rsidRPr="007B169B">
        <w:rPr>
          <w:sz w:val="20"/>
        </w:rPr>
        <w:t xml:space="preserve"> </w:t>
      </w:r>
      <w:r w:rsidR="007B169B" w:rsidRPr="007B169B">
        <w:rPr>
          <w:b/>
          <w:bCs/>
          <w:sz w:val="20"/>
          <w:highlight w:val="green"/>
          <w:u w:val="single"/>
        </w:rPr>
        <w:t>R</w:t>
      </w:r>
      <w:r w:rsidR="002B7368" w:rsidRPr="007B169B">
        <w:rPr>
          <w:b/>
          <w:bCs/>
          <w:sz w:val="20"/>
          <w:highlight w:val="green"/>
          <w:u w:val="single"/>
        </w:rPr>
        <w:t>ecording as if you are writing to the child</w:t>
      </w:r>
      <w:r w:rsidR="002B7368" w:rsidRPr="007B169B">
        <w:rPr>
          <w:sz w:val="20"/>
        </w:rPr>
        <w:t xml:space="preserve"> helps you to remain child focused</w:t>
      </w:r>
      <w:r w:rsidR="007B169B" w:rsidRPr="007B169B">
        <w:rPr>
          <w:sz w:val="20"/>
        </w:rPr>
        <w:t>, consider what needs to be recorded on a</w:t>
      </w:r>
      <w:r w:rsidR="007B169B">
        <w:rPr>
          <w:sz w:val="20"/>
        </w:rPr>
        <w:t>n individual</w:t>
      </w:r>
      <w:r w:rsidR="007B169B" w:rsidRPr="007B169B">
        <w:rPr>
          <w:sz w:val="20"/>
        </w:rPr>
        <w:t xml:space="preserve"> child’s file</w:t>
      </w:r>
      <w:r w:rsidR="002B7368" w:rsidRPr="007B169B">
        <w:rPr>
          <w:sz w:val="20"/>
        </w:rPr>
        <w:t xml:space="preserve"> and really think about </w:t>
      </w:r>
      <w:r w:rsidR="007B169B">
        <w:rPr>
          <w:sz w:val="20"/>
        </w:rPr>
        <w:t xml:space="preserve">how you write / </w:t>
      </w:r>
      <w:r w:rsidR="002B7368" w:rsidRPr="007B169B">
        <w:rPr>
          <w:sz w:val="20"/>
        </w:rPr>
        <w:t xml:space="preserve">the language you use.  </w:t>
      </w:r>
      <w:r w:rsidR="002B7368">
        <w:t xml:space="preserve">A good case record is focused and written clearly, concisely and in clear, non-judgmental, straightforward language to communicate the meaningful “story” and decision-making for that </w:t>
      </w:r>
      <w:proofErr w:type="gramStart"/>
      <w:r w:rsidR="002B7368">
        <w:t>particular child</w:t>
      </w:r>
      <w:proofErr w:type="gramEnd"/>
      <w:r w:rsidR="002B7368">
        <w:t>.  Writing to the child does not mean that risks / concerns for their safety are watered down; it does mean they are recorded in a way the child would understand and should be set out along with the strengths and safety within their family.</w:t>
      </w:r>
    </w:p>
    <w:p w14:paraId="2C5644D0" w14:textId="77777777" w:rsidR="007B169B" w:rsidRPr="008946B6" w:rsidRDefault="007B169B" w:rsidP="007B169B">
      <w:pPr>
        <w:pStyle w:val="BodyText"/>
        <w:spacing w:before="128"/>
        <w:jc w:val="both"/>
      </w:pPr>
    </w:p>
    <w:p w14:paraId="4F45228D" w14:textId="77777777" w:rsidR="00CF1EC6" w:rsidRDefault="00CF1EC6" w:rsidP="00E25278">
      <w:pPr>
        <w:pStyle w:val="BodyText"/>
        <w:spacing w:before="128"/>
        <w:ind w:left="510"/>
        <w:jc w:val="both"/>
      </w:pPr>
    </w:p>
    <w:sectPr w:rsidR="00CF1EC6">
      <w:type w:val="continuous"/>
      <w:pgSz w:w="11910" w:h="16840"/>
      <w:pgMar w:top="140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76ED" w14:textId="77777777" w:rsidR="00475553" w:rsidRDefault="00475553" w:rsidP="00475553">
      <w:r>
        <w:separator/>
      </w:r>
    </w:p>
  </w:endnote>
  <w:endnote w:type="continuationSeparator" w:id="0">
    <w:p w14:paraId="295C1A38" w14:textId="77777777" w:rsidR="00475553" w:rsidRDefault="00475553" w:rsidP="0047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E7C1" w14:textId="77777777" w:rsidR="00475553" w:rsidRDefault="00475553" w:rsidP="00475553">
      <w:r>
        <w:separator/>
      </w:r>
    </w:p>
  </w:footnote>
  <w:footnote w:type="continuationSeparator" w:id="0">
    <w:p w14:paraId="54A2984E" w14:textId="77777777" w:rsidR="00475553" w:rsidRDefault="00475553" w:rsidP="0047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1B8"/>
    <w:multiLevelType w:val="hybridMultilevel"/>
    <w:tmpl w:val="EA44D64C"/>
    <w:lvl w:ilvl="0" w:tplc="BE4E37AE">
      <w:numFmt w:val="bullet"/>
      <w:lvlText w:val="•"/>
      <w:lvlJc w:val="left"/>
      <w:pPr>
        <w:ind w:left="509" w:hanging="363"/>
      </w:pPr>
      <w:rPr>
        <w:rFonts w:ascii="Arial" w:eastAsia="Arial" w:hAnsi="Arial" w:cs="Arial" w:hint="default"/>
        <w:color w:val="010101"/>
        <w:w w:val="108"/>
        <w:sz w:val="19"/>
        <w:szCs w:val="19"/>
      </w:rPr>
    </w:lvl>
    <w:lvl w:ilvl="1" w:tplc="9C889564">
      <w:numFmt w:val="bullet"/>
      <w:lvlText w:val="•"/>
      <w:lvlJc w:val="left"/>
      <w:pPr>
        <w:ind w:left="871" w:hanging="358"/>
      </w:pPr>
      <w:rPr>
        <w:rFonts w:ascii="Arial" w:eastAsia="Arial" w:hAnsi="Arial" w:cs="Arial" w:hint="default"/>
        <w:color w:val="010101"/>
        <w:w w:val="105"/>
        <w:sz w:val="19"/>
        <w:szCs w:val="19"/>
      </w:rPr>
    </w:lvl>
    <w:lvl w:ilvl="2" w:tplc="9CD2AB50">
      <w:numFmt w:val="bullet"/>
      <w:lvlText w:val="•"/>
      <w:lvlJc w:val="left"/>
      <w:pPr>
        <w:ind w:left="1845" w:hanging="358"/>
      </w:pPr>
      <w:rPr>
        <w:rFonts w:hint="default"/>
      </w:rPr>
    </w:lvl>
    <w:lvl w:ilvl="3" w:tplc="D214C28E">
      <w:numFmt w:val="bullet"/>
      <w:lvlText w:val="•"/>
      <w:lvlJc w:val="left"/>
      <w:pPr>
        <w:ind w:left="2810" w:hanging="358"/>
      </w:pPr>
      <w:rPr>
        <w:rFonts w:hint="default"/>
      </w:rPr>
    </w:lvl>
    <w:lvl w:ilvl="4" w:tplc="44CA8176">
      <w:numFmt w:val="bullet"/>
      <w:lvlText w:val="•"/>
      <w:lvlJc w:val="left"/>
      <w:pPr>
        <w:ind w:left="3775" w:hanging="358"/>
      </w:pPr>
      <w:rPr>
        <w:rFonts w:hint="default"/>
      </w:rPr>
    </w:lvl>
    <w:lvl w:ilvl="5" w:tplc="2562A400">
      <w:numFmt w:val="bullet"/>
      <w:lvlText w:val="•"/>
      <w:lvlJc w:val="left"/>
      <w:pPr>
        <w:ind w:left="4740" w:hanging="358"/>
      </w:pPr>
      <w:rPr>
        <w:rFonts w:hint="default"/>
      </w:rPr>
    </w:lvl>
    <w:lvl w:ilvl="6" w:tplc="0076163E">
      <w:numFmt w:val="bullet"/>
      <w:lvlText w:val="•"/>
      <w:lvlJc w:val="left"/>
      <w:pPr>
        <w:ind w:left="5705" w:hanging="358"/>
      </w:pPr>
      <w:rPr>
        <w:rFonts w:hint="default"/>
      </w:rPr>
    </w:lvl>
    <w:lvl w:ilvl="7" w:tplc="C3F89348">
      <w:numFmt w:val="bullet"/>
      <w:lvlText w:val="•"/>
      <w:lvlJc w:val="left"/>
      <w:pPr>
        <w:ind w:left="6670" w:hanging="358"/>
      </w:pPr>
      <w:rPr>
        <w:rFonts w:hint="default"/>
      </w:rPr>
    </w:lvl>
    <w:lvl w:ilvl="8" w:tplc="CA106EFA">
      <w:numFmt w:val="bullet"/>
      <w:lvlText w:val="•"/>
      <w:lvlJc w:val="left"/>
      <w:pPr>
        <w:ind w:left="7636" w:hanging="358"/>
      </w:pPr>
      <w:rPr>
        <w:rFonts w:hint="default"/>
      </w:rPr>
    </w:lvl>
  </w:abstractNum>
  <w:abstractNum w:abstractNumId="1" w15:restartNumberingAfterBreak="0">
    <w:nsid w:val="6A7564F5"/>
    <w:multiLevelType w:val="hybridMultilevel"/>
    <w:tmpl w:val="10ACD50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60"/>
    <w:rsid w:val="0009094D"/>
    <w:rsid w:val="002B7368"/>
    <w:rsid w:val="003204C1"/>
    <w:rsid w:val="00326B20"/>
    <w:rsid w:val="004013A3"/>
    <w:rsid w:val="00410760"/>
    <w:rsid w:val="00475553"/>
    <w:rsid w:val="005E1801"/>
    <w:rsid w:val="00676F10"/>
    <w:rsid w:val="00742C14"/>
    <w:rsid w:val="0075433D"/>
    <w:rsid w:val="007B169B"/>
    <w:rsid w:val="008847D0"/>
    <w:rsid w:val="008946B6"/>
    <w:rsid w:val="009464DE"/>
    <w:rsid w:val="009F3719"/>
    <w:rsid w:val="009F4760"/>
    <w:rsid w:val="00AE3E5B"/>
    <w:rsid w:val="00AE71DF"/>
    <w:rsid w:val="00B875B3"/>
    <w:rsid w:val="00BD1E38"/>
    <w:rsid w:val="00CC21CA"/>
    <w:rsid w:val="00CF1EC6"/>
    <w:rsid w:val="00E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FD12"/>
  <w15:docId w15:val="{E98041A9-D91D-42CB-A4BD-09D4E653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154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6"/>
      <w:ind w:left="509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6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D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B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2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1C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1C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5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roceduresonline.com/derbyshire/scbs/user_controlled_lcms_area/uploaded_files/Threshold%20Document%20FINAL%20December%20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proceduresonline.com%2Ftrixcms%2Fmedia%2F7116%2Fpractice-matters-step-down-to-partner-agencies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670</Words>
  <Characters>3859</Characters>
  <Application>Microsoft Office Word</Application>
  <DocSecurity>0</DocSecurity>
  <Lines>87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Practice Matters -S20v6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Practice Matters -S20v6</dc:title>
  <dc:creator>A9481206</dc:creator>
  <cp:lastModifiedBy>Tracey Hyslop (Childrens Services)</cp:lastModifiedBy>
  <cp:revision>5</cp:revision>
  <dcterms:created xsi:type="dcterms:W3CDTF">2022-05-16T08:03:00Z</dcterms:created>
  <dcterms:modified xsi:type="dcterms:W3CDTF">2022-08-22T08:19:00Z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