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2B25" w14:textId="77777777" w:rsidR="001A0CB3" w:rsidRPr="007D27FF" w:rsidRDefault="001A0CB3" w:rsidP="001A0CB3">
      <w:pPr>
        <w:pStyle w:val="Title"/>
      </w:pPr>
      <w:r w:rsidRPr="007D27FF">
        <w:t xml:space="preserve">Practice Matters </w:t>
      </w:r>
    </w:p>
    <w:p w14:paraId="645DEF26" w14:textId="578C3B9D" w:rsidR="001A0CB3" w:rsidRPr="00040CBD" w:rsidRDefault="00D54C67" w:rsidP="001A0CB3">
      <w:pPr>
        <w:pStyle w:val="Title"/>
        <w:rPr>
          <w:sz w:val="44"/>
          <w:szCs w:val="44"/>
        </w:rPr>
      </w:pPr>
      <w:r>
        <w:rPr>
          <w:color w:val="C45911" w:themeColor="accent2" w:themeShade="BF"/>
          <w:sz w:val="44"/>
          <w:szCs w:val="44"/>
        </w:rPr>
        <w:t>Case closure</w:t>
      </w:r>
    </w:p>
    <w:p w14:paraId="02AC744D" w14:textId="77777777" w:rsidR="001A0CB3" w:rsidRDefault="001A0CB3" w:rsidP="00D51237">
      <w:pPr>
        <w:rPr>
          <w:rStyle w:val="BookTitle"/>
          <w:rFonts w:cs="Arial"/>
          <w:bCs w:val="0"/>
          <w:i w:val="0"/>
          <w:iCs w:val="0"/>
          <w:color w:val="0070C0"/>
          <w:spacing w:val="0"/>
        </w:rPr>
      </w:pPr>
      <w:r>
        <w:rPr>
          <w:rFonts w:cs="Arial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B9B44" wp14:editId="4C502B16">
                <wp:simplePos x="0" y="0"/>
                <wp:positionH relativeFrom="column">
                  <wp:posOffset>9526</wp:posOffset>
                </wp:positionH>
                <wp:positionV relativeFrom="paragraph">
                  <wp:posOffset>77469</wp:posOffset>
                </wp:positionV>
                <wp:extent cx="56388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90DA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.1pt" to="444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</w:p>
    <w:p w14:paraId="2CF66C3D" w14:textId="5E92F24B" w:rsidR="004A47B0" w:rsidRPr="00DD5CBA" w:rsidRDefault="00B60E9A" w:rsidP="00D51237">
      <w:pPr>
        <w:rPr>
          <w:rStyle w:val="BookTitle"/>
          <w:rFonts w:cs="Arial"/>
          <w:bCs w:val="0"/>
          <w:i w:val="0"/>
          <w:iCs w:val="0"/>
          <w:color w:val="0070C0"/>
          <w:spacing w:val="0"/>
        </w:rPr>
      </w:pPr>
      <w:r w:rsidRPr="00DD5CBA">
        <w:rPr>
          <w:rStyle w:val="BookTitle"/>
          <w:rFonts w:cs="Arial"/>
          <w:bCs w:val="0"/>
          <w:i w:val="0"/>
          <w:iCs w:val="0"/>
          <w:color w:val="0070C0"/>
          <w:spacing w:val="0"/>
        </w:rPr>
        <w:t xml:space="preserve">What is </w:t>
      </w:r>
      <w:r w:rsidR="00D54C67">
        <w:rPr>
          <w:rStyle w:val="BookTitle"/>
          <w:rFonts w:cs="Arial"/>
          <w:bCs w:val="0"/>
          <w:i w:val="0"/>
          <w:iCs w:val="0"/>
          <w:color w:val="0070C0"/>
          <w:spacing w:val="0"/>
        </w:rPr>
        <w:t>case closure</w:t>
      </w:r>
      <w:r w:rsidRPr="00DD5CBA">
        <w:rPr>
          <w:rStyle w:val="BookTitle"/>
          <w:rFonts w:cs="Arial"/>
          <w:bCs w:val="0"/>
          <w:i w:val="0"/>
          <w:iCs w:val="0"/>
          <w:color w:val="0070C0"/>
          <w:spacing w:val="0"/>
        </w:rPr>
        <w:t>?</w:t>
      </w:r>
    </w:p>
    <w:p w14:paraId="55BAA29B" w14:textId="1D99DB6C" w:rsidR="00467FC4" w:rsidRPr="00A46AFD" w:rsidRDefault="00D54C67" w:rsidP="00A46AFD">
      <w:p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For practitioners in Early Help and Safeguarding, case closure is about ending our involvement with a child, young </w:t>
      </w:r>
      <w:proofErr w:type="gramStart"/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person</w:t>
      </w:r>
      <w:proofErr w:type="gramEnd"/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or family, and ensuring that the this is well planned, and communicated with </w:t>
      </w:r>
      <w:r w:rsidR="00A46AFD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the family and </w:t>
      </w: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all stakeholders.</w:t>
      </w:r>
      <w:r w:rsidR="00A46AFD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</w:t>
      </w:r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Case clos</w:t>
      </w:r>
      <w:r w:rsidR="00A46AFD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ures</w:t>
      </w:r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may be due </w:t>
      </w:r>
      <w:proofErr w:type="gramStart"/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to:</w:t>
      </w:r>
      <w:proofErr w:type="gramEnd"/>
      <w:r w:rsidR="00A46AFD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</w:t>
      </w:r>
      <w:r w:rsidR="00976C8E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a </w:t>
      </w:r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child, young person or family no longer needing support from Early Help and Safeguarding</w:t>
      </w:r>
      <w:r w:rsidR="00A46AFD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, </w:t>
      </w:r>
      <w:r w:rsidR="00976C8E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f</w:t>
      </w:r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amily makes sustainable changes meaning risk levels have reduced / threshold for intervention no longer met</w:t>
      </w:r>
      <w:r w:rsidR="00A46AFD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, </w:t>
      </w:r>
      <w:r w:rsidR="00976C8E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f</w:t>
      </w:r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amily withdraws consent / do not engage</w:t>
      </w:r>
      <w:r w:rsidR="00A46AFD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, </w:t>
      </w:r>
      <w:r w:rsidR="00976C8E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f</w:t>
      </w:r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amily moves out of Derbyshire</w:t>
      </w:r>
      <w:r w:rsidR="00A46AFD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, </w:t>
      </w:r>
      <w:r w:rsidR="00976C8E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or p</w:t>
      </w:r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artner agency providing emerging needs support</w:t>
      </w:r>
    </w:p>
    <w:p w14:paraId="04A19E6E" w14:textId="7695E551" w:rsidR="00B60E9A" w:rsidRPr="00DD5CBA" w:rsidRDefault="00B60E9A" w:rsidP="007D27FF">
      <w:pPr>
        <w:jc w:val="both"/>
        <w:rPr>
          <w:rStyle w:val="BookTitle"/>
          <w:rFonts w:cs="Arial"/>
          <w:bCs w:val="0"/>
          <w:i w:val="0"/>
          <w:iCs w:val="0"/>
          <w:color w:val="0070C0"/>
          <w:spacing w:val="0"/>
        </w:rPr>
      </w:pPr>
      <w:r w:rsidRPr="00DD5CBA">
        <w:rPr>
          <w:rStyle w:val="BookTitle"/>
          <w:rFonts w:cs="Arial"/>
          <w:bCs w:val="0"/>
          <w:i w:val="0"/>
          <w:iCs w:val="0"/>
          <w:color w:val="0070C0"/>
          <w:spacing w:val="0"/>
        </w:rPr>
        <w:t xml:space="preserve">Why </w:t>
      </w:r>
      <w:r w:rsidR="009544C4" w:rsidRPr="00DD5CBA">
        <w:rPr>
          <w:rStyle w:val="BookTitle"/>
          <w:rFonts w:cs="Arial"/>
          <w:bCs w:val="0"/>
          <w:i w:val="0"/>
          <w:iCs w:val="0"/>
          <w:color w:val="0070C0"/>
          <w:spacing w:val="0"/>
        </w:rPr>
        <w:t>do we</w:t>
      </w:r>
      <w:r w:rsidR="00040CBD">
        <w:rPr>
          <w:rStyle w:val="BookTitle"/>
          <w:rFonts w:cs="Arial"/>
          <w:bCs w:val="0"/>
          <w:i w:val="0"/>
          <w:iCs w:val="0"/>
          <w:color w:val="0070C0"/>
          <w:spacing w:val="0"/>
        </w:rPr>
        <w:t xml:space="preserve"> need</w:t>
      </w:r>
      <w:r w:rsidR="009544C4" w:rsidRPr="00DD5CBA">
        <w:rPr>
          <w:rStyle w:val="BookTitle"/>
          <w:rFonts w:cs="Arial"/>
          <w:bCs w:val="0"/>
          <w:i w:val="0"/>
          <w:iCs w:val="0"/>
          <w:color w:val="0070C0"/>
          <w:spacing w:val="0"/>
        </w:rPr>
        <w:t xml:space="preserve"> </w:t>
      </w:r>
      <w:r w:rsidR="00D214BF">
        <w:rPr>
          <w:rStyle w:val="BookTitle"/>
          <w:rFonts w:cs="Arial"/>
          <w:bCs w:val="0"/>
          <w:i w:val="0"/>
          <w:iCs w:val="0"/>
          <w:color w:val="0070C0"/>
          <w:spacing w:val="0"/>
        </w:rPr>
        <w:t xml:space="preserve">a </w:t>
      </w:r>
      <w:r w:rsidR="003C7AC9">
        <w:rPr>
          <w:rStyle w:val="BookTitle"/>
          <w:rFonts w:cs="Arial"/>
          <w:bCs w:val="0"/>
          <w:i w:val="0"/>
          <w:iCs w:val="0"/>
          <w:color w:val="0070C0"/>
          <w:spacing w:val="0"/>
        </w:rPr>
        <w:t>case closure process</w:t>
      </w:r>
      <w:r w:rsidRPr="00DD5CBA">
        <w:rPr>
          <w:rStyle w:val="BookTitle"/>
          <w:rFonts w:cs="Arial"/>
          <w:bCs w:val="0"/>
          <w:i w:val="0"/>
          <w:iCs w:val="0"/>
          <w:color w:val="0070C0"/>
          <w:spacing w:val="0"/>
        </w:rPr>
        <w:t>?</w:t>
      </w:r>
    </w:p>
    <w:p w14:paraId="126FE3CD" w14:textId="72FEFFAC" w:rsidR="003C7AC9" w:rsidRPr="00A46AFD" w:rsidRDefault="00467FC4" w:rsidP="003C7AC9">
      <w:pPr>
        <w:pStyle w:val="ListParagraph"/>
        <w:numPr>
          <w:ilvl w:val="0"/>
          <w:numId w:val="2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Helps</w:t>
      </w:r>
      <w:r w:rsidR="003C7AC9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children, young </w:t>
      </w:r>
      <w:proofErr w:type="gramStart"/>
      <w:r w:rsidR="003C7AC9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people</w:t>
      </w:r>
      <w:proofErr w:type="gramEnd"/>
      <w:r w:rsidR="003C7AC9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and families to understand who </w:t>
      </w:r>
      <w:r w:rsidR="00A46AFD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has / </w:t>
      </w:r>
      <w:r w:rsidR="003C7AC9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is </w:t>
      </w: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supporting them</w:t>
      </w:r>
      <w:r w:rsidR="00A46AFD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and the outcomes they have achieved</w:t>
      </w:r>
    </w:p>
    <w:p w14:paraId="5F20C0BD" w14:textId="00BDEC3A" w:rsidR="003C7AC9" w:rsidRPr="00A46AFD" w:rsidRDefault="00467FC4" w:rsidP="003C7AC9">
      <w:pPr>
        <w:pStyle w:val="ListParagraph"/>
        <w:numPr>
          <w:ilvl w:val="0"/>
          <w:numId w:val="2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Supports</w:t>
      </w:r>
      <w:r w:rsidR="003C7AC9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Starting Point</w:t>
      </w: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when triaging new referrals</w:t>
      </w:r>
    </w:p>
    <w:p w14:paraId="111C0F64" w14:textId="484684C7" w:rsidR="00467FC4" w:rsidRPr="00A46AFD" w:rsidRDefault="00467FC4" w:rsidP="003C7AC9">
      <w:pPr>
        <w:pStyle w:val="ListParagraph"/>
        <w:numPr>
          <w:ilvl w:val="0"/>
          <w:numId w:val="2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Assists managers and leaders with understanding work levels and capacity in teams</w:t>
      </w:r>
    </w:p>
    <w:p w14:paraId="5460A78D" w14:textId="511627BE" w:rsidR="00467FC4" w:rsidRPr="00A46AFD" w:rsidRDefault="00467FC4" w:rsidP="003C7AC9">
      <w:pPr>
        <w:pStyle w:val="ListParagraph"/>
        <w:numPr>
          <w:ilvl w:val="0"/>
          <w:numId w:val="2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Ensures Supporting Families claims can be made</w:t>
      </w:r>
    </w:p>
    <w:p w14:paraId="59FF9085" w14:textId="477D6096" w:rsidR="00467FC4" w:rsidRPr="00A46AFD" w:rsidRDefault="00467FC4" w:rsidP="003C7AC9">
      <w:pPr>
        <w:pStyle w:val="ListParagraph"/>
        <w:numPr>
          <w:ilvl w:val="0"/>
          <w:numId w:val="2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Helps partner agencies understand when they might need to provide emerging needs support to a child, young person, or family</w:t>
      </w:r>
    </w:p>
    <w:p w14:paraId="1F794428" w14:textId="14F08A7A" w:rsidR="00B60E9A" w:rsidRPr="00DD5CBA" w:rsidRDefault="00467FC4" w:rsidP="007D27FF">
      <w:pPr>
        <w:jc w:val="both"/>
        <w:rPr>
          <w:rStyle w:val="BookTitle"/>
          <w:rFonts w:cs="Arial"/>
          <w:bCs w:val="0"/>
          <w:i w:val="0"/>
          <w:iCs w:val="0"/>
          <w:color w:val="0070C0"/>
          <w:spacing w:val="0"/>
        </w:rPr>
      </w:pPr>
      <w:r>
        <w:rPr>
          <w:rStyle w:val="BookTitle"/>
          <w:rFonts w:cs="Arial"/>
          <w:bCs w:val="0"/>
          <w:i w:val="0"/>
          <w:iCs w:val="0"/>
          <w:color w:val="0070C0"/>
          <w:spacing w:val="0"/>
        </w:rPr>
        <w:t>What</w:t>
      </w:r>
      <w:r w:rsidR="00B60E9A" w:rsidRPr="00DD5CBA">
        <w:rPr>
          <w:rStyle w:val="BookTitle"/>
          <w:rFonts w:cs="Arial"/>
          <w:bCs w:val="0"/>
          <w:i w:val="0"/>
          <w:iCs w:val="0"/>
          <w:color w:val="0070C0"/>
          <w:spacing w:val="0"/>
        </w:rPr>
        <w:t xml:space="preserve"> </w:t>
      </w:r>
      <w:r w:rsidR="00DD5CBA">
        <w:rPr>
          <w:rStyle w:val="BookTitle"/>
          <w:rFonts w:cs="Arial"/>
          <w:bCs w:val="0"/>
          <w:i w:val="0"/>
          <w:iCs w:val="0"/>
          <w:color w:val="0070C0"/>
          <w:spacing w:val="0"/>
        </w:rPr>
        <w:t>good practice</w:t>
      </w:r>
      <w:r w:rsidR="00D615C4">
        <w:rPr>
          <w:rStyle w:val="BookTitle"/>
          <w:rFonts w:cs="Arial"/>
          <w:bCs w:val="0"/>
          <w:i w:val="0"/>
          <w:iCs w:val="0"/>
          <w:color w:val="0070C0"/>
          <w:spacing w:val="0"/>
        </w:rPr>
        <w:t xml:space="preserve"> looks for </w:t>
      </w:r>
      <w:r>
        <w:rPr>
          <w:rStyle w:val="BookTitle"/>
          <w:rFonts w:cs="Arial"/>
          <w:bCs w:val="0"/>
          <w:i w:val="0"/>
          <w:iCs w:val="0"/>
          <w:color w:val="0070C0"/>
          <w:spacing w:val="0"/>
        </w:rPr>
        <w:t>case closure</w:t>
      </w:r>
      <w:r w:rsidR="00B60E9A" w:rsidRPr="00DD5CBA">
        <w:rPr>
          <w:rStyle w:val="BookTitle"/>
          <w:rFonts w:cs="Arial"/>
          <w:bCs w:val="0"/>
          <w:i w:val="0"/>
          <w:iCs w:val="0"/>
          <w:color w:val="0070C0"/>
          <w:spacing w:val="0"/>
        </w:rPr>
        <w:t>?</w:t>
      </w:r>
    </w:p>
    <w:p w14:paraId="093D3947" w14:textId="3D6019DF" w:rsidR="009C2B41" w:rsidRPr="00A46AFD" w:rsidRDefault="009C2B41" w:rsidP="00995991">
      <w:pPr>
        <w:pStyle w:val="ListParagraph"/>
        <w:numPr>
          <w:ilvl w:val="0"/>
          <w:numId w:val="1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Good c</w:t>
      </w:r>
      <w:r w:rsidR="00995991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ommunication</w:t>
      </w: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</w:t>
      </w:r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between practitioners, </w:t>
      </w:r>
      <w:proofErr w:type="gramStart"/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partners</w:t>
      </w:r>
      <w:proofErr w:type="gramEnd"/>
      <w:r w:rsidR="00467FC4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and </w:t>
      </w:r>
      <w:r w:rsidR="006D2F9A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families to ensure everyone is clear </w:t>
      </w:r>
      <w:r w:rsid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about </w:t>
      </w:r>
      <w:r w:rsidR="006D2F9A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why the case is closing</w:t>
      </w:r>
    </w:p>
    <w:p w14:paraId="60F2AE9A" w14:textId="248813C7" w:rsidR="006D2F9A" w:rsidRDefault="006D2F9A" w:rsidP="006D2F9A">
      <w:pPr>
        <w:pStyle w:val="ListParagraph"/>
        <w:numPr>
          <w:ilvl w:val="0"/>
          <w:numId w:val="1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Discussions should take place with key relevant partner agencies </w:t>
      </w:r>
      <w:r w:rsidRPr="00A46AFD">
        <w:rPr>
          <w:rStyle w:val="BookTitle"/>
          <w:rFonts w:cs="Arial"/>
          <w:i w:val="0"/>
          <w:iCs w:val="0"/>
          <w:spacing w:val="0"/>
          <w:sz w:val="21"/>
          <w:szCs w:val="21"/>
        </w:rPr>
        <w:t>and</w:t>
      </w: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the family, </w:t>
      </w:r>
      <w:r w:rsidRPr="00A46AFD">
        <w:rPr>
          <w:rStyle w:val="BookTitle"/>
          <w:rFonts w:cs="Arial"/>
          <w:i w:val="0"/>
          <w:iCs w:val="0"/>
          <w:spacing w:val="0"/>
          <w:sz w:val="21"/>
          <w:szCs w:val="21"/>
        </w:rPr>
        <w:t>prior</w:t>
      </w: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to a case closing to identify whether on-going support emerging needs support is needed</w:t>
      </w:r>
      <w:r w:rsid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,</w:t>
      </w: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</w:t>
      </w:r>
      <w:r w:rsidRPr="00A46AFD">
        <w:rPr>
          <w:rStyle w:val="BookTitle"/>
          <w:rFonts w:cs="Arial"/>
          <w:i w:val="0"/>
          <w:iCs w:val="0"/>
          <w:spacing w:val="0"/>
          <w:sz w:val="21"/>
          <w:szCs w:val="21"/>
        </w:rPr>
        <w:t>how</w:t>
      </w: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these outcomes will be met and </w:t>
      </w:r>
      <w:r w:rsidRPr="00A46AFD">
        <w:rPr>
          <w:rStyle w:val="BookTitle"/>
          <w:rFonts w:cs="Arial"/>
          <w:i w:val="0"/>
          <w:iCs w:val="0"/>
          <w:spacing w:val="0"/>
          <w:sz w:val="21"/>
          <w:szCs w:val="21"/>
        </w:rPr>
        <w:t>who</w:t>
      </w: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else needs to be involved once closed to children’s services.  This best ensures their commitment to, and understanding of, the plan going forward.</w:t>
      </w:r>
    </w:p>
    <w:p w14:paraId="50D9FC92" w14:textId="77777777" w:rsidR="004D062E" w:rsidRPr="00A46AFD" w:rsidRDefault="004D062E" w:rsidP="004D062E">
      <w:pPr>
        <w:pStyle w:val="ListParagraph"/>
        <w:numPr>
          <w:ilvl w:val="0"/>
          <w:numId w:val="1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The practitioner’s manager will ensure there is oversight and agreement of the decision to close the case.  The assessment or Child’s Plan will provide the evidence needed for case closure</w:t>
      </w:r>
    </w:p>
    <w:p w14:paraId="136B7D2E" w14:textId="178DDBF0" w:rsidR="004D062E" w:rsidRPr="004D062E" w:rsidRDefault="004D062E" w:rsidP="004D062E">
      <w:pPr>
        <w:jc w:val="both"/>
        <w:rPr>
          <w:rStyle w:val="BookTitle"/>
          <w:rFonts w:cs="Arial"/>
          <w:i w:val="0"/>
          <w:iCs w:val="0"/>
          <w:color w:val="C45911" w:themeColor="accent2" w:themeShade="BF"/>
          <w:spacing w:val="0"/>
          <w:sz w:val="23"/>
          <w:szCs w:val="23"/>
        </w:rPr>
      </w:pPr>
      <w:r w:rsidRPr="004D062E">
        <w:rPr>
          <w:rStyle w:val="BookTitle"/>
          <w:rFonts w:cs="Arial"/>
          <w:i w:val="0"/>
          <w:iCs w:val="0"/>
          <w:color w:val="C45911" w:themeColor="accent2" w:themeShade="BF"/>
          <w:spacing w:val="0"/>
          <w:sz w:val="23"/>
          <w:szCs w:val="23"/>
        </w:rPr>
        <w:t xml:space="preserve">To be completed within </w:t>
      </w:r>
      <w:r w:rsidR="00DE5381">
        <w:rPr>
          <w:rStyle w:val="BookTitle"/>
          <w:rFonts w:cs="Arial"/>
          <w:i w:val="0"/>
          <w:iCs w:val="0"/>
          <w:color w:val="C45911" w:themeColor="accent2" w:themeShade="BF"/>
          <w:spacing w:val="0"/>
          <w:sz w:val="23"/>
          <w:szCs w:val="23"/>
        </w:rPr>
        <w:t>7</w:t>
      </w:r>
      <w:r w:rsidRPr="004D062E">
        <w:rPr>
          <w:rStyle w:val="BookTitle"/>
          <w:rFonts w:cs="Arial"/>
          <w:i w:val="0"/>
          <w:iCs w:val="0"/>
          <w:color w:val="C45911" w:themeColor="accent2" w:themeShade="BF"/>
          <w:spacing w:val="0"/>
          <w:sz w:val="23"/>
          <w:szCs w:val="23"/>
        </w:rPr>
        <w:t xml:space="preserve"> days of the decision being made to close the case</w:t>
      </w:r>
      <w:r w:rsidR="00C3771C">
        <w:rPr>
          <w:rStyle w:val="BookTitle"/>
          <w:rFonts w:cs="Arial"/>
          <w:i w:val="0"/>
          <w:iCs w:val="0"/>
          <w:color w:val="C45911" w:themeColor="accent2" w:themeShade="BF"/>
          <w:spacing w:val="0"/>
          <w:sz w:val="23"/>
          <w:szCs w:val="23"/>
        </w:rPr>
        <w:t xml:space="preserve"> </w:t>
      </w:r>
      <w:r w:rsidR="00C3771C" w:rsidRPr="002B7E5E">
        <w:rPr>
          <w:rStyle w:val="BookTitle"/>
          <w:rFonts w:cs="Arial"/>
          <w:i w:val="0"/>
          <w:iCs w:val="0"/>
          <w:color w:val="C45911" w:themeColor="accent2" w:themeShade="BF"/>
          <w:spacing w:val="0"/>
          <w:sz w:val="23"/>
          <w:szCs w:val="23"/>
        </w:rPr>
        <w:t>including where a single assessment concludes no further actions.</w:t>
      </w:r>
    </w:p>
    <w:p w14:paraId="308250CB" w14:textId="4ABF3A1F" w:rsidR="006D2F9A" w:rsidRPr="00A46AFD" w:rsidRDefault="00DE5381" w:rsidP="000E713D">
      <w:pPr>
        <w:pStyle w:val="ListParagraph"/>
        <w:numPr>
          <w:ilvl w:val="0"/>
          <w:numId w:val="1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Practitioner to complete t</w:t>
      </w:r>
      <w:r w:rsidR="006D2F9A"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he Case Closure workflow (though it is not necessary to send a copy of this to the family or partner agencies)</w:t>
      </w:r>
    </w:p>
    <w:p w14:paraId="16870634" w14:textId="10EDBAA0" w:rsidR="00DE5381" w:rsidRDefault="00DE5381" w:rsidP="00BC1B6D">
      <w:pPr>
        <w:pStyle w:val="ListParagraph"/>
        <w:numPr>
          <w:ilvl w:val="0"/>
          <w:numId w:val="1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Practitioner to complete t</w:t>
      </w:r>
      <w:r w:rsidR="006D2F9A"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he final Child’s Plan review and</w:t>
      </w: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request Business Services to process</w:t>
      </w:r>
      <w:r w:rsidR="006D2F9A"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a case closure letter will be sent to the family and key partners</w:t>
      </w:r>
      <w:r w:rsidR="003A2B17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</w:t>
      </w: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</w:t>
      </w:r>
      <w:r w:rsidR="003A2B17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(</w:t>
      </w: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B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usiness </w:t>
      </w: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S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ervices staff</w:t>
      </w: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to complete tasks 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with</w:t>
      </w: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in 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a maximum of </w:t>
      </w: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10 days of receipt of requests</w:t>
      </w:r>
      <w:r w:rsidR="003A2B17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)</w:t>
      </w:r>
    </w:p>
    <w:p w14:paraId="2A8D7BC3" w14:textId="23733A0F" w:rsidR="006D2F9A" w:rsidRPr="00DE5381" w:rsidRDefault="006D2F9A" w:rsidP="00BC1B6D">
      <w:pPr>
        <w:pStyle w:val="ListParagraph"/>
        <w:numPr>
          <w:ilvl w:val="0"/>
          <w:numId w:val="1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Practitioner writes a case summary case note on Mosaic</w:t>
      </w:r>
    </w:p>
    <w:p w14:paraId="09BDA66E" w14:textId="6A6F73FD" w:rsidR="006D2F9A" w:rsidRPr="00A46AFD" w:rsidRDefault="006D2F9A" w:rsidP="00BC1B6D">
      <w:pPr>
        <w:pStyle w:val="ListParagraph"/>
        <w:numPr>
          <w:ilvl w:val="0"/>
          <w:numId w:val="1"/>
        </w:num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</w:pPr>
      <w:r w:rsidRPr="00A46AFD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Practitioner ensures that Supporting Families evidence workflows are completed</w:t>
      </w:r>
    </w:p>
    <w:p w14:paraId="2CB1296D" w14:textId="1C4EE8EF" w:rsidR="00976C8E" w:rsidRPr="00DE5381" w:rsidRDefault="00DE5381" w:rsidP="00DE5381">
      <w:pPr>
        <w:pStyle w:val="ListParagraph"/>
        <w:numPr>
          <w:ilvl w:val="0"/>
          <w:numId w:val="1"/>
        </w:numPr>
        <w:tabs>
          <w:tab w:val="left" w:pos="6940"/>
        </w:tabs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Practitioner to ensure their</w:t>
      </w:r>
      <w:r w:rsidR="006D2F9A"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 xml:space="preserve"> worker’s current relationship with the family is ended in Mosaic</w:t>
      </w:r>
      <w:r w:rsidRPr="00DE5381">
        <w:rPr>
          <w:rStyle w:val="BookTitle"/>
          <w:rFonts w:cs="Arial"/>
          <w:b w:val="0"/>
          <w:bCs w:val="0"/>
          <w:i w:val="0"/>
          <w:iCs w:val="0"/>
          <w:spacing w:val="0"/>
          <w:sz w:val="21"/>
          <w:szCs w:val="21"/>
        </w:rPr>
        <w:t>, along with the completion of the checklist within the workflow</w:t>
      </w:r>
      <w:r w:rsidR="000E713D">
        <w:rPr>
          <w:noProof/>
        </w:rPr>
        <w:drawing>
          <wp:inline distT="0" distB="0" distL="0" distR="0" wp14:anchorId="45D23A56" wp14:editId="31FEA136">
            <wp:extent cx="6210300" cy="193357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5EEF39E" w14:textId="5322B0C8" w:rsidR="00976C8E" w:rsidRPr="002B7E5E" w:rsidRDefault="002B7E5E" w:rsidP="002B7E5E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>ES June</w:t>
      </w:r>
      <w:r w:rsidR="00976C8E" w:rsidRPr="002B7E5E"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 2023</w:t>
      </w:r>
    </w:p>
    <w:sectPr w:rsidR="00976C8E" w:rsidRPr="002B7E5E" w:rsidSect="00DE5381">
      <w:pgSz w:w="11906" w:h="16838"/>
      <w:pgMar w:top="568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B91A" w14:textId="77777777" w:rsidR="000F3198" w:rsidRDefault="000F3198" w:rsidP="0093745D">
      <w:pPr>
        <w:spacing w:after="0" w:line="240" w:lineRule="auto"/>
      </w:pPr>
      <w:r>
        <w:separator/>
      </w:r>
    </w:p>
  </w:endnote>
  <w:endnote w:type="continuationSeparator" w:id="0">
    <w:p w14:paraId="162FE5BC" w14:textId="77777777" w:rsidR="000F3198" w:rsidRDefault="000F3198" w:rsidP="0093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8616" w14:textId="77777777" w:rsidR="000F3198" w:rsidRDefault="000F3198" w:rsidP="0093745D">
      <w:pPr>
        <w:spacing w:after="0" w:line="240" w:lineRule="auto"/>
      </w:pPr>
      <w:r>
        <w:separator/>
      </w:r>
    </w:p>
  </w:footnote>
  <w:footnote w:type="continuationSeparator" w:id="0">
    <w:p w14:paraId="7BF9D70F" w14:textId="77777777" w:rsidR="000F3198" w:rsidRDefault="000F3198" w:rsidP="0093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97C"/>
    <w:multiLevelType w:val="hybridMultilevel"/>
    <w:tmpl w:val="B3706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82BAF"/>
    <w:multiLevelType w:val="hybridMultilevel"/>
    <w:tmpl w:val="21DA0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4680B"/>
    <w:multiLevelType w:val="hybridMultilevel"/>
    <w:tmpl w:val="5AB8D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9A"/>
    <w:rsid w:val="000121AF"/>
    <w:rsid w:val="00040CBD"/>
    <w:rsid w:val="0006611F"/>
    <w:rsid w:val="000A7FFD"/>
    <w:rsid w:val="000D2433"/>
    <w:rsid w:val="000E713D"/>
    <w:rsid w:val="000F3198"/>
    <w:rsid w:val="00130AF5"/>
    <w:rsid w:val="001A0CB3"/>
    <w:rsid w:val="001F3607"/>
    <w:rsid w:val="0023218D"/>
    <w:rsid w:val="00237FC8"/>
    <w:rsid w:val="00286468"/>
    <w:rsid w:val="002A08EA"/>
    <w:rsid w:val="002B7E5E"/>
    <w:rsid w:val="002F474E"/>
    <w:rsid w:val="00314098"/>
    <w:rsid w:val="003439DA"/>
    <w:rsid w:val="00385E15"/>
    <w:rsid w:val="003A2B17"/>
    <w:rsid w:val="003B4D2D"/>
    <w:rsid w:val="003C7AC9"/>
    <w:rsid w:val="003D1318"/>
    <w:rsid w:val="00403FA8"/>
    <w:rsid w:val="00422D83"/>
    <w:rsid w:val="00430C7C"/>
    <w:rsid w:val="00432CC9"/>
    <w:rsid w:val="00467FC4"/>
    <w:rsid w:val="004A20DC"/>
    <w:rsid w:val="004A47B0"/>
    <w:rsid w:val="004C3C52"/>
    <w:rsid w:val="004D062E"/>
    <w:rsid w:val="00534E59"/>
    <w:rsid w:val="005F1C36"/>
    <w:rsid w:val="006254F2"/>
    <w:rsid w:val="0067310B"/>
    <w:rsid w:val="006A2CBB"/>
    <w:rsid w:val="006B70FB"/>
    <w:rsid w:val="006D2F9A"/>
    <w:rsid w:val="00711E20"/>
    <w:rsid w:val="007260FF"/>
    <w:rsid w:val="0075305B"/>
    <w:rsid w:val="007A005B"/>
    <w:rsid w:val="007D27FF"/>
    <w:rsid w:val="007D7773"/>
    <w:rsid w:val="008466A8"/>
    <w:rsid w:val="00870049"/>
    <w:rsid w:val="008A055B"/>
    <w:rsid w:val="008B0504"/>
    <w:rsid w:val="008B1CFC"/>
    <w:rsid w:val="008E4E7A"/>
    <w:rsid w:val="008E6788"/>
    <w:rsid w:val="00912090"/>
    <w:rsid w:val="00921AD6"/>
    <w:rsid w:val="0093745D"/>
    <w:rsid w:val="00944201"/>
    <w:rsid w:val="009544C4"/>
    <w:rsid w:val="00976C8E"/>
    <w:rsid w:val="00995991"/>
    <w:rsid w:val="009C2B41"/>
    <w:rsid w:val="00A05A4F"/>
    <w:rsid w:val="00A334B1"/>
    <w:rsid w:val="00A46AFD"/>
    <w:rsid w:val="00B341AE"/>
    <w:rsid w:val="00B4406B"/>
    <w:rsid w:val="00B51026"/>
    <w:rsid w:val="00B60E9A"/>
    <w:rsid w:val="00BC1B6D"/>
    <w:rsid w:val="00C3771C"/>
    <w:rsid w:val="00C55F39"/>
    <w:rsid w:val="00C913E5"/>
    <w:rsid w:val="00CD2EB8"/>
    <w:rsid w:val="00CF76A8"/>
    <w:rsid w:val="00D214BF"/>
    <w:rsid w:val="00D51237"/>
    <w:rsid w:val="00D54C67"/>
    <w:rsid w:val="00D615C4"/>
    <w:rsid w:val="00D65F53"/>
    <w:rsid w:val="00DC0729"/>
    <w:rsid w:val="00DD5CBA"/>
    <w:rsid w:val="00DE5381"/>
    <w:rsid w:val="00E46CFB"/>
    <w:rsid w:val="00EE4AD4"/>
    <w:rsid w:val="00F06FB4"/>
    <w:rsid w:val="00F1287F"/>
    <w:rsid w:val="00F33BAD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3C52"/>
  <w15:chartTrackingRefBased/>
  <w15:docId w15:val="{04CC7B26-29E1-470F-B423-D6F5404C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9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after="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after="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after="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after="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3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4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3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45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612240-7E17-473D-9C46-D2236E7B7629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6929DA0C-5E1F-488C-A234-701F9F71906B}">
      <dgm:prSet phldrT="[Text]" custT="1"/>
      <dgm:spPr/>
      <dgm:t>
        <a:bodyPr/>
        <a:lstStyle/>
        <a:p>
          <a:r>
            <a:rPr lang="en-GB" sz="900"/>
            <a:t>Case open to children's services.  Plan regularly being reviewed and threshold of intervention being regularly discussed </a:t>
          </a:r>
        </a:p>
      </dgm:t>
    </dgm:pt>
    <dgm:pt modelId="{457100B4-DC99-4C01-B264-168D9065B41A}" type="parTrans" cxnId="{72BE8285-8C70-4563-BEE3-F5456DCE3EE2}">
      <dgm:prSet/>
      <dgm:spPr/>
      <dgm:t>
        <a:bodyPr/>
        <a:lstStyle/>
        <a:p>
          <a:endParaRPr lang="en-GB"/>
        </a:p>
      </dgm:t>
    </dgm:pt>
    <dgm:pt modelId="{00AFBCD8-9AD0-460D-9EB0-9A9AE753A42F}" type="sibTrans" cxnId="{72BE8285-8C70-4563-BEE3-F5456DCE3EE2}">
      <dgm:prSet/>
      <dgm:spPr/>
      <dgm:t>
        <a:bodyPr/>
        <a:lstStyle/>
        <a:p>
          <a:endParaRPr lang="en-GB"/>
        </a:p>
      </dgm:t>
    </dgm:pt>
    <dgm:pt modelId="{C4F5B331-F410-4514-9504-96A7017672CB}">
      <dgm:prSet phldrT="[Text]" custT="1"/>
      <dgm:spPr/>
      <dgm:t>
        <a:bodyPr/>
        <a:lstStyle/>
        <a:p>
          <a:r>
            <a:rPr lang="en-GB" sz="900"/>
            <a:t>If  Step-down is agreed; the  SMART child's plan is updated within a review meeting  - new </a:t>
          </a:r>
          <a:r>
            <a:rPr lang="en-GB" sz="900" b="1"/>
            <a:t>lead Professional </a:t>
          </a:r>
          <a:r>
            <a:rPr lang="en-GB" sz="900"/>
            <a:t>identified</a:t>
          </a:r>
        </a:p>
      </dgm:t>
    </dgm:pt>
    <dgm:pt modelId="{EFE50038-713A-42D0-9E8F-458CB5767F88}" type="parTrans" cxnId="{D620AC20-068E-4B1C-B1A4-A8F8B17D383D}">
      <dgm:prSet/>
      <dgm:spPr/>
      <dgm:t>
        <a:bodyPr/>
        <a:lstStyle/>
        <a:p>
          <a:endParaRPr lang="en-GB"/>
        </a:p>
      </dgm:t>
    </dgm:pt>
    <dgm:pt modelId="{B865C92E-6BC0-40CE-ADA4-15F558CA9919}" type="sibTrans" cxnId="{D620AC20-068E-4B1C-B1A4-A8F8B17D383D}">
      <dgm:prSet/>
      <dgm:spPr/>
      <dgm:t>
        <a:bodyPr/>
        <a:lstStyle/>
        <a:p>
          <a:endParaRPr lang="en-GB"/>
        </a:p>
      </dgm:t>
    </dgm:pt>
    <dgm:pt modelId="{B035DB4D-6B60-40A4-86B4-44AAB9CC7C1B}">
      <dgm:prSet phldrT="[Text]" custT="1"/>
      <dgm:spPr/>
      <dgm:t>
        <a:bodyPr/>
        <a:lstStyle/>
        <a:p>
          <a:r>
            <a:rPr lang="en-GB" sz="900"/>
            <a:t>Appropriate work steps are completed and worker's relationship with the family is eneded </a:t>
          </a:r>
        </a:p>
        <a:p>
          <a:r>
            <a:rPr lang="en-GB" sz="900" b="1"/>
            <a:t>Case is closed to children's services</a:t>
          </a:r>
        </a:p>
      </dgm:t>
    </dgm:pt>
    <dgm:pt modelId="{03A71217-BA89-4E9F-A9C0-E51586DFBCDB}" type="parTrans" cxnId="{996A53D6-2A52-4042-BD61-F04C017159D1}">
      <dgm:prSet/>
      <dgm:spPr/>
      <dgm:t>
        <a:bodyPr/>
        <a:lstStyle/>
        <a:p>
          <a:endParaRPr lang="en-GB"/>
        </a:p>
      </dgm:t>
    </dgm:pt>
    <dgm:pt modelId="{569C1BA0-03EE-45D1-B161-C7A27F68707C}" type="sibTrans" cxnId="{996A53D6-2A52-4042-BD61-F04C017159D1}">
      <dgm:prSet/>
      <dgm:spPr/>
      <dgm:t>
        <a:bodyPr/>
        <a:lstStyle/>
        <a:p>
          <a:endParaRPr lang="en-GB"/>
        </a:p>
      </dgm:t>
    </dgm:pt>
    <dgm:pt modelId="{A5696AF8-F6B4-48F1-8C97-F9AC996B6E5B}">
      <dgm:prSet custT="1"/>
      <dgm:spPr/>
      <dgm:t>
        <a:bodyPr/>
        <a:lstStyle/>
        <a:p>
          <a:r>
            <a:rPr lang="en-GB" sz="900"/>
            <a:t>Case closure  is considered  </a:t>
          </a:r>
          <a:r>
            <a:rPr lang="en-GB" sz="1000"/>
            <a:t>appropriate - discussion within supervision evidencing managers agreement and oversight</a:t>
          </a:r>
        </a:p>
      </dgm:t>
    </dgm:pt>
    <dgm:pt modelId="{15F11EFE-9E9F-4F98-92BA-2C5B5823C0CC}" type="parTrans" cxnId="{F2CB722B-10C5-4311-A825-2CFBB913851C}">
      <dgm:prSet/>
      <dgm:spPr/>
      <dgm:t>
        <a:bodyPr/>
        <a:lstStyle/>
        <a:p>
          <a:endParaRPr lang="en-GB"/>
        </a:p>
      </dgm:t>
    </dgm:pt>
    <dgm:pt modelId="{291FAD03-DC9C-472D-A705-AA5A95382A98}" type="sibTrans" cxnId="{F2CB722B-10C5-4311-A825-2CFBB913851C}">
      <dgm:prSet/>
      <dgm:spPr/>
      <dgm:t>
        <a:bodyPr/>
        <a:lstStyle/>
        <a:p>
          <a:endParaRPr lang="en-GB"/>
        </a:p>
      </dgm:t>
    </dgm:pt>
    <dgm:pt modelId="{6E280A4F-8C69-454F-A66A-DA2594869B53}">
      <dgm:prSet custT="1"/>
      <dgm:spPr/>
      <dgm:t>
        <a:bodyPr/>
        <a:lstStyle/>
        <a:p>
          <a:r>
            <a:rPr lang="en-GB" sz="900"/>
            <a:t>Discussions take place with </a:t>
          </a:r>
          <a:r>
            <a:rPr lang="en-GB" sz="900" b="1">
              <a:solidFill>
                <a:schemeClr val="bg1"/>
              </a:solidFill>
            </a:rPr>
            <a:t>key</a:t>
          </a:r>
          <a:r>
            <a:rPr lang="en-GB" sz="900"/>
            <a:t> relevant partner agencies  to identify if any outcomes require a  step-down plan will  need to address, how they will support these outcomes and who else needs to be involved</a:t>
          </a:r>
          <a:r>
            <a:rPr lang="en-GB" sz="1500"/>
            <a:t> </a:t>
          </a:r>
        </a:p>
      </dgm:t>
    </dgm:pt>
    <dgm:pt modelId="{27D94A31-1C66-4369-A1F8-CBB8B64C5727}" type="parTrans" cxnId="{8ED2BBE5-753E-4F8B-AAA4-7D579DC20700}">
      <dgm:prSet/>
      <dgm:spPr/>
      <dgm:t>
        <a:bodyPr/>
        <a:lstStyle/>
        <a:p>
          <a:endParaRPr lang="en-GB"/>
        </a:p>
      </dgm:t>
    </dgm:pt>
    <dgm:pt modelId="{39C5F92D-23DB-427F-84F6-F479EC0F42F8}" type="sibTrans" cxnId="{8ED2BBE5-753E-4F8B-AAA4-7D579DC20700}">
      <dgm:prSet/>
      <dgm:spPr/>
      <dgm:t>
        <a:bodyPr/>
        <a:lstStyle/>
        <a:p>
          <a:endParaRPr lang="en-GB"/>
        </a:p>
      </dgm:t>
    </dgm:pt>
    <dgm:pt modelId="{4E3D8767-1F18-469D-9073-5714DF924E50}" type="pres">
      <dgm:prSet presAssocID="{E0612240-7E17-473D-9C46-D2236E7B7629}" presName="CompostProcess" presStyleCnt="0">
        <dgm:presLayoutVars>
          <dgm:dir/>
          <dgm:resizeHandles val="exact"/>
        </dgm:presLayoutVars>
      </dgm:prSet>
      <dgm:spPr/>
    </dgm:pt>
    <dgm:pt modelId="{8584C48D-A637-4D3F-87BF-1B2DDDE5DAA9}" type="pres">
      <dgm:prSet presAssocID="{E0612240-7E17-473D-9C46-D2236E7B7629}" presName="arrow" presStyleLbl="bgShp" presStyleIdx="0" presStyleCnt="1"/>
      <dgm:spPr/>
    </dgm:pt>
    <dgm:pt modelId="{7BC5F7FF-9C94-460C-804B-62478E467547}" type="pres">
      <dgm:prSet presAssocID="{E0612240-7E17-473D-9C46-D2236E7B7629}" presName="linearProcess" presStyleCnt="0"/>
      <dgm:spPr/>
    </dgm:pt>
    <dgm:pt modelId="{CACCB8D4-429F-4413-9044-12D2DD5625C9}" type="pres">
      <dgm:prSet presAssocID="{6929DA0C-5E1F-488C-A234-701F9F71906B}" presName="textNode" presStyleLbl="node1" presStyleIdx="0" presStyleCnt="5" custScaleY="187209" custLinFactX="-2205" custLinFactNeighborX="-100000" custLinFactNeighborY="1094">
        <dgm:presLayoutVars>
          <dgm:bulletEnabled val="1"/>
        </dgm:presLayoutVars>
      </dgm:prSet>
      <dgm:spPr/>
    </dgm:pt>
    <dgm:pt modelId="{774624EE-67D8-4187-AF95-59397F3EB70D}" type="pres">
      <dgm:prSet presAssocID="{00AFBCD8-9AD0-460D-9EB0-9A9AE753A42F}" presName="sibTrans" presStyleCnt="0"/>
      <dgm:spPr/>
    </dgm:pt>
    <dgm:pt modelId="{CD1ABD61-44DA-4A50-8BE9-BB9AE23F3D1F}" type="pres">
      <dgm:prSet presAssocID="{A5696AF8-F6B4-48F1-8C97-F9AC996B6E5B}" presName="textNode" presStyleLbl="node1" presStyleIdx="1" presStyleCnt="5" custScaleX="123108" custScaleY="217442" custLinFactNeighborX="-37807">
        <dgm:presLayoutVars>
          <dgm:bulletEnabled val="1"/>
        </dgm:presLayoutVars>
      </dgm:prSet>
      <dgm:spPr/>
    </dgm:pt>
    <dgm:pt modelId="{5C2429FF-FDDE-4386-997D-A8DD46360BE1}" type="pres">
      <dgm:prSet presAssocID="{291FAD03-DC9C-472D-A705-AA5A95382A98}" presName="sibTrans" presStyleCnt="0"/>
      <dgm:spPr/>
    </dgm:pt>
    <dgm:pt modelId="{0AE08BC7-62F5-44BC-B171-2A1D2143C224}" type="pres">
      <dgm:prSet presAssocID="{6E280A4F-8C69-454F-A66A-DA2594869B53}" presName="textNode" presStyleLbl="node1" presStyleIdx="2" presStyleCnt="5" custScaleX="135356" custScaleY="203704" custLinFactNeighborX="-94517" custLinFactNeighborY="-4926">
        <dgm:presLayoutVars>
          <dgm:bulletEnabled val="1"/>
        </dgm:presLayoutVars>
      </dgm:prSet>
      <dgm:spPr/>
    </dgm:pt>
    <dgm:pt modelId="{620B1E1F-5633-4CFB-87E2-F70AF7AD862D}" type="pres">
      <dgm:prSet presAssocID="{39C5F92D-23DB-427F-84F6-F479EC0F42F8}" presName="sibTrans" presStyleCnt="0"/>
      <dgm:spPr/>
    </dgm:pt>
    <dgm:pt modelId="{FBCC56BD-F848-46E1-8462-976C1962F733}" type="pres">
      <dgm:prSet presAssocID="{C4F5B331-F410-4514-9504-96A7017672CB}" presName="textNode" presStyleLbl="node1" presStyleIdx="3" presStyleCnt="5" custScaleX="117346" custScaleY="143805" custLinFactX="-10195" custLinFactNeighborX="-100000" custLinFactNeighborY="364">
        <dgm:presLayoutVars>
          <dgm:bulletEnabled val="1"/>
        </dgm:presLayoutVars>
      </dgm:prSet>
      <dgm:spPr/>
    </dgm:pt>
    <dgm:pt modelId="{E2FF9BB6-B5B1-405A-A1CA-2ED1FB0C77A1}" type="pres">
      <dgm:prSet presAssocID="{B865C92E-6BC0-40CE-ADA4-15F558CA9919}" presName="sibTrans" presStyleCnt="0"/>
      <dgm:spPr/>
    </dgm:pt>
    <dgm:pt modelId="{1D08DB8E-8B73-4B11-8D01-32B90E2BC24D}" type="pres">
      <dgm:prSet presAssocID="{B035DB4D-6B60-40A4-86B4-44AAB9CC7C1B}" presName="textNode" presStyleLbl="node1" presStyleIdx="4" presStyleCnt="5" custScaleY="198138" custLinFactX="-11453" custLinFactNeighborX="-100000" custLinFactNeighborY="-7458">
        <dgm:presLayoutVars>
          <dgm:bulletEnabled val="1"/>
        </dgm:presLayoutVars>
      </dgm:prSet>
      <dgm:spPr/>
    </dgm:pt>
  </dgm:ptLst>
  <dgm:cxnLst>
    <dgm:cxn modelId="{D620AC20-068E-4B1C-B1A4-A8F8B17D383D}" srcId="{E0612240-7E17-473D-9C46-D2236E7B7629}" destId="{C4F5B331-F410-4514-9504-96A7017672CB}" srcOrd="3" destOrd="0" parTransId="{EFE50038-713A-42D0-9E8F-458CB5767F88}" sibTransId="{B865C92E-6BC0-40CE-ADA4-15F558CA9919}"/>
    <dgm:cxn modelId="{F2CB722B-10C5-4311-A825-2CFBB913851C}" srcId="{E0612240-7E17-473D-9C46-D2236E7B7629}" destId="{A5696AF8-F6B4-48F1-8C97-F9AC996B6E5B}" srcOrd="1" destOrd="0" parTransId="{15F11EFE-9E9F-4F98-92BA-2C5B5823C0CC}" sibTransId="{291FAD03-DC9C-472D-A705-AA5A95382A98}"/>
    <dgm:cxn modelId="{465C5C42-0FE4-4614-B0C3-8A4160178DCD}" type="presOf" srcId="{B035DB4D-6B60-40A4-86B4-44AAB9CC7C1B}" destId="{1D08DB8E-8B73-4B11-8D01-32B90E2BC24D}" srcOrd="0" destOrd="0" presId="urn:microsoft.com/office/officeart/2005/8/layout/hProcess9"/>
    <dgm:cxn modelId="{D50A1670-3674-42B0-84DE-EDC37DF66695}" type="presOf" srcId="{E0612240-7E17-473D-9C46-D2236E7B7629}" destId="{4E3D8767-1F18-469D-9073-5714DF924E50}" srcOrd="0" destOrd="0" presId="urn:microsoft.com/office/officeart/2005/8/layout/hProcess9"/>
    <dgm:cxn modelId="{A77B8E82-540D-4BF5-A105-D08FF86B56C3}" type="presOf" srcId="{6929DA0C-5E1F-488C-A234-701F9F71906B}" destId="{CACCB8D4-429F-4413-9044-12D2DD5625C9}" srcOrd="0" destOrd="0" presId="urn:microsoft.com/office/officeart/2005/8/layout/hProcess9"/>
    <dgm:cxn modelId="{72BE8285-8C70-4563-BEE3-F5456DCE3EE2}" srcId="{E0612240-7E17-473D-9C46-D2236E7B7629}" destId="{6929DA0C-5E1F-488C-A234-701F9F71906B}" srcOrd="0" destOrd="0" parTransId="{457100B4-DC99-4C01-B264-168D9065B41A}" sibTransId="{00AFBCD8-9AD0-460D-9EB0-9A9AE753A42F}"/>
    <dgm:cxn modelId="{3604C08C-AA64-48E9-B144-F1A63E4C4FEF}" type="presOf" srcId="{A5696AF8-F6B4-48F1-8C97-F9AC996B6E5B}" destId="{CD1ABD61-44DA-4A50-8BE9-BB9AE23F3D1F}" srcOrd="0" destOrd="0" presId="urn:microsoft.com/office/officeart/2005/8/layout/hProcess9"/>
    <dgm:cxn modelId="{368570C5-EA3A-42F3-B516-CF73BFB9CDB6}" type="presOf" srcId="{C4F5B331-F410-4514-9504-96A7017672CB}" destId="{FBCC56BD-F848-46E1-8462-976C1962F733}" srcOrd="0" destOrd="0" presId="urn:microsoft.com/office/officeart/2005/8/layout/hProcess9"/>
    <dgm:cxn modelId="{996A53D6-2A52-4042-BD61-F04C017159D1}" srcId="{E0612240-7E17-473D-9C46-D2236E7B7629}" destId="{B035DB4D-6B60-40A4-86B4-44AAB9CC7C1B}" srcOrd="4" destOrd="0" parTransId="{03A71217-BA89-4E9F-A9C0-E51586DFBCDB}" sibTransId="{569C1BA0-03EE-45D1-B161-C7A27F68707C}"/>
    <dgm:cxn modelId="{8D1699D9-A95B-49DB-92AE-BBF321DDC2CF}" type="presOf" srcId="{6E280A4F-8C69-454F-A66A-DA2594869B53}" destId="{0AE08BC7-62F5-44BC-B171-2A1D2143C224}" srcOrd="0" destOrd="0" presId="urn:microsoft.com/office/officeart/2005/8/layout/hProcess9"/>
    <dgm:cxn modelId="{8ED2BBE5-753E-4F8B-AAA4-7D579DC20700}" srcId="{E0612240-7E17-473D-9C46-D2236E7B7629}" destId="{6E280A4F-8C69-454F-A66A-DA2594869B53}" srcOrd="2" destOrd="0" parTransId="{27D94A31-1C66-4369-A1F8-CBB8B64C5727}" sibTransId="{39C5F92D-23DB-427F-84F6-F479EC0F42F8}"/>
    <dgm:cxn modelId="{3A94AFEF-9522-4E4B-B578-B419A84C4E3D}" type="presParOf" srcId="{4E3D8767-1F18-469D-9073-5714DF924E50}" destId="{8584C48D-A637-4D3F-87BF-1B2DDDE5DAA9}" srcOrd="0" destOrd="0" presId="urn:microsoft.com/office/officeart/2005/8/layout/hProcess9"/>
    <dgm:cxn modelId="{1F657315-B752-4AE3-9125-2AE49E3FDB12}" type="presParOf" srcId="{4E3D8767-1F18-469D-9073-5714DF924E50}" destId="{7BC5F7FF-9C94-460C-804B-62478E467547}" srcOrd="1" destOrd="0" presId="urn:microsoft.com/office/officeart/2005/8/layout/hProcess9"/>
    <dgm:cxn modelId="{DCA3666B-F813-4CD1-8502-76D0FC1C7E09}" type="presParOf" srcId="{7BC5F7FF-9C94-460C-804B-62478E467547}" destId="{CACCB8D4-429F-4413-9044-12D2DD5625C9}" srcOrd="0" destOrd="0" presId="urn:microsoft.com/office/officeart/2005/8/layout/hProcess9"/>
    <dgm:cxn modelId="{491F45A1-A62A-47D9-8E0E-71F621C16729}" type="presParOf" srcId="{7BC5F7FF-9C94-460C-804B-62478E467547}" destId="{774624EE-67D8-4187-AF95-59397F3EB70D}" srcOrd="1" destOrd="0" presId="urn:microsoft.com/office/officeart/2005/8/layout/hProcess9"/>
    <dgm:cxn modelId="{4FB302B8-8BD3-4FDA-AC61-9ED93FE1E775}" type="presParOf" srcId="{7BC5F7FF-9C94-460C-804B-62478E467547}" destId="{CD1ABD61-44DA-4A50-8BE9-BB9AE23F3D1F}" srcOrd="2" destOrd="0" presId="urn:microsoft.com/office/officeart/2005/8/layout/hProcess9"/>
    <dgm:cxn modelId="{64448F27-DFB4-4B02-AF69-8AA93152FF65}" type="presParOf" srcId="{7BC5F7FF-9C94-460C-804B-62478E467547}" destId="{5C2429FF-FDDE-4386-997D-A8DD46360BE1}" srcOrd="3" destOrd="0" presId="urn:microsoft.com/office/officeart/2005/8/layout/hProcess9"/>
    <dgm:cxn modelId="{B81954F2-84D3-4AD0-B4D7-7C427CB88D28}" type="presParOf" srcId="{7BC5F7FF-9C94-460C-804B-62478E467547}" destId="{0AE08BC7-62F5-44BC-B171-2A1D2143C224}" srcOrd="4" destOrd="0" presId="urn:microsoft.com/office/officeart/2005/8/layout/hProcess9"/>
    <dgm:cxn modelId="{310E75F8-176B-490F-AB82-47B4FA11F3DC}" type="presParOf" srcId="{7BC5F7FF-9C94-460C-804B-62478E467547}" destId="{620B1E1F-5633-4CFB-87E2-F70AF7AD862D}" srcOrd="5" destOrd="0" presId="urn:microsoft.com/office/officeart/2005/8/layout/hProcess9"/>
    <dgm:cxn modelId="{717E826F-327F-4154-808D-A87DA55DF809}" type="presParOf" srcId="{7BC5F7FF-9C94-460C-804B-62478E467547}" destId="{FBCC56BD-F848-46E1-8462-976C1962F733}" srcOrd="6" destOrd="0" presId="urn:microsoft.com/office/officeart/2005/8/layout/hProcess9"/>
    <dgm:cxn modelId="{FEB94AC2-12F6-4064-B4BA-55E774CE432F}" type="presParOf" srcId="{7BC5F7FF-9C94-460C-804B-62478E467547}" destId="{E2FF9BB6-B5B1-405A-A1CA-2ED1FB0C77A1}" srcOrd="7" destOrd="0" presId="urn:microsoft.com/office/officeart/2005/8/layout/hProcess9"/>
    <dgm:cxn modelId="{8A7BF81F-139E-4239-A078-31FD7ADD3729}" type="presParOf" srcId="{7BC5F7FF-9C94-460C-804B-62478E467547}" destId="{1D08DB8E-8B73-4B11-8D01-32B90E2BC24D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84C48D-A637-4D3F-87BF-1B2DDDE5DAA9}">
      <dsp:nvSpPr>
        <dsp:cNvPr id="0" name=""/>
        <dsp:cNvSpPr/>
      </dsp:nvSpPr>
      <dsp:spPr>
        <a:xfrm>
          <a:off x="465772" y="0"/>
          <a:ext cx="5278755" cy="193357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ACCB8D4-429F-4413-9044-12D2DD5625C9}">
      <dsp:nvSpPr>
        <dsp:cNvPr id="0" name=""/>
        <dsp:cNvSpPr/>
      </dsp:nvSpPr>
      <dsp:spPr>
        <a:xfrm>
          <a:off x="0" y="251283"/>
          <a:ext cx="973116" cy="144793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Case open to children's services.  Plan regularly being reviewed and threshold of intervention being regularly discussed </a:t>
          </a:r>
        </a:p>
      </dsp:txBody>
      <dsp:txXfrm>
        <a:off x="47504" y="298787"/>
        <a:ext cx="878108" cy="1352922"/>
      </dsp:txXfrm>
    </dsp:sp>
    <dsp:sp modelId="{CD1ABD61-44DA-4A50-8BE9-BB9AE23F3D1F}">
      <dsp:nvSpPr>
        <dsp:cNvPr id="0" name=""/>
        <dsp:cNvSpPr/>
      </dsp:nvSpPr>
      <dsp:spPr>
        <a:xfrm>
          <a:off x="1068300" y="125906"/>
          <a:ext cx="1197984" cy="168176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Case closure  is considered  </a:t>
          </a:r>
          <a:r>
            <a:rPr lang="en-GB" sz="1000" kern="1200"/>
            <a:t>appropriate - discussion within supervision evidencing managers agreement and oversight</a:t>
          </a:r>
        </a:p>
      </dsp:txBody>
      <dsp:txXfrm>
        <a:off x="1126781" y="184387"/>
        <a:ext cx="1081022" cy="1564799"/>
      </dsp:txXfrm>
    </dsp:sp>
    <dsp:sp modelId="{0AE08BC7-62F5-44BC-B171-2A1D2143C224}">
      <dsp:nvSpPr>
        <dsp:cNvPr id="0" name=""/>
        <dsp:cNvSpPr/>
      </dsp:nvSpPr>
      <dsp:spPr>
        <a:xfrm>
          <a:off x="2331723" y="140934"/>
          <a:ext cx="1317172" cy="157550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Discussions take place with </a:t>
          </a:r>
          <a:r>
            <a:rPr lang="en-GB" sz="900" b="1" kern="1200">
              <a:solidFill>
                <a:schemeClr val="bg1"/>
              </a:solidFill>
            </a:rPr>
            <a:t>key</a:t>
          </a:r>
          <a:r>
            <a:rPr lang="en-GB" sz="900" kern="1200"/>
            <a:t> relevant partner agencies  to identify if any outcomes require a  step-down plan will  need to address, how they will support these outcomes and who else needs to be involved</a:t>
          </a:r>
          <a:r>
            <a:rPr lang="en-GB" sz="1500" kern="1200"/>
            <a:t> </a:t>
          </a:r>
        </a:p>
      </dsp:txBody>
      <dsp:txXfrm>
        <a:off x="2396022" y="205233"/>
        <a:ext cx="1188574" cy="1446909"/>
      </dsp:txXfrm>
    </dsp:sp>
    <dsp:sp modelId="{FBCC56BD-F848-46E1-8462-976C1962F733}">
      <dsp:nvSpPr>
        <dsp:cNvPr id="0" name=""/>
        <dsp:cNvSpPr/>
      </dsp:nvSpPr>
      <dsp:spPr>
        <a:xfrm>
          <a:off x="3692562" y="413487"/>
          <a:ext cx="1141913" cy="111223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If  Step-down is agreed; the  SMART child's plan is updated within a review meeting  - new </a:t>
          </a:r>
          <a:r>
            <a:rPr lang="en-GB" sz="900" b="1" kern="1200"/>
            <a:t>lead Professional </a:t>
          </a:r>
          <a:r>
            <a:rPr lang="en-GB" sz="900" kern="1200"/>
            <a:t>identified</a:t>
          </a:r>
        </a:p>
      </dsp:txBody>
      <dsp:txXfrm>
        <a:off x="3746857" y="467782"/>
        <a:ext cx="1033323" cy="1003641"/>
      </dsp:txXfrm>
    </dsp:sp>
    <dsp:sp modelId="{1D08DB8E-8B73-4B11-8D01-32B90E2BC24D}">
      <dsp:nvSpPr>
        <dsp:cNvPr id="0" name=""/>
        <dsp:cNvSpPr/>
      </dsp:nvSpPr>
      <dsp:spPr>
        <a:xfrm>
          <a:off x="4973398" y="142875"/>
          <a:ext cx="973116" cy="1532458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Appropriate work steps are completed and worker's relationship with the family is eneded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Case is closed to children's services</a:t>
          </a:r>
        </a:p>
      </dsp:txBody>
      <dsp:txXfrm>
        <a:off x="5020902" y="190379"/>
        <a:ext cx="878108" cy="14374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James (Childrens Services)</dc:creator>
  <cp:keywords/>
  <dc:description/>
  <cp:lastModifiedBy>Emma Steeples (Childrens Services)</cp:lastModifiedBy>
  <cp:revision>2</cp:revision>
  <dcterms:created xsi:type="dcterms:W3CDTF">2023-06-20T17:01:00Z</dcterms:created>
  <dcterms:modified xsi:type="dcterms:W3CDTF">2023-06-20T17:01:00Z</dcterms:modified>
</cp:coreProperties>
</file>