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EA75" w14:textId="77777777" w:rsidR="008443CA" w:rsidRPr="008443CA" w:rsidRDefault="008443CA" w:rsidP="0000410A">
      <w:pPr>
        <w:pBdr>
          <w:bottom w:val="single" w:sz="24" w:space="0" w:color="800080"/>
        </w:pBdr>
        <w:spacing w:before="120" w:after="120" w:line="240" w:lineRule="auto"/>
        <w:rPr>
          <w:rFonts w:eastAsia="Times New Roman" w:cs="Arial"/>
          <w:b/>
          <w:sz w:val="32"/>
          <w:szCs w:val="32"/>
          <w:highlight w:val="yellow"/>
          <w:lang w:eastAsia="en-GB"/>
        </w:rPr>
      </w:pPr>
      <w:bookmarkStart w:id="0" w:name="_Hlk511052181"/>
    </w:p>
    <w:p w14:paraId="7A67F776" w14:textId="0D66C63F" w:rsidR="0076135F" w:rsidRDefault="0076135F" w:rsidP="0000410A">
      <w:pPr>
        <w:pBdr>
          <w:bottom w:val="single" w:sz="24" w:space="0" w:color="800080"/>
        </w:pBdr>
        <w:spacing w:before="120" w:after="120" w:line="240" w:lineRule="auto"/>
        <w:rPr>
          <w:rFonts w:eastAsia="Times New Roman" w:cs="Arial"/>
          <w:b/>
          <w:sz w:val="32"/>
          <w:szCs w:val="32"/>
          <w:lang w:eastAsia="en-GB"/>
        </w:rPr>
      </w:pPr>
      <w:r w:rsidRPr="0076135F">
        <w:rPr>
          <w:rFonts w:eastAsia="Times New Roman" w:cs="Arial"/>
          <w:b/>
          <w:sz w:val="32"/>
          <w:szCs w:val="32"/>
          <w:lang w:eastAsia="en-GB"/>
        </w:rPr>
        <w:t xml:space="preserve">Provider </w:t>
      </w:r>
      <w:r>
        <w:rPr>
          <w:rFonts w:eastAsia="Times New Roman" w:cs="Arial"/>
          <w:b/>
          <w:sz w:val="32"/>
          <w:szCs w:val="32"/>
          <w:lang w:eastAsia="en-GB"/>
        </w:rPr>
        <w:t>R</w:t>
      </w:r>
      <w:r w:rsidRPr="0076135F">
        <w:rPr>
          <w:rFonts w:eastAsia="Times New Roman" w:cs="Arial"/>
          <w:b/>
          <w:sz w:val="32"/>
          <w:szCs w:val="32"/>
          <w:lang w:eastAsia="en-GB"/>
        </w:rPr>
        <w:t xml:space="preserve">isk, </w:t>
      </w:r>
      <w:r>
        <w:rPr>
          <w:rFonts w:eastAsia="Times New Roman" w:cs="Arial"/>
          <w:b/>
          <w:sz w:val="32"/>
          <w:szCs w:val="32"/>
          <w:lang w:eastAsia="en-GB"/>
        </w:rPr>
        <w:t>Q</w:t>
      </w:r>
      <w:r w:rsidRPr="0076135F">
        <w:rPr>
          <w:rFonts w:eastAsia="Times New Roman" w:cs="Arial"/>
          <w:b/>
          <w:sz w:val="32"/>
          <w:szCs w:val="32"/>
          <w:lang w:eastAsia="en-GB"/>
        </w:rPr>
        <w:t xml:space="preserve">uality, and </w:t>
      </w:r>
      <w:r>
        <w:rPr>
          <w:rFonts w:eastAsia="Times New Roman" w:cs="Arial"/>
          <w:b/>
          <w:sz w:val="32"/>
          <w:szCs w:val="32"/>
          <w:lang w:eastAsia="en-GB"/>
        </w:rPr>
        <w:t>C</w:t>
      </w:r>
      <w:r w:rsidRPr="0076135F">
        <w:rPr>
          <w:rFonts w:eastAsia="Times New Roman" w:cs="Arial"/>
          <w:b/>
          <w:sz w:val="32"/>
          <w:szCs w:val="32"/>
          <w:lang w:eastAsia="en-GB"/>
        </w:rPr>
        <w:t>oncerns</w:t>
      </w:r>
      <w:r>
        <w:rPr>
          <w:rFonts w:eastAsia="Times New Roman" w:cs="Arial"/>
          <w:b/>
          <w:sz w:val="32"/>
          <w:szCs w:val="32"/>
          <w:lang w:eastAsia="en-GB"/>
        </w:rPr>
        <w:t xml:space="preserve"> Meeting</w:t>
      </w:r>
    </w:p>
    <w:p w14:paraId="3AD0197B" w14:textId="4FE1BF43" w:rsidR="0076135F" w:rsidRPr="0076135F" w:rsidRDefault="0076135F" w:rsidP="0000410A">
      <w:pPr>
        <w:pBdr>
          <w:bottom w:val="single" w:sz="24" w:space="0" w:color="800080"/>
        </w:pBdr>
        <w:spacing w:before="120" w:after="120" w:line="240" w:lineRule="auto"/>
        <w:rPr>
          <w:rFonts w:eastAsia="Times New Roman" w:cs="Arial"/>
          <w:b/>
          <w:szCs w:val="24"/>
          <w:lang w:eastAsia="en-GB"/>
        </w:rPr>
      </w:pPr>
      <w:r w:rsidRPr="0076135F">
        <w:rPr>
          <w:rFonts w:eastAsia="Times New Roman" w:cs="Arial"/>
          <w:b/>
          <w:szCs w:val="24"/>
          <w:lang w:eastAsia="en-GB"/>
        </w:rPr>
        <w:t>Children’s &amp; Adults’</w:t>
      </w:r>
    </w:p>
    <w:p w14:paraId="66CFDB82" w14:textId="1FEF0C41" w:rsidR="00956FF7" w:rsidRPr="0076135F" w:rsidRDefault="00956FF7" w:rsidP="00956FF7">
      <w:pPr>
        <w:pBdr>
          <w:bottom w:val="single" w:sz="24" w:space="0" w:color="800080"/>
        </w:pBdr>
        <w:spacing w:before="120" w:after="240" w:line="240" w:lineRule="auto"/>
        <w:rPr>
          <w:rFonts w:eastAsia="Times New Roman" w:cs="Arial"/>
          <w:sz w:val="28"/>
          <w:szCs w:val="28"/>
          <w:lang w:eastAsia="en-GB"/>
        </w:rPr>
      </w:pPr>
      <w:r w:rsidRPr="0076135F">
        <w:rPr>
          <w:rFonts w:eastAsia="Times New Roman" w:cs="Arial"/>
          <w:sz w:val="28"/>
          <w:szCs w:val="28"/>
          <w:lang w:eastAsia="en-GB"/>
        </w:rPr>
        <w:t>Terms of Reference</w:t>
      </w:r>
      <w:r w:rsidR="00315A43" w:rsidRPr="0076135F">
        <w:rPr>
          <w:rFonts w:eastAsia="Times New Roman" w:cs="Arial"/>
          <w:sz w:val="28"/>
          <w:szCs w:val="28"/>
          <w:lang w:eastAsia="en-GB"/>
        </w:rPr>
        <w:t xml:space="preserve"> </w:t>
      </w:r>
      <w:r w:rsidR="00315A43" w:rsidRPr="0076135F">
        <w:rPr>
          <w:rFonts w:eastAsia="Times New Roman" w:cs="Arial"/>
          <w:sz w:val="18"/>
          <w:szCs w:val="18"/>
          <w:lang w:eastAsia="en-GB"/>
        </w:rPr>
        <w:t xml:space="preserve">(Last update </w:t>
      </w:r>
      <w:r w:rsidR="0076135F" w:rsidRPr="0076135F">
        <w:rPr>
          <w:rFonts w:eastAsia="Times New Roman" w:cs="Arial"/>
          <w:sz w:val="18"/>
          <w:szCs w:val="18"/>
          <w:lang w:eastAsia="en-GB"/>
        </w:rPr>
        <w:t>12.12.22</w:t>
      </w:r>
      <w:r w:rsidR="00315A43" w:rsidRPr="0076135F">
        <w:rPr>
          <w:rFonts w:eastAsia="Times New Roman" w:cs="Arial"/>
          <w:sz w:val="18"/>
          <w:szCs w:val="18"/>
          <w:lang w:eastAsia="en-GB"/>
        </w:rPr>
        <w:t>)</w:t>
      </w:r>
    </w:p>
    <w:p w14:paraId="4F24ED82" w14:textId="77777777" w:rsidR="00956FF7" w:rsidRPr="00A75813" w:rsidRDefault="00956FF7" w:rsidP="00956FF7">
      <w:pPr>
        <w:pBdr>
          <w:bottom w:val="single" w:sz="24" w:space="0" w:color="800080"/>
        </w:pBdr>
        <w:spacing w:before="120" w:after="240" w:line="240" w:lineRule="auto"/>
        <w:rPr>
          <w:rFonts w:eastAsia="Times New Roman" w:cs="Arial"/>
          <w:sz w:val="28"/>
          <w:szCs w:val="28"/>
          <w:highlight w:val="yellow"/>
          <w:lang w:eastAsia="en-GB"/>
        </w:rPr>
      </w:pPr>
    </w:p>
    <w:tbl>
      <w:tblPr>
        <w:tblStyle w:val="TableGrid1"/>
        <w:tblW w:w="9067" w:type="dxa"/>
        <w:tblInd w:w="0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8443CA" w:rsidRPr="008443CA" w14:paraId="12BE95B1" w14:textId="77777777" w:rsidTr="00BB01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618D" w14:textId="77777777" w:rsidR="00956FF7" w:rsidRPr="00B219F7" w:rsidRDefault="00BB01FE" w:rsidP="00956F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219F7">
              <w:rPr>
                <w:rFonts w:ascii="Arial" w:hAnsi="Arial" w:cs="Arial"/>
                <w:b/>
                <w:bCs/>
                <w:sz w:val="36"/>
                <w:szCs w:val="36"/>
              </w:rPr>
              <w:t>Purpose</w:t>
            </w:r>
          </w:p>
          <w:p w14:paraId="7A834971" w14:textId="77777777" w:rsidR="00956FF7" w:rsidRPr="008443CA" w:rsidRDefault="00956FF7" w:rsidP="00956FF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4"/>
                <w:highlight w:val="yellow"/>
              </w:rPr>
            </w:pPr>
          </w:p>
          <w:p w14:paraId="19A5717C" w14:textId="77777777" w:rsidR="00956FF7" w:rsidRPr="008443CA" w:rsidRDefault="00956FF7" w:rsidP="00956FF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4"/>
                <w:highlight w:val="yellow"/>
              </w:rPr>
            </w:pPr>
          </w:p>
          <w:p w14:paraId="7AFF5837" w14:textId="77777777" w:rsidR="00956FF7" w:rsidRPr="008443CA" w:rsidRDefault="00956FF7" w:rsidP="00956FF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4"/>
                <w:highlight w:val="yellow"/>
              </w:rPr>
            </w:pPr>
          </w:p>
          <w:p w14:paraId="30E842B2" w14:textId="77777777" w:rsidR="00956FF7" w:rsidRPr="008443CA" w:rsidRDefault="00956FF7" w:rsidP="00956FF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4"/>
                <w:highlight w:val="yellow"/>
              </w:rPr>
            </w:pPr>
          </w:p>
          <w:p w14:paraId="5953854C" w14:textId="77777777" w:rsidR="00956FF7" w:rsidRPr="008443CA" w:rsidRDefault="00956FF7" w:rsidP="00956FF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4"/>
                <w:highlight w:val="yellow"/>
              </w:rPr>
            </w:pPr>
          </w:p>
          <w:p w14:paraId="742D9E41" w14:textId="77777777" w:rsidR="00956FF7" w:rsidRPr="008443CA" w:rsidRDefault="00956FF7" w:rsidP="00956FF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4"/>
                <w:highlight w:val="yellow"/>
              </w:rPr>
            </w:pPr>
          </w:p>
          <w:p w14:paraId="151D282A" w14:textId="77777777" w:rsidR="00956FF7" w:rsidRPr="008443CA" w:rsidRDefault="00956FF7" w:rsidP="00956FF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B08C" w14:textId="06AE15F0" w:rsidR="00956FF7" w:rsidRPr="00CC68A1" w:rsidRDefault="00CC68A1" w:rsidP="00161E2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CC68A1">
              <w:rPr>
                <w:rFonts w:ascii="Arial" w:hAnsi="Arial" w:cs="Arial"/>
              </w:rPr>
              <w:t xml:space="preserve">There will be </w:t>
            </w:r>
            <w:r>
              <w:rPr>
                <w:rFonts w:ascii="Arial" w:hAnsi="Arial" w:cs="Arial"/>
              </w:rPr>
              <w:t xml:space="preserve">two </w:t>
            </w:r>
            <w:r w:rsidRPr="00CC68A1">
              <w:rPr>
                <w:rFonts w:ascii="Arial" w:hAnsi="Arial" w:cs="Arial"/>
                <w:szCs w:val="22"/>
              </w:rPr>
              <w:t xml:space="preserve">Provider Risk, Quality, and Concerns </w:t>
            </w:r>
            <w:proofErr w:type="gramStart"/>
            <w:r w:rsidRPr="00CC68A1">
              <w:rPr>
                <w:rFonts w:ascii="Arial" w:hAnsi="Arial" w:cs="Arial"/>
                <w:szCs w:val="22"/>
              </w:rPr>
              <w:t>meetings</w:t>
            </w:r>
            <w:r w:rsidR="00161E2A">
              <w:rPr>
                <w:rFonts w:ascii="Arial" w:hAnsi="Arial" w:cs="Arial"/>
                <w:szCs w:val="22"/>
              </w:rPr>
              <w:t>;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one for Adults’ Care and Support and another for Children’s Care and Support. </w:t>
            </w:r>
          </w:p>
          <w:p w14:paraId="3FD355F5" w14:textId="39B87F07" w:rsidR="00CC68A1" w:rsidRDefault="002F1625" w:rsidP="00161E2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purpose of the meetings </w:t>
            </w:r>
            <w:r w:rsidR="00A2222B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to discuss any issues or concerns </w:t>
            </w:r>
            <w:r w:rsidR="00446CB7">
              <w:rPr>
                <w:rFonts w:ascii="Arial" w:hAnsi="Arial" w:cs="Arial"/>
              </w:rPr>
              <w:t xml:space="preserve">relating to either providers the borough have commissioned to deliver services </w:t>
            </w:r>
            <w:r w:rsidR="00A2222B">
              <w:rPr>
                <w:rFonts w:ascii="Arial" w:hAnsi="Arial" w:cs="Arial"/>
              </w:rPr>
              <w:t>or</w:t>
            </w:r>
            <w:r w:rsidR="00446CB7">
              <w:rPr>
                <w:rFonts w:ascii="Arial" w:hAnsi="Arial" w:cs="Arial"/>
              </w:rPr>
              <w:t xml:space="preserve"> </w:t>
            </w:r>
            <w:r w:rsidR="009D3262">
              <w:rPr>
                <w:rFonts w:ascii="Arial" w:hAnsi="Arial" w:cs="Arial"/>
              </w:rPr>
              <w:t xml:space="preserve">those located within the borough. </w:t>
            </w:r>
          </w:p>
          <w:p w14:paraId="19DB029F" w14:textId="1C803E89" w:rsidR="003264A9" w:rsidRDefault="00401D1F" w:rsidP="00161E2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relating to concerns or risks regarding a provider can b</w:t>
            </w:r>
            <w:r w:rsidR="004D472F">
              <w:rPr>
                <w:rFonts w:ascii="Arial" w:hAnsi="Arial" w:cs="Arial"/>
              </w:rPr>
              <w:t>e brought by any of the individuals attending the meeting, this is including but not limited to the</w:t>
            </w:r>
            <w:r w:rsidR="00AE38B0">
              <w:rPr>
                <w:rFonts w:ascii="Arial" w:hAnsi="Arial" w:cs="Arial"/>
              </w:rPr>
              <w:t xml:space="preserve"> PQIT, social workers, commissioners, the LADO, etc…</w:t>
            </w:r>
          </w:p>
          <w:p w14:paraId="35F6C57A" w14:textId="35685F4F" w:rsidR="00181D0C" w:rsidRPr="00A91B81" w:rsidRDefault="004B2D8C" w:rsidP="00161E2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Providers will be RAG rated on the </w:t>
            </w:r>
            <w:r w:rsidR="00085002">
              <w:rPr>
                <w:rFonts w:ascii="Arial" w:hAnsi="Arial" w:cs="Arial"/>
              </w:rPr>
              <w:t xml:space="preserve">level of the risk </w:t>
            </w:r>
            <w:r w:rsidR="000F4E8C">
              <w:rPr>
                <w:rFonts w:ascii="Arial" w:hAnsi="Arial" w:cs="Arial"/>
              </w:rPr>
              <w:t xml:space="preserve">posed </w:t>
            </w:r>
            <w:r w:rsidR="00085002">
              <w:rPr>
                <w:rFonts w:ascii="Arial" w:hAnsi="Arial" w:cs="Arial"/>
              </w:rPr>
              <w:t xml:space="preserve">to service users using the </w:t>
            </w:r>
            <w:r w:rsidR="00E43AED">
              <w:rPr>
                <w:rFonts w:ascii="Arial" w:hAnsi="Arial" w:cs="Arial"/>
              </w:rPr>
              <w:t>criteria detailed in appendix 1.</w:t>
            </w:r>
          </w:p>
          <w:p w14:paraId="01F21E96" w14:textId="4F3A9714" w:rsidR="007963B4" w:rsidRDefault="00DF624C" w:rsidP="00161E2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91B81">
              <w:rPr>
                <w:rFonts w:ascii="Arial" w:hAnsi="Arial" w:cs="Arial"/>
              </w:rPr>
              <w:t>The meetings will review and discuss providers that are rated either Amber, Red or Blue</w:t>
            </w:r>
            <w:r w:rsidR="00A91B81" w:rsidRPr="00A91B81">
              <w:rPr>
                <w:rFonts w:ascii="Arial" w:hAnsi="Arial" w:cs="Arial"/>
              </w:rPr>
              <w:t>. Providers who are rated green will not need to be reviewed at these</w:t>
            </w:r>
            <w:r w:rsidR="007963B4">
              <w:rPr>
                <w:rFonts w:ascii="Arial" w:hAnsi="Arial" w:cs="Arial"/>
              </w:rPr>
              <w:t xml:space="preserve"> </w:t>
            </w:r>
            <w:r w:rsidR="007963B4" w:rsidRPr="00A91B81">
              <w:rPr>
                <w:rFonts w:ascii="Arial" w:hAnsi="Arial" w:cs="Arial"/>
              </w:rPr>
              <w:t>meetings</w:t>
            </w:r>
            <w:r w:rsidR="00A91B81" w:rsidRPr="00A91B81">
              <w:rPr>
                <w:rFonts w:ascii="Arial" w:hAnsi="Arial" w:cs="Arial"/>
              </w:rPr>
              <w:t>.</w:t>
            </w:r>
          </w:p>
          <w:p w14:paraId="001D2502" w14:textId="40FA3AE7" w:rsidR="00DF624C" w:rsidRPr="007963B4" w:rsidRDefault="007963B4" w:rsidP="00161E2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7963B4">
              <w:rPr>
                <w:rFonts w:ascii="Arial" w:hAnsi="Arial" w:cs="Arial"/>
              </w:rPr>
              <w:t xml:space="preserve">Decisions regarding the rating of a provider are undertaken at </w:t>
            </w:r>
            <w:r>
              <w:rPr>
                <w:rFonts w:ascii="Arial" w:hAnsi="Arial" w:cs="Arial"/>
              </w:rPr>
              <w:t>these</w:t>
            </w:r>
            <w:r w:rsidRPr="007963B4">
              <w:rPr>
                <w:rFonts w:ascii="Arial" w:hAnsi="Arial" w:cs="Arial"/>
              </w:rPr>
              <w:t xml:space="preserve"> meetings and</w:t>
            </w:r>
            <w:r>
              <w:rPr>
                <w:rFonts w:ascii="Arial" w:hAnsi="Arial" w:cs="Arial"/>
              </w:rPr>
              <w:t>,</w:t>
            </w:r>
            <w:r w:rsidRPr="007963B4">
              <w:rPr>
                <w:rFonts w:ascii="Arial" w:hAnsi="Arial" w:cs="Arial"/>
              </w:rPr>
              <w:t xml:space="preserve"> where it is thought that the provider should be in the </w:t>
            </w:r>
            <w:r w:rsidR="00A83024" w:rsidRPr="007963B4">
              <w:rPr>
                <w:rFonts w:ascii="Arial" w:hAnsi="Arial" w:cs="Arial"/>
              </w:rPr>
              <w:t>blue</w:t>
            </w:r>
            <w:r w:rsidRPr="007963B4">
              <w:rPr>
                <w:rFonts w:ascii="Arial" w:hAnsi="Arial" w:cs="Arial"/>
              </w:rPr>
              <w:t xml:space="preserve"> category</w:t>
            </w:r>
            <w:r w:rsidR="00393D65">
              <w:rPr>
                <w:rFonts w:ascii="Arial" w:hAnsi="Arial" w:cs="Arial"/>
              </w:rPr>
              <w:t xml:space="preserve"> (where they are </w:t>
            </w:r>
            <w:r w:rsidRPr="007963B4">
              <w:rPr>
                <w:rFonts w:ascii="Arial" w:hAnsi="Arial" w:cs="Arial"/>
              </w:rPr>
              <w:t>subsequently placed under suspension</w:t>
            </w:r>
            <w:r w:rsidR="00393D65">
              <w:rPr>
                <w:rFonts w:ascii="Arial" w:hAnsi="Arial" w:cs="Arial"/>
              </w:rPr>
              <w:t>)</w:t>
            </w:r>
            <w:r w:rsidRPr="007963B4">
              <w:rPr>
                <w:rFonts w:ascii="Arial" w:hAnsi="Arial" w:cs="Arial"/>
              </w:rPr>
              <w:t xml:space="preserve"> a letter is sent to the provider from the Commissioning Director for Care and Support.</w:t>
            </w:r>
            <w:r w:rsidR="005B769E">
              <w:rPr>
                <w:rFonts w:ascii="Arial" w:hAnsi="Arial" w:cs="Arial"/>
              </w:rPr>
              <w:t xml:space="preserve"> Letters are also sent to </w:t>
            </w:r>
            <w:r w:rsidR="00682F07">
              <w:rPr>
                <w:rFonts w:ascii="Arial" w:hAnsi="Arial" w:cs="Arial"/>
              </w:rPr>
              <w:t>other relevant boroughs and networks to ensure they are aware of the concerns and that a suspension has been put in place.</w:t>
            </w:r>
            <w:r w:rsidR="00A91B81" w:rsidRPr="007963B4">
              <w:rPr>
                <w:rFonts w:ascii="Arial" w:hAnsi="Arial" w:cs="Arial"/>
              </w:rPr>
              <w:t xml:space="preserve"> </w:t>
            </w:r>
          </w:p>
          <w:p w14:paraId="7E65EFD9" w14:textId="66C86159" w:rsidR="009D3262" w:rsidRDefault="00163A55" w:rsidP="00161E2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163A55">
              <w:rPr>
                <w:rFonts w:ascii="Arial" w:hAnsi="Arial" w:cs="Arial"/>
              </w:rPr>
              <w:t xml:space="preserve">The provider Quality Improvement Team (PQIT) is responsible for working with providers to ensure they are providing a quality service that meets the expectations of the local authority. </w:t>
            </w:r>
            <w:r w:rsidR="000F4E8C">
              <w:rPr>
                <w:rFonts w:ascii="Arial" w:hAnsi="Arial" w:cs="Arial"/>
              </w:rPr>
              <w:t>They</w:t>
            </w:r>
            <w:r w:rsidRPr="00163A55">
              <w:rPr>
                <w:rFonts w:ascii="Arial" w:hAnsi="Arial" w:cs="Arial"/>
              </w:rPr>
              <w:t xml:space="preserve"> undertake visits to local providers and supports them to improve their services when required</w:t>
            </w:r>
            <w:r w:rsidR="002C1CE2">
              <w:rPr>
                <w:rFonts w:ascii="Arial" w:hAnsi="Arial" w:cs="Arial"/>
              </w:rPr>
              <w:t>. The team will collate and manage the list of providers and details of any concerns</w:t>
            </w:r>
            <w:r w:rsidR="00393D65">
              <w:rPr>
                <w:rFonts w:ascii="Arial" w:hAnsi="Arial" w:cs="Arial"/>
              </w:rPr>
              <w:t xml:space="preserve"> to be discussed at the meetings</w:t>
            </w:r>
            <w:r w:rsidR="002C1CE2">
              <w:rPr>
                <w:rFonts w:ascii="Arial" w:hAnsi="Arial" w:cs="Arial"/>
              </w:rPr>
              <w:t>.</w:t>
            </w:r>
          </w:p>
          <w:p w14:paraId="6B2AC8B0" w14:textId="77777777" w:rsidR="00256084" w:rsidRDefault="00256084" w:rsidP="00161E2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children’s meeting will also be used to monitor an</w:t>
            </w:r>
            <w:r w:rsidR="00F03C03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young people</w:t>
            </w:r>
            <w:r w:rsidR="00F03C03">
              <w:rPr>
                <w:rFonts w:ascii="Arial" w:hAnsi="Arial" w:cs="Arial"/>
              </w:rPr>
              <w:t xml:space="preserve"> aged under 16, or who are subject to a DoLs who are placed in an unregulated placement. </w:t>
            </w:r>
          </w:p>
          <w:p w14:paraId="74C70959" w14:textId="61626E10" w:rsidR="00393D65" w:rsidRPr="006B270F" w:rsidRDefault="003A122F" w:rsidP="006B270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outcomes of each meeting will be detailed in summary report</w:t>
            </w:r>
            <w:r w:rsidR="000646A3">
              <w:rPr>
                <w:rFonts w:ascii="Arial" w:hAnsi="Arial" w:cs="Arial"/>
              </w:rPr>
              <w:t xml:space="preserve">s which are then distributed as appropriate. </w:t>
            </w:r>
          </w:p>
        </w:tc>
      </w:tr>
      <w:tr w:rsidR="008443CA" w:rsidRPr="008443CA" w14:paraId="105F9412" w14:textId="77777777" w:rsidTr="00BB01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70CF" w14:textId="4AFDDA38" w:rsidR="00956FF7" w:rsidRPr="003B741B" w:rsidRDefault="006270C4" w:rsidP="00956F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B741B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 xml:space="preserve">Chairs Role, </w:t>
            </w:r>
            <w:r w:rsidR="00BB01FE" w:rsidRPr="003B741B">
              <w:rPr>
                <w:rFonts w:ascii="Arial" w:hAnsi="Arial" w:cs="Arial"/>
                <w:b/>
                <w:bCs/>
                <w:sz w:val="36"/>
                <w:szCs w:val="36"/>
              </w:rPr>
              <w:t>Governance</w:t>
            </w:r>
            <w:r w:rsidRPr="003B741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&amp;</w:t>
            </w:r>
            <w:r w:rsidRPr="003B741B">
              <w:rPr>
                <w:rFonts w:ascii="Arial" w:hAnsi="Arial" w:cs="Arial"/>
                <w:b/>
                <w:bCs/>
                <w:sz w:val="36"/>
                <w:szCs w:val="36"/>
              </w:rPr>
              <w:br/>
            </w:r>
            <w:r w:rsidR="00BB01FE" w:rsidRPr="003B741B">
              <w:rPr>
                <w:rFonts w:ascii="Arial" w:hAnsi="Arial" w:cs="Arial"/>
                <w:b/>
                <w:bCs/>
                <w:sz w:val="36"/>
                <w:szCs w:val="36"/>
              </w:rPr>
              <w:t>Accountability</w:t>
            </w:r>
          </w:p>
          <w:p w14:paraId="3481729B" w14:textId="110CEC2A" w:rsidR="00811FC2" w:rsidRPr="003B741B" w:rsidRDefault="00811FC2" w:rsidP="00956F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4DA5" w14:textId="63CF5EAE" w:rsidR="00EC335D" w:rsidRPr="00CC68A1" w:rsidRDefault="00922D7E" w:rsidP="00EE16F6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C68A1">
              <w:rPr>
                <w:rFonts w:ascii="Arial" w:hAnsi="Arial" w:cs="Arial"/>
                <w:sz w:val="22"/>
                <w:szCs w:val="22"/>
              </w:rPr>
              <w:t>The Chair will be responsible for</w:t>
            </w:r>
            <w:r w:rsidR="00EC335D" w:rsidRPr="00CC68A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E9D79AB" w14:textId="592179AD" w:rsidR="00EC335D" w:rsidRPr="00CC68A1" w:rsidRDefault="00C45D7C" w:rsidP="00EE16F6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8688D" w:rsidRPr="00CC68A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22D7E" w:rsidRPr="00CC68A1">
              <w:rPr>
                <w:rFonts w:ascii="Arial" w:hAnsi="Arial" w:cs="Arial"/>
                <w:sz w:val="22"/>
                <w:szCs w:val="22"/>
              </w:rPr>
              <w:t>Ensuring that agreed actions are taken forward</w:t>
            </w:r>
            <w:r w:rsidR="00EC335D" w:rsidRPr="00CC68A1">
              <w:rPr>
                <w:rFonts w:ascii="Arial" w:hAnsi="Arial" w:cs="Arial"/>
                <w:sz w:val="22"/>
                <w:szCs w:val="22"/>
              </w:rPr>
              <w:t>.</w:t>
            </w:r>
            <w:r w:rsidR="00A8688D" w:rsidRPr="00CC68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8035DA" w14:textId="33CDAEA2" w:rsidR="00E04674" w:rsidRDefault="00C45D7C" w:rsidP="00753105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8688D" w:rsidRPr="00CC68A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53105" w:rsidRPr="00CC68A1">
              <w:rPr>
                <w:rFonts w:ascii="Arial" w:hAnsi="Arial" w:cs="Arial"/>
                <w:sz w:val="22"/>
                <w:szCs w:val="22"/>
              </w:rPr>
              <w:t xml:space="preserve">Undertaking the decision </w:t>
            </w:r>
            <w:r w:rsidR="00D5345D" w:rsidRPr="00CC68A1">
              <w:rPr>
                <w:rFonts w:ascii="Arial" w:hAnsi="Arial" w:cs="Arial"/>
                <w:sz w:val="22"/>
                <w:szCs w:val="22"/>
              </w:rPr>
              <w:t xml:space="preserve">whether a provider should be </w:t>
            </w:r>
            <w:r w:rsidR="00E04674" w:rsidRPr="00CC68A1">
              <w:rPr>
                <w:rFonts w:ascii="Arial" w:hAnsi="Arial" w:cs="Arial"/>
                <w:sz w:val="22"/>
                <w:szCs w:val="22"/>
              </w:rPr>
              <w:t xml:space="preserve">moved to a ‘blue’ rating which results in a suspension of all new placements. </w:t>
            </w:r>
          </w:p>
          <w:p w14:paraId="52ADD218" w14:textId="179939DD" w:rsidR="00C45D7C" w:rsidRPr="00CC68A1" w:rsidRDefault="00C45D7C" w:rsidP="00753105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0B55C2">
              <w:rPr>
                <w:rFonts w:ascii="Arial" w:hAnsi="Arial" w:cs="Arial"/>
                <w:sz w:val="22"/>
                <w:szCs w:val="22"/>
              </w:rPr>
              <w:t>Chairing the risk rating for each of the providers discussed.</w:t>
            </w:r>
          </w:p>
          <w:p w14:paraId="76194F21" w14:textId="77777777" w:rsidR="00956FF7" w:rsidRPr="00C64000" w:rsidRDefault="00E04674" w:rsidP="00753105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C68A1">
              <w:rPr>
                <w:rFonts w:ascii="Arial" w:hAnsi="Arial" w:cs="Arial"/>
                <w:sz w:val="22"/>
                <w:szCs w:val="22"/>
              </w:rPr>
              <w:t>4.</w:t>
            </w:r>
            <w:r w:rsidR="00BF4B7B" w:rsidRPr="00CC68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5FF" w:rsidRPr="00C64000">
              <w:rPr>
                <w:rFonts w:ascii="Arial" w:hAnsi="Arial" w:cs="Arial"/>
                <w:sz w:val="22"/>
                <w:szCs w:val="22"/>
              </w:rPr>
              <w:t xml:space="preserve">Where a suspension of new placements </w:t>
            </w:r>
            <w:r w:rsidR="000A7486" w:rsidRPr="00C64000">
              <w:rPr>
                <w:rFonts w:ascii="Arial" w:hAnsi="Arial" w:cs="Arial"/>
                <w:sz w:val="22"/>
                <w:szCs w:val="22"/>
              </w:rPr>
              <w:t xml:space="preserve">is actioned formal correspondence will the </w:t>
            </w:r>
            <w:r w:rsidR="00B24B05" w:rsidRPr="00C64000">
              <w:rPr>
                <w:rFonts w:ascii="Arial" w:hAnsi="Arial" w:cs="Arial"/>
                <w:sz w:val="22"/>
                <w:szCs w:val="22"/>
              </w:rPr>
              <w:t>distributed from the Chair, including but not limited to:</w:t>
            </w:r>
          </w:p>
          <w:p w14:paraId="4E83154F" w14:textId="77777777" w:rsidR="00B24B05" w:rsidRPr="00C64000" w:rsidRDefault="00B24B05" w:rsidP="00B24B05">
            <w:pPr>
              <w:pStyle w:val="ListParagraph"/>
              <w:numPr>
                <w:ilvl w:val="0"/>
                <w:numId w:val="30"/>
              </w:numPr>
              <w:spacing w:before="120" w:after="100" w:afterAutospacing="1"/>
              <w:rPr>
                <w:rFonts w:ascii="Times New Roman" w:hAnsi="Times New Roman"/>
              </w:rPr>
            </w:pPr>
            <w:r w:rsidRPr="00C64000">
              <w:rPr>
                <w:rFonts w:ascii="Arial" w:hAnsi="Arial" w:cs="Arial"/>
              </w:rPr>
              <w:t xml:space="preserve">A letter to the provider </w:t>
            </w:r>
          </w:p>
          <w:p w14:paraId="25752B33" w14:textId="77777777" w:rsidR="00B24B05" w:rsidRPr="00C64000" w:rsidRDefault="00B24B05" w:rsidP="00B24B05">
            <w:pPr>
              <w:pStyle w:val="ListParagraph"/>
              <w:numPr>
                <w:ilvl w:val="0"/>
                <w:numId w:val="30"/>
              </w:numPr>
              <w:spacing w:before="120" w:after="100" w:afterAutospacing="1"/>
              <w:rPr>
                <w:rFonts w:ascii="Arial" w:hAnsi="Arial" w:cs="Arial"/>
                <w:szCs w:val="22"/>
              </w:rPr>
            </w:pPr>
            <w:r w:rsidRPr="00C64000">
              <w:rPr>
                <w:rFonts w:ascii="Arial" w:hAnsi="Arial" w:cs="Arial"/>
              </w:rPr>
              <w:t xml:space="preserve">A letter to </w:t>
            </w:r>
            <w:r w:rsidRPr="00C64000">
              <w:rPr>
                <w:rFonts w:ascii="Arial" w:hAnsi="Arial" w:cs="Arial"/>
                <w:szCs w:val="22"/>
              </w:rPr>
              <w:t xml:space="preserve">ADASS (for </w:t>
            </w:r>
            <w:r w:rsidR="00192885" w:rsidRPr="00C64000">
              <w:rPr>
                <w:rFonts w:ascii="Arial" w:hAnsi="Arial" w:cs="Arial"/>
                <w:szCs w:val="22"/>
              </w:rPr>
              <w:t>providers of services to Adults’)</w:t>
            </w:r>
          </w:p>
          <w:p w14:paraId="550DE037" w14:textId="1370428C" w:rsidR="00192885" w:rsidRPr="00CC68A1" w:rsidRDefault="00192885" w:rsidP="00B24B05">
            <w:pPr>
              <w:pStyle w:val="ListParagraph"/>
              <w:numPr>
                <w:ilvl w:val="0"/>
                <w:numId w:val="30"/>
              </w:numPr>
              <w:spacing w:before="120" w:after="100" w:afterAutospacing="1"/>
              <w:rPr>
                <w:rFonts w:ascii="Times New Roman" w:hAnsi="Times New Roman"/>
              </w:rPr>
            </w:pPr>
            <w:r w:rsidRPr="00C64000">
              <w:rPr>
                <w:rFonts w:ascii="Arial" w:hAnsi="Arial" w:cs="Arial"/>
                <w:szCs w:val="22"/>
              </w:rPr>
              <w:t>A letter to other placing local authorities</w:t>
            </w:r>
          </w:p>
        </w:tc>
      </w:tr>
      <w:tr w:rsidR="008443CA" w:rsidRPr="008443CA" w14:paraId="331EBF25" w14:textId="77777777" w:rsidTr="00BB01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3435" w14:textId="77777777" w:rsidR="00956FF7" w:rsidRPr="008443CA" w:rsidRDefault="00BB01FE" w:rsidP="00956F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  <w:szCs w:val="36"/>
                <w:highlight w:val="yellow"/>
              </w:rPr>
            </w:pPr>
            <w:r w:rsidRPr="00C22ADE">
              <w:rPr>
                <w:rFonts w:ascii="Arial" w:hAnsi="Arial" w:cs="Arial"/>
                <w:b/>
                <w:bCs/>
                <w:sz w:val="36"/>
                <w:szCs w:val="36"/>
              </w:rPr>
              <w:t>Frequency of Meetings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0483" w14:textId="77777777" w:rsidR="00956FF7" w:rsidRPr="00CC68A1" w:rsidRDefault="00C22ADE" w:rsidP="00BB01F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2ADE">
              <w:rPr>
                <w:rFonts w:ascii="Arial" w:hAnsi="Arial" w:cs="Arial"/>
                <w:sz w:val="22"/>
                <w:szCs w:val="22"/>
              </w:rPr>
              <w:t xml:space="preserve">Both the Adults’ and Children’s Provider Risk, Quality, and </w:t>
            </w:r>
            <w:r w:rsidRPr="00CC68A1">
              <w:rPr>
                <w:rFonts w:ascii="Arial" w:hAnsi="Arial" w:cs="Arial"/>
                <w:sz w:val="22"/>
                <w:szCs w:val="22"/>
              </w:rPr>
              <w:t xml:space="preserve">Concerns meetings will meet on a monthly </w:t>
            </w:r>
            <w:r w:rsidR="003E3186" w:rsidRPr="00CC68A1">
              <w:rPr>
                <w:rFonts w:ascii="Arial" w:hAnsi="Arial" w:cs="Arial"/>
                <w:sz w:val="22"/>
                <w:szCs w:val="22"/>
              </w:rPr>
              <w:t>basis.</w:t>
            </w:r>
          </w:p>
          <w:p w14:paraId="119F9B8A" w14:textId="235047A7" w:rsidR="00CC68A1" w:rsidRPr="008443CA" w:rsidRDefault="00CC68A1" w:rsidP="00BB01F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C68A1">
              <w:rPr>
                <w:rFonts w:ascii="Arial" w:hAnsi="Arial" w:cs="Arial"/>
                <w:sz w:val="22"/>
                <w:szCs w:val="22"/>
              </w:rPr>
              <w:t>Each of the meetings will run for 45 minutes.</w:t>
            </w:r>
          </w:p>
        </w:tc>
      </w:tr>
      <w:tr w:rsidR="008443CA" w:rsidRPr="008443CA" w14:paraId="73891DBD" w14:textId="77777777" w:rsidTr="00BB01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77A5" w14:textId="77777777" w:rsidR="00956FF7" w:rsidRPr="00BD2D0F" w:rsidRDefault="00BB01FE" w:rsidP="00956F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D2D0F">
              <w:rPr>
                <w:rFonts w:ascii="Arial" w:hAnsi="Arial" w:cs="Arial"/>
                <w:b/>
                <w:bCs/>
                <w:sz w:val="36"/>
                <w:szCs w:val="36"/>
              </w:rPr>
              <w:t>Administration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D048" w14:textId="301EACBE" w:rsidR="00956FF7" w:rsidRPr="002807BF" w:rsidRDefault="00EA5CA9" w:rsidP="00BB01F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7BF">
              <w:rPr>
                <w:rFonts w:ascii="Arial" w:hAnsi="Arial" w:cs="Arial"/>
                <w:sz w:val="22"/>
                <w:szCs w:val="22"/>
              </w:rPr>
              <w:t>Support</w:t>
            </w:r>
            <w:r w:rsidR="00BB01FE" w:rsidRPr="002807BF">
              <w:rPr>
                <w:rFonts w:ascii="Arial" w:hAnsi="Arial" w:cs="Arial"/>
                <w:sz w:val="22"/>
                <w:szCs w:val="22"/>
              </w:rPr>
              <w:t xml:space="preserve"> will be provided by the </w:t>
            </w:r>
            <w:r w:rsidRPr="002807BF">
              <w:rPr>
                <w:rFonts w:ascii="Arial" w:hAnsi="Arial" w:cs="Arial"/>
                <w:sz w:val="22"/>
                <w:szCs w:val="22"/>
              </w:rPr>
              <w:t xml:space="preserve">Brokerage and Markets Manager and representatives </w:t>
            </w:r>
            <w:r w:rsidR="00BD2D0F" w:rsidRPr="002807BF">
              <w:rPr>
                <w:rFonts w:ascii="Arial" w:hAnsi="Arial" w:cs="Arial"/>
                <w:sz w:val="22"/>
                <w:szCs w:val="22"/>
              </w:rPr>
              <w:t>from the Provider Quality Improvement Team</w:t>
            </w:r>
            <w:r w:rsidR="00BB01FE" w:rsidRPr="002807BF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8443CA" w:rsidRPr="008443CA" w14:paraId="44214B4E" w14:textId="77777777" w:rsidTr="00BB01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D5B7" w14:textId="77777777" w:rsidR="00956FF7" w:rsidRPr="008443CA" w:rsidRDefault="00956FF7" w:rsidP="00956F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36"/>
                <w:szCs w:val="36"/>
                <w:highlight w:val="yellow"/>
              </w:rPr>
            </w:pPr>
            <w:r w:rsidRPr="002807BF">
              <w:rPr>
                <w:rFonts w:ascii="Arial" w:hAnsi="Arial" w:cs="Arial"/>
                <w:b/>
                <w:bCs/>
                <w:sz w:val="36"/>
                <w:szCs w:val="36"/>
              </w:rPr>
              <w:t>Chair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33A1" w14:textId="77777777" w:rsidR="001912E3" w:rsidRDefault="00956FF7" w:rsidP="00956F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807BF">
              <w:rPr>
                <w:rFonts w:ascii="Arial" w:hAnsi="Arial" w:cs="Arial"/>
                <w:sz w:val="22"/>
                <w:szCs w:val="22"/>
              </w:rPr>
              <w:t xml:space="preserve">Chair: </w:t>
            </w:r>
            <w:r w:rsidR="002807BF" w:rsidRPr="002807BF">
              <w:rPr>
                <w:rFonts w:ascii="Arial" w:hAnsi="Arial" w:cs="Arial"/>
                <w:sz w:val="22"/>
                <w:szCs w:val="22"/>
              </w:rPr>
              <w:t xml:space="preserve">The Commissioning Director for Care and Support </w:t>
            </w:r>
            <w:r w:rsidR="002807BF">
              <w:rPr>
                <w:rFonts w:ascii="Arial" w:hAnsi="Arial" w:cs="Arial"/>
                <w:sz w:val="22"/>
                <w:szCs w:val="22"/>
              </w:rPr>
              <w:t xml:space="preserve">will chair both the Adults’ and Children’s meetings. </w:t>
            </w:r>
          </w:p>
          <w:p w14:paraId="3581AACE" w14:textId="77777777" w:rsidR="002807BF" w:rsidRDefault="002807BF" w:rsidP="00956F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E81C9A3" w14:textId="3F523BA4" w:rsidR="002807BF" w:rsidRPr="002807BF" w:rsidRDefault="002807BF" w:rsidP="00956F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unavailable, they will delegate the responsibility to the relevant Head of Commissioning. </w:t>
            </w:r>
          </w:p>
        </w:tc>
      </w:tr>
      <w:tr w:rsidR="008443CA" w:rsidRPr="008443CA" w14:paraId="37AC0F30" w14:textId="77777777" w:rsidTr="00BB01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C80D" w14:textId="77777777" w:rsidR="00956FF7" w:rsidRPr="003965AA" w:rsidRDefault="00BB01FE" w:rsidP="00956F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965AA">
              <w:rPr>
                <w:rFonts w:ascii="Arial" w:hAnsi="Arial" w:cs="Arial"/>
                <w:b/>
                <w:bCs/>
                <w:sz w:val="36"/>
                <w:szCs w:val="36"/>
              </w:rPr>
              <w:t>Membership</w:t>
            </w:r>
          </w:p>
          <w:p w14:paraId="1ED176F6" w14:textId="77777777" w:rsidR="00956FF7" w:rsidRPr="003965AA" w:rsidRDefault="00956FF7" w:rsidP="00956FF7">
            <w:pPr>
              <w:autoSpaceDE w:val="0"/>
              <w:autoSpaceDN w:val="0"/>
              <w:adjustRightInd w:val="0"/>
              <w:spacing w:before="120" w:after="120"/>
              <w:rPr>
                <w:sz w:val="36"/>
                <w:szCs w:val="3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85D8" w14:textId="15252628" w:rsidR="002273A6" w:rsidRPr="003965AA" w:rsidRDefault="002273A6" w:rsidP="002273A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5AA">
              <w:rPr>
                <w:rFonts w:ascii="Arial" w:hAnsi="Arial" w:cs="Arial"/>
                <w:sz w:val="22"/>
                <w:szCs w:val="22"/>
              </w:rPr>
              <w:t xml:space="preserve">The membership of </w:t>
            </w:r>
            <w:r w:rsidR="009135C6" w:rsidRPr="003965AA">
              <w:rPr>
                <w:rFonts w:ascii="Arial" w:hAnsi="Arial" w:cs="Arial"/>
                <w:sz w:val="22"/>
                <w:szCs w:val="22"/>
              </w:rPr>
              <w:t>the Adults Meeting will include</w:t>
            </w:r>
            <w:r w:rsidRPr="003965A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D3596A3" w14:textId="3AA49685" w:rsidR="00B10653" w:rsidRDefault="00B10653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>Commissioning Director for Care and Support</w:t>
            </w:r>
          </w:p>
          <w:p w14:paraId="572F4B79" w14:textId="3BAE1F65" w:rsidR="00AE14AC" w:rsidRPr="003965AA" w:rsidRDefault="00AE14AC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Operational Director - </w:t>
            </w:r>
            <w:r w:rsidRPr="003965AA">
              <w:rPr>
                <w:rFonts w:ascii="Arial" w:hAnsi="Arial" w:cs="Arial"/>
                <w:szCs w:val="22"/>
              </w:rPr>
              <w:t>Adults’ Care and Support</w:t>
            </w:r>
          </w:p>
          <w:p w14:paraId="6FDA2A26" w14:textId="1BDCF52A" w:rsidR="00B10653" w:rsidRPr="003965AA" w:rsidRDefault="00A36398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Head of </w:t>
            </w:r>
            <w:r w:rsidR="003965AA" w:rsidRPr="003965AA">
              <w:rPr>
                <w:rFonts w:ascii="Arial" w:hAnsi="Arial" w:cs="Arial"/>
                <w:szCs w:val="22"/>
              </w:rPr>
              <w:t>Commissioning -</w:t>
            </w:r>
            <w:r w:rsidR="00CC2E3F" w:rsidRPr="003965AA">
              <w:rPr>
                <w:rFonts w:ascii="Arial" w:hAnsi="Arial" w:cs="Arial"/>
                <w:szCs w:val="22"/>
              </w:rPr>
              <w:t xml:space="preserve"> Adults’ Care and Support </w:t>
            </w:r>
          </w:p>
          <w:p w14:paraId="5625EABC" w14:textId="30903D5E" w:rsidR="00CC2E3F" w:rsidRPr="003965AA" w:rsidRDefault="00CC2E3F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Head of Commissioning – Disabilities </w:t>
            </w:r>
          </w:p>
          <w:p w14:paraId="288EFF83" w14:textId="36E53BF1" w:rsidR="00CC2E3F" w:rsidRPr="003965AA" w:rsidRDefault="00F0078B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Brokerage and Markets Manager </w:t>
            </w:r>
          </w:p>
          <w:p w14:paraId="133960FF" w14:textId="593A211E" w:rsidR="00F0078B" w:rsidRPr="003965AA" w:rsidRDefault="00F0078B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Provider and Quality Improvement Manager </w:t>
            </w:r>
          </w:p>
          <w:p w14:paraId="261570A3" w14:textId="765104F7" w:rsidR="00F0078B" w:rsidRPr="003965AA" w:rsidRDefault="00F0078B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All </w:t>
            </w:r>
            <w:r w:rsidR="00844BB0">
              <w:rPr>
                <w:rFonts w:ascii="Arial" w:hAnsi="Arial" w:cs="Arial"/>
                <w:szCs w:val="22"/>
              </w:rPr>
              <w:t xml:space="preserve">Provider </w:t>
            </w:r>
            <w:r w:rsidR="00892BB8" w:rsidRPr="003965AA">
              <w:rPr>
                <w:rFonts w:ascii="Arial" w:hAnsi="Arial" w:cs="Arial"/>
                <w:szCs w:val="22"/>
              </w:rPr>
              <w:t>Quality and Improvement Officer</w:t>
            </w:r>
            <w:r w:rsidR="002C2785">
              <w:rPr>
                <w:rFonts w:ascii="Arial" w:hAnsi="Arial" w:cs="Arial"/>
                <w:szCs w:val="22"/>
              </w:rPr>
              <w:t>s</w:t>
            </w:r>
          </w:p>
          <w:p w14:paraId="43AD56B0" w14:textId="394BE028" w:rsidR="00892BB8" w:rsidRPr="003965AA" w:rsidRDefault="00844BB0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Provider </w:t>
            </w:r>
            <w:r w:rsidR="00892BB8" w:rsidRPr="003965AA">
              <w:rPr>
                <w:rFonts w:ascii="Arial" w:hAnsi="Arial" w:cs="Arial"/>
                <w:szCs w:val="22"/>
              </w:rPr>
              <w:t xml:space="preserve">Quality and Improvement </w:t>
            </w:r>
            <w:r w:rsidR="000723AE" w:rsidRPr="003965AA">
              <w:rPr>
                <w:rFonts w:ascii="Arial" w:hAnsi="Arial" w:cs="Arial"/>
                <w:szCs w:val="22"/>
              </w:rPr>
              <w:t xml:space="preserve">Assistant </w:t>
            </w:r>
          </w:p>
          <w:p w14:paraId="187422B4" w14:textId="68A7C8F9" w:rsidR="000E498E" w:rsidRPr="000E498E" w:rsidRDefault="000723AE" w:rsidP="000E498E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>Princip</w:t>
            </w:r>
            <w:r w:rsidR="00B33674">
              <w:rPr>
                <w:rFonts w:ascii="Arial" w:hAnsi="Arial" w:cs="Arial"/>
                <w:szCs w:val="22"/>
              </w:rPr>
              <w:t>al</w:t>
            </w:r>
            <w:r w:rsidRPr="003965AA">
              <w:rPr>
                <w:rFonts w:ascii="Arial" w:hAnsi="Arial" w:cs="Arial"/>
                <w:szCs w:val="22"/>
              </w:rPr>
              <w:t xml:space="preserve"> Social Worker</w:t>
            </w:r>
            <w:r w:rsidR="00B33674">
              <w:rPr>
                <w:rFonts w:ascii="Arial" w:hAnsi="Arial" w:cs="Arial"/>
                <w:szCs w:val="22"/>
              </w:rPr>
              <w:t xml:space="preserve"> (Strategic Lead for Safeguarding Adults)</w:t>
            </w:r>
          </w:p>
          <w:p w14:paraId="6FB60A8E" w14:textId="1CECC512" w:rsidR="000723AE" w:rsidRPr="003965AA" w:rsidRDefault="000723AE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Brokerage Manager </w:t>
            </w:r>
          </w:p>
          <w:p w14:paraId="4250F9DD" w14:textId="1405AF2B" w:rsidR="000723AE" w:rsidRPr="003965AA" w:rsidRDefault="00423909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Intake Service Manager </w:t>
            </w:r>
          </w:p>
          <w:p w14:paraId="391DCC41" w14:textId="4D84E467" w:rsidR="00423909" w:rsidRPr="003965AA" w:rsidRDefault="005833FE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lastRenderedPageBreak/>
              <w:t xml:space="preserve">Head of Disability </w:t>
            </w:r>
          </w:p>
          <w:p w14:paraId="7E3B3382" w14:textId="3BB2AFAC" w:rsidR="005833FE" w:rsidRPr="003965AA" w:rsidRDefault="0090426C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Unit Manager – Life Planning </w:t>
            </w:r>
          </w:p>
          <w:p w14:paraId="510A2323" w14:textId="6AB30ED5" w:rsidR="0090426C" w:rsidRPr="003965AA" w:rsidRDefault="0090426C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Head of Mental Health </w:t>
            </w:r>
          </w:p>
          <w:p w14:paraId="724CEDDF" w14:textId="7C43CF88" w:rsidR="0090426C" w:rsidRPr="003965AA" w:rsidRDefault="009C783B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Service Manager – Mental Health </w:t>
            </w:r>
          </w:p>
          <w:p w14:paraId="507D8792" w14:textId="7316B06D" w:rsidR="009C783B" w:rsidRPr="003965AA" w:rsidRDefault="009C783B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Head of Integrated Care </w:t>
            </w:r>
          </w:p>
          <w:p w14:paraId="487B499F" w14:textId="19C8FF54" w:rsidR="009C783B" w:rsidRPr="003965AA" w:rsidRDefault="00A77029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Service Manager – Assessment and Home from Hospital </w:t>
            </w:r>
          </w:p>
          <w:p w14:paraId="452D7080" w14:textId="0DBE3D28" w:rsidR="00AB7A5A" w:rsidRPr="003965AA" w:rsidRDefault="00A77029" w:rsidP="00AB7A5A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>Service Manager</w:t>
            </w:r>
            <w:r w:rsidR="00B33674">
              <w:rPr>
                <w:rFonts w:ascii="Arial" w:hAnsi="Arial" w:cs="Arial"/>
                <w:szCs w:val="22"/>
              </w:rPr>
              <w:t>/s</w:t>
            </w:r>
            <w:r w:rsidRPr="003965AA">
              <w:rPr>
                <w:rFonts w:ascii="Arial" w:hAnsi="Arial" w:cs="Arial"/>
                <w:szCs w:val="22"/>
              </w:rPr>
              <w:t xml:space="preserve"> </w:t>
            </w:r>
            <w:r w:rsidR="00BE6935" w:rsidRPr="003965AA">
              <w:rPr>
                <w:rFonts w:ascii="Arial" w:hAnsi="Arial" w:cs="Arial"/>
                <w:szCs w:val="22"/>
              </w:rPr>
              <w:t>–</w:t>
            </w:r>
            <w:r w:rsidRPr="003965AA">
              <w:rPr>
                <w:rFonts w:ascii="Arial" w:hAnsi="Arial" w:cs="Arial"/>
                <w:szCs w:val="22"/>
              </w:rPr>
              <w:t xml:space="preserve"> </w:t>
            </w:r>
            <w:r w:rsidR="00BE6935" w:rsidRPr="003965AA">
              <w:rPr>
                <w:rFonts w:ascii="Arial" w:hAnsi="Arial" w:cs="Arial"/>
                <w:szCs w:val="22"/>
              </w:rPr>
              <w:t>Localities</w:t>
            </w:r>
          </w:p>
          <w:p w14:paraId="79CBD2DE" w14:textId="4344E5B7" w:rsidR="00AB7A5A" w:rsidRPr="003965AA" w:rsidRDefault="00AB7A5A" w:rsidP="00AB7A5A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>Lead Commissioner - Older Adults </w:t>
            </w:r>
          </w:p>
          <w:p w14:paraId="2F653FB7" w14:textId="5561A638" w:rsidR="009135C6" w:rsidRDefault="003965AA" w:rsidP="00C260CE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AE14AC">
              <w:rPr>
                <w:rFonts w:ascii="Arial" w:hAnsi="Arial" w:cs="Arial"/>
                <w:szCs w:val="22"/>
              </w:rPr>
              <w:t xml:space="preserve">Lead Commissioner – Disabilities </w:t>
            </w:r>
          </w:p>
          <w:p w14:paraId="22177ADF" w14:textId="2CD57DFB" w:rsidR="00715AC4" w:rsidRDefault="00715AC4" w:rsidP="00C260CE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Nominated Consultant Social Workers from each service </w:t>
            </w:r>
            <w:proofErr w:type="gramStart"/>
            <w:r>
              <w:rPr>
                <w:rFonts w:ascii="Arial" w:hAnsi="Arial" w:cs="Arial"/>
                <w:szCs w:val="22"/>
              </w:rPr>
              <w:t>area</w:t>
            </w:r>
            <w:proofErr w:type="gramEnd"/>
          </w:p>
          <w:p w14:paraId="1E329806" w14:textId="77777777" w:rsidR="00AE14AC" w:rsidRPr="00AE14AC" w:rsidRDefault="00AE14AC" w:rsidP="00AE14AC">
            <w:pPr>
              <w:pStyle w:val="ListParagraph"/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  <w:p w14:paraId="0086ABFA" w14:textId="2604F2BB" w:rsidR="009135C6" w:rsidRDefault="009135C6" w:rsidP="009135C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5AA">
              <w:rPr>
                <w:rFonts w:ascii="Arial" w:hAnsi="Arial" w:cs="Arial"/>
                <w:sz w:val="22"/>
                <w:szCs w:val="22"/>
              </w:rPr>
              <w:t xml:space="preserve">The membership of the Children’s Meeting will include: </w:t>
            </w:r>
          </w:p>
          <w:p w14:paraId="4196ED5F" w14:textId="77777777" w:rsidR="00AE14AC" w:rsidRDefault="00AE14AC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>Commissioning Director for Care and Support</w:t>
            </w:r>
          </w:p>
          <w:p w14:paraId="561D2349" w14:textId="557B90DB" w:rsidR="00AE14AC" w:rsidRPr="003965AA" w:rsidRDefault="00AE14AC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Operational Director – Children’s</w:t>
            </w:r>
            <w:r w:rsidRPr="003965AA">
              <w:rPr>
                <w:rFonts w:ascii="Arial" w:hAnsi="Arial" w:cs="Arial"/>
                <w:szCs w:val="22"/>
              </w:rPr>
              <w:t xml:space="preserve"> Care and Support</w:t>
            </w:r>
          </w:p>
          <w:p w14:paraId="36DF9631" w14:textId="7BBF8B54" w:rsidR="00AE14AC" w:rsidRPr="003965AA" w:rsidRDefault="00AE14AC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Head of Commissioning </w:t>
            </w:r>
            <w:r>
              <w:rPr>
                <w:rFonts w:ascii="Arial" w:hAnsi="Arial" w:cs="Arial"/>
                <w:szCs w:val="22"/>
              </w:rPr>
              <w:t>–</w:t>
            </w:r>
            <w:r w:rsidRPr="003965AA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Children’s</w:t>
            </w:r>
            <w:r w:rsidRPr="003965AA">
              <w:rPr>
                <w:rFonts w:ascii="Arial" w:hAnsi="Arial" w:cs="Arial"/>
                <w:szCs w:val="22"/>
              </w:rPr>
              <w:t xml:space="preserve"> Care and Support </w:t>
            </w:r>
          </w:p>
          <w:p w14:paraId="3A919424" w14:textId="77777777" w:rsidR="00AE14AC" w:rsidRPr="003965AA" w:rsidRDefault="00AE14AC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Head of Commissioning – Disabilities </w:t>
            </w:r>
          </w:p>
          <w:p w14:paraId="7DED07B6" w14:textId="77777777" w:rsidR="00AE14AC" w:rsidRPr="003965AA" w:rsidRDefault="00AE14AC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Brokerage and Markets Manager </w:t>
            </w:r>
          </w:p>
          <w:p w14:paraId="094DBAC5" w14:textId="77777777" w:rsidR="00AE14AC" w:rsidRPr="003965AA" w:rsidRDefault="00AE14AC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Provider and Quality Improvement Manager </w:t>
            </w:r>
          </w:p>
          <w:p w14:paraId="0602CF8B" w14:textId="2395BB2A" w:rsidR="00AE14AC" w:rsidRPr="003965AA" w:rsidRDefault="00AE14AC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All </w:t>
            </w:r>
            <w:r w:rsidR="000E498E">
              <w:rPr>
                <w:rFonts w:ascii="Arial" w:hAnsi="Arial" w:cs="Arial"/>
                <w:szCs w:val="22"/>
              </w:rPr>
              <w:t xml:space="preserve">Provider </w:t>
            </w:r>
            <w:r w:rsidRPr="003965AA">
              <w:rPr>
                <w:rFonts w:ascii="Arial" w:hAnsi="Arial" w:cs="Arial"/>
                <w:szCs w:val="22"/>
              </w:rPr>
              <w:t>Quality and Improvement Officer</w:t>
            </w:r>
            <w:r w:rsidR="000E498E">
              <w:rPr>
                <w:rFonts w:ascii="Arial" w:hAnsi="Arial" w:cs="Arial"/>
                <w:szCs w:val="22"/>
              </w:rPr>
              <w:t>s</w:t>
            </w:r>
          </w:p>
          <w:p w14:paraId="34E0AEE9" w14:textId="5E58A308" w:rsidR="00AE14AC" w:rsidRDefault="000E498E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Provider </w:t>
            </w:r>
            <w:r w:rsidR="00AE14AC" w:rsidRPr="003965AA">
              <w:rPr>
                <w:rFonts w:ascii="Arial" w:hAnsi="Arial" w:cs="Arial"/>
                <w:szCs w:val="22"/>
              </w:rPr>
              <w:t xml:space="preserve">Quality and Improvement Assistant </w:t>
            </w:r>
          </w:p>
          <w:p w14:paraId="57CC87D0" w14:textId="7271D19A" w:rsidR="00FC2F78" w:rsidRDefault="00FC2F78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Placement Finding Manager </w:t>
            </w:r>
          </w:p>
          <w:p w14:paraId="3B0F1112" w14:textId="3FB4B1FF" w:rsidR="0081645E" w:rsidRDefault="003D5380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Head of Corporate Parenting and </w:t>
            </w:r>
            <w:r w:rsidR="003D2390">
              <w:rPr>
                <w:rFonts w:ascii="Arial" w:hAnsi="Arial" w:cs="Arial"/>
                <w:szCs w:val="22"/>
              </w:rPr>
              <w:t>Permanence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121D6B7E" w14:textId="115A11AD" w:rsidR="003D2390" w:rsidRDefault="003D2390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Service Manager – Corporate Parenting </w:t>
            </w:r>
          </w:p>
          <w:p w14:paraId="4764CE4C" w14:textId="39A3DA9F" w:rsidR="0094444A" w:rsidRDefault="0094444A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Head of Disabilities </w:t>
            </w:r>
          </w:p>
          <w:p w14:paraId="5E06E06C" w14:textId="03F68F6C" w:rsidR="0094444A" w:rsidRDefault="00D26FB3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Service Manager – Life Planning </w:t>
            </w:r>
          </w:p>
          <w:p w14:paraId="4104AA49" w14:textId="13DB871E" w:rsidR="00E34BAD" w:rsidRPr="003965AA" w:rsidRDefault="00E34BAD" w:rsidP="00E34BAD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Lead Commissioner - </w:t>
            </w:r>
            <w:r>
              <w:rPr>
                <w:rFonts w:ascii="Arial" w:hAnsi="Arial" w:cs="Arial"/>
                <w:szCs w:val="22"/>
              </w:rPr>
              <w:t>Children</w:t>
            </w:r>
            <w:r w:rsidRPr="003965AA">
              <w:rPr>
                <w:rFonts w:ascii="Arial" w:hAnsi="Arial" w:cs="Arial"/>
                <w:szCs w:val="22"/>
              </w:rPr>
              <w:t> </w:t>
            </w:r>
          </w:p>
          <w:p w14:paraId="6B058743" w14:textId="77777777" w:rsidR="00E34BAD" w:rsidRDefault="00E34BAD" w:rsidP="00E34BAD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AE14AC">
              <w:rPr>
                <w:rFonts w:ascii="Arial" w:hAnsi="Arial" w:cs="Arial"/>
                <w:szCs w:val="22"/>
              </w:rPr>
              <w:t xml:space="preserve">Lead Commissioner – Disabilities </w:t>
            </w:r>
          </w:p>
          <w:p w14:paraId="5DF79E5A" w14:textId="5EA9E395" w:rsidR="00EC6A4A" w:rsidRDefault="00EC6A4A" w:rsidP="00EC6A4A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Service Manager for Safeguarding and Assurance (LADO)</w:t>
            </w:r>
          </w:p>
          <w:p w14:paraId="368CB740" w14:textId="1E9C3D1B" w:rsidR="00EC6A4A" w:rsidRDefault="00FD77FD" w:rsidP="00EC6A4A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SEND Operational Lead </w:t>
            </w:r>
          </w:p>
          <w:p w14:paraId="6AE10415" w14:textId="086E32FC" w:rsidR="00FD77FD" w:rsidRDefault="00A75813" w:rsidP="00EC6A4A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Education Health and Care Unit Manager </w:t>
            </w:r>
          </w:p>
          <w:p w14:paraId="0077A596" w14:textId="53077778" w:rsidR="00244325" w:rsidRPr="00244325" w:rsidRDefault="00244325" w:rsidP="00244325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>Princip</w:t>
            </w:r>
            <w:r w:rsidR="00B33674">
              <w:rPr>
                <w:rFonts w:ascii="Arial" w:hAnsi="Arial" w:cs="Arial"/>
                <w:szCs w:val="22"/>
              </w:rPr>
              <w:t>al</w:t>
            </w:r>
            <w:r w:rsidRPr="003965AA">
              <w:rPr>
                <w:rFonts w:ascii="Arial" w:hAnsi="Arial" w:cs="Arial"/>
                <w:szCs w:val="22"/>
              </w:rPr>
              <w:t xml:space="preserve"> Social Worker </w:t>
            </w:r>
          </w:p>
          <w:p w14:paraId="031FC1A1" w14:textId="77777777" w:rsidR="00A75813" w:rsidRDefault="00A75813" w:rsidP="002273A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70A663" w14:textId="4BE08A5F" w:rsidR="00956FF7" w:rsidRPr="003965AA" w:rsidRDefault="00A75813" w:rsidP="002273A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5813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4A79FE">
              <w:rPr>
                <w:rFonts w:ascii="Arial" w:hAnsi="Arial" w:cs="Arial"/>
                <w:sz w:val="22"/>
                <w:szCs w:val="22"/>
              </w:rPr>
              <w:t xml:space="preserve"> above attendees are unable to attend a </w:t>
            </w:r>
            <w:proofErr w:type="gramStart"/>
            <w:r w:rsidR="004A79FE">
              <w:rPr>
                <w:rFonts w:ascii="Arial" w:hAnsi="Arial" w:cs="Arial"/>
                <w:sz w:val="22"/>
                <w:szCs w:val="22"/>
              </w:rPr>
              <w:t>meeting</w:t>
            </w:r>
            <w:proofErr w:type="gramEnd"/>
            <w:r w:rsidR="004A79FE">
              <w:rPr>
                <w:rFonts w:ascii="Arial" w:hAnsi="Arial" w:cs="Arial"/>
                <w:sz w:val="22"/>
                <w:szCs w:val="22"/>
              </w:rPr>
              <w:t xml:space="preserve"> then a nominated representative should attend</w:t>
            </w:r>
            <w:r w:rsidR="002273A6" w:rsidRPr="00A75813">
              <w:rPr>
                <w:rFonts w:ascii="Arial" w:hAnsi="Arial" w:cs="Arial"/>
                <w:sz w:val="22"/>
                <w:szCs w:val="22"/>
              </w:rPr>
              <w:t>.</w:t>
            </w:r>
            <w:r w:rsidR="002273A6" w:rsidRPr="003965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443CA" w:rsidRPr="008443CA" w14:paraId="3CABE3B0" w14:textId="77777777" w:rsidTr="00BB01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7B94" w14:textId="77777777" w:rsidR="00956FF7" w:rsidRPr="006078CC" w:rsidRDefault="002273A6" w:rsidP="00956F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078CC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Review</w:t>
            </w:r>
          </w:p>
          <w:p w14:paraId="58C4C01F" w14:textId="77777777" w:rsidR="00956FF7" w:rsidRPr="006078CC" w:rsidRDefault="00956FF7" w:rsidP="00956FF7">
            <w:pPr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B398F" w14:textId="34C03BF9" w:rsidR="00956FF7" w:rsidRPr="006078CC" w:rsidRDefault="002273A6" w:rsidP="002273A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8CC">
              <w:rPr>
                <w:rFonts w:ascii="Arial" w:hAnsi="Arial" w:cs="Arial"/>
                <w:sz w:val="22"/>
                <w:szCs w:val="22"/>
              </w:rPr>
              <w:t xml:space="preserve">These terms of reference will be reviewed </w:t>
            </w:r>
            <w:r w:rsidR="006078CC" w:rsidRPr="006078CC">
              <w:rPr>
                <w:rFonts w:ascii="Arial" w:hAnsi="Arial" w:cs="Arial"/>
                <w:sz w:val="22"/>
                <w:szCs w:val="22"/>
              </w:rPr>
              <w:t xml:space="preserve">on an annual basis or as and when appropriate </w:t>
            </w:r>
            <w:r w:rsidRPr="006078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bookmarkEnd w:id="0"/>
    </w:tbl>
    <w:p w14:paraId="2A287931" w14:textId="77777777" w:rsidR="00B62861" w:rsidRPr="008443CA" w:rsidRDefault="00B62861" w:rsidP="005D1A33">
      <w:pPr>
        <w:spacing w:before="0"/>
        <w:ind w:left="709" w:hanging="709"/>
        <w:jc w:val="both"/>
        <w:textAlignment w:val="baseline"/>
        <w:rPr>
          <w:rFonts w:cs="Arial"/>
          <w:b/>
          <w:sz w:val="32"/>
          <w:szCs w:val="32"/>
        </w:rPr>
      </w:pPr>
    </w:p>
    <w:p w14:paraId="0068A90A" w14:textId="77777777" w:rsidR="00E43AED" w:rsidRPr="008443CA" w:rsidRDefault="00E43AED" w:rsidP="005D1A33">
      <w:pPr>
        <w:spacing w:before="0"/>
        <w:ind w:left="709" w:hanging="709"/>
        <w:jc w:val="both"/>
        <w:textAlignment w:val="baseline"/>
        <w:rPr>
          <w:rFonts w:cs="Arial"/>
          <w:b/>
          <w:sz w:val="32"/>
          <w:szCs w:val="32"/>
        </w:rPr>
      </w:pPr>
    </w:p>
    <w:p w14:paraId="075E64AA" w14:textId="77777777" w:rsidR="007963B4" w:rsidRDefault="007963B4" w:rsidP="005D1A33">
      <w:pPr>
        <w:spacing w:before="0"/>
        <w:ind w:left="709" w:hanging="709"/>
        <w:jc w:val="both"/>
        <w:textAlignment w:val="baseline"/>
        <w:rPr>
          <w:rFonts w:cs="Arial"/>
          <w:b/>
          <w:sz w:val="32"/>
          <w:szCs w:val="32"/>
        </w:rPr>
      </w:pPr>
    </w:p>
    <w:p w14:paraId="3A728B5D" w14:textId="77777777" w:rsidR="007963B4" w:rsidRDefault="007963B4" w:rsidP="005D1A33">
      <w:pPr>
        <w:spacing w:before="0"/>
        <w:ind w:left="709" w:hanging="709"/>
        <w:jc w:val="both"/>
        <w:textAlignment w:val="baseline"/>
        <w:rPr>
          <w:rFonts w:cs="Arial"/>
          <w:b/>
          <w:sz w:val="32"/>
          <w:szCs w:val="32"/>
        </w:rPr>
      </w:pPr>
    </w:p>
    <w:p w14:paraId="1452D5AF" w14:textId="1825537A" w:rsidR="007963B4" w:rsidRDefault="007963B4" w:rsidP="005D1A33">
      <w:pPr>
        <w:spacing w:before="0"/>
        <w:ind w:left="709" w:hanging="709"/>
        <w:jc w:val="both"/>
        <w:textAlignment w:val="baseline"/>
        <w:rPr>
          <w:rFonts w:cs="Arial"/>
          <w:b/>
          <w:sz w:val="32"/>
          <w:szCs w:val="32"/>
        </w:rPr>
      </w:pPr>
    </w:p>
    <w:p w14:paraId="66FC9322" w14:textId="77777777" w:rsidR="006B270F" w:rsidRDefault="006B270F" w:rsidP="005D1A33">
      <w:pPr>
        <w:spacing w:before="0"/>
        <w:ind w:left="709" w:hanging="709"/>
        <w:jc w:val="both"/>
        <w:textAlignment w:val="baseline"/>
        <w:rPr>
          <w:rFonts w:cs="Arial"/>
          <w:b/>
          <w:sz w:val="32"/>
          <w:szCs w:val="32"/>
        </w:rPr>
      </w:pPr>
    </w:p>
    <w:p w14:paraId="31E03EA2" w14:textId="02707768" w:rsidR="00B62861" w:rsidRPr="008443CA" w:rsidRDefault="00E43AED" w:rsidP="005D1A33">
      <w:pPr>
        <w:spacing w:before="0"/>
        <w:ind w:left="709" w:hanging="709"/>
        <w:jc w:val="both"/>
        <w:textAlignment w:val="baseline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Appendix 1.</w:t>
      </w:r>
    </w:p>
    <w:p w14:paraId="02CF916A" w14:textId="77777777" w:rsidR="00B62861" w:rsidRPr="008443CA" w:rsidRDefault="00B62861" w:rsidP="005D1A33">
      <w:pPr>
        <w:spacing w:before="0"/>
        <w:ind w:left="709" w:hanging="709"/>
        <w:jc w:val="both"/>
        <w:textAlignment w:val="baseline"/>
        <w:rPr>
          <w:rFonts w:cs="Arial"/>
          <w:b/>
          <w:sz w:val="32"/>
          <w:szCs w:val="32"/>
        </w:rPr>
      </w:pPr>
    </w:p>
    <w:tbl>
      <w:tblPr>
        <w:tblW w:w="1006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371"/>
      </w:tblGrid>
      <w:tr w:rsidR="00E43AED" w:rsidRPr="00814324" w14:paraId="728A83B1" w14:textId="77777777" w:rsidTr="002A1DED">
        <w:trPr>
          <w:trHeight w:val="869"/>
          <w:jc w:val="right"/>
        </w:trPr>
        <w:tc>
          <w:tcPr>
            <w:tcW w:w="2689" w:type="dxa"/>
            <w:tcBorders>
              <w:bottom w:val="nil"/>
            </w:tcBorders>
            <w:shd w:val="clear" w:color="auto" w:fill="002060"/>
            <w:vAlign w:val="center"/>
          </w:tcPr>
          <w:p w14:paraId="6C0A6A59" w14:textId="77777777" w:rsidR="00E43AED" w:rsidRPr="00814324" w:rsidRDefault="00E43AED" w:rsidP="006706C8">
            <w:pPr>
              <w:spacing w:before="0"/>
              <w:rPr>
                <w:rFonts w:cs="Arial"/>
                <w:lang w:val="en-US"/>
              </w:rPr>
            </w:pPr>
            <w:r w:rsidRPr="00814324">
              <w:rPr>
                <w:rFonts w:cs="Arial"/>
                <w:b/>
                <w:bCs/>
                <w:sz w:val="22"/>
                <w:lang w:val="en-US"/>
              </w:rPr>
              <w:t>Blue (Major)</w:t>
            </w:r>
          </w:p>
        </w:tc>
        <w:tc>
          <w:tcPr>
            <w:tcW w:w="7371" w:type="dxa"/>
            <w:vAlign w:val="center"/>
          </w:tcPr>
          <w:p w14:paraId="669EBB76" w14:textId="77777777" w:rsidR="00E43AED" w:rsidRPr="00814324" w:rsidRDefault="00E43AED" w:rsidP="006706C8">
            <w:pPr>
              <w:spacing w:before="0"/>
              <w:rPr>
                <w:rFonts w:cs="Arial"/>
                <w:lang w:val="en-US"/>
              </w:rPr>
            </w:pPr>
            <w:r w:rsidRPr="00814324">
              <w:rPr>
                <w:rFonts w:cs="Arial"/>
                <w:sz w:val="22"/>
                <w:lang w:val="en-US"/>
              </w:rPr>
              <w:t>People who use the service are not protected from unsafe or inappropriate care. The provision of care does not meet quality &amp; safety standards.</w:t>
            </w:r>
          </w:p>
        </w:tc>
      </w:tr>
      <w:tr w:rsidR="00E43AED" w:rsidRPr="00814324" w14:paraId="764DDA51" w14:textId="77777777" w:rsidTr="002A1DED">
        <w:trPr>
          <w:trHeight w:val="525"/>
          <w:jc w:val="right"/>
        </w:trPr>
        <w:tc>
          <w:tcPr>
            <w:tcW w:w="2689" w:type="dxa"/>
            <w:tcBorders>
              <w:top w:val="nil"/>
            </w:tcBorders>
            <w:shd w:val="clear" w:color="auto" w:fill="FF0000"/>
            <w:vAlign w:val="center"/>
          </w:tcPr>
          <w:p w14:paraId="46EB17BC" w14:textId="77777777" w:rsidR="00E43AED" w:rsidRPr="00814324" w:rsidRDefault="00E43AED" w:rsidP="006706C8">
            <w:pPr>
              <w:spacing w:before="0"/>
              <w:rPr>
                <w:rFonts w:cs="Arial"/>
                <w:lang w:val="en-US"/>
              </w:rPr>
            </w:pPr>
            <w:r w:rsidRPr="00814324">
              <w:rPr>
                <w:rFonts w:cs="Arial"/>
                <w:b/>
                <w:bCs/>
                <w:sz w:val="22"/>
                <w:lang w:val="en-US"/>
              </w:rPr>
              <w:t>Red (Moderate)</w:t>
            </w:r>
          </w:p>
        </w:tc>
        <w:tc>
          <w:tcPr>
            <w:tcW w:w="7371" w:type="dxa"/>
            <w:vAlign w:val="center"/>
          </w:tcPr>
          <w:p w14:paraId="43FA59A5" w14:textId="77777777" w:rsidR="00E43AED" w:rsidRPr="00814324" w:rsidRDefault="00E43AED" w:rsidP="006706C8">
            <w:pPr>
              <w:spacing w:before="0"/>
              <w:rPr>
                <w:rFonts w:cs="Arial"/>
                <w:lang w:val="en-US"/>
              </w:rPr>
            </w:pPr>
            <w:r w:rsidRPr="00814324">
              <w:rPr>
                <w:rFonts w:cs="Arial"/>
                <w:sz w:val="22"/>
                <w:lang w:val="en-US"/>
              </w:rPr>
              <w:t>People who use the service are generally safe, but there is a risk to their health and wellbeing. Provision of care is inconsistent and may not always meet quality &amp; safety standards.</w:t>
            </w:r>
          </w:p>
        </w:tc>
      </w:tr>
      <w:tr w:rsidR="00E43AED" w:rsidRPr="00814324" w14:paraId="43E1703E" w14:textId="77777777" w:rsidTr="002A1DED">
        <w:trPr>
          <w:trHeight w:val="525"/>
          <w:jc w:val="right"/>
        </w:trPr>
        <w:tc>
          <w:tcPr>
            <w:tcW w:w="2689" w:type="dxa"/>
            <w:shd w:val="clear" w:color="auto" w:fill="FFC000"/>
            <w:vAlign w:val="center"/>
          </w:tcPr>
          <w:p w14:paraId="23BD4B4A" w14:textId="77777777" w:rsidR="00E43AED" w:rsidRPr="00814324" w:rsidRDefault="00E43AED" w:rsidP="006706C8">
            <w:pPr>
              <w:spacing w:before="0"/>
              <w:rPr>
                <w:rFonts w:cs="Arial"/>
                <w:lang w:val="en-US"/>
              </w:rPr>
            </w:pPr>
            <w:r w:rsidRPr="00814324">
              <w:rPr>
                <w:rFonts w:cs="Arial"/>
                <w:b/>
                <w:bCs/>
                <w:sz w:val="22"/>
                <w:lang w:val="en-US"/>
              </w:rPr>
              <w:t>Amber (Minor)</w:t>
            </w:r>
          </w:p>
        </w:tc>
        <w:tc>
          <w:tcPr>
            <w:tcW w:w="7371" w:type="dxa"/>
            <w:vAlign w:val="center"/>
          </w:tcPr>
          <w:p w14:paraId="2FFE2515" w14:textId="77777777" w:rsidR="00E43AED" w:rsidRPr="00814324" w:rsidRDefault="00E43AED" w:rsidP="006706C8">
            <w:pPr>
              <w:spacing w:before="0"/>
              <w:rPr>
                <w:rFonts w:cs="Arial"/>
                <w:lang w:val="en-US"/>
              </w:rPr>
            </w:pPr>
            <w:r w:rsidRPr="00814324">
              <w:rPr>
                <w:rFonts w:cs="Arial"/>
                <w:sz w:val="22"/>
                <w:lang w:val="en-US"/>
              </w:rPr>
              <w:t xml:space="preserve">People who use the service are safe, but care provision may not always meet safety and quality standards. </w:t>
            </w:r>
          </w:p>
        </w:tc>
      </w:tr>
      <w:tr w:rsidR="00E43AED" w:rsidRPr="00814324" w14:paraId="12753D57" w14:textId="77777777" w:rsidTr="002A1DED">
        <w:trPr>
          <w:trHeight w:val="525"/>
          <w:jc w:val="right"/>
        </w:trPr>
        <w:tc>
          <w:tcPr>
            <w:tcW w:w="2689" w:type="dxa"/>
            <w:shd w:val="clear" w:color="auto" w:fill="92D050"/>
            <w:vAlign w:val="center"/>
          </w:tcPr>
          <w:p w14:paraId="3A9BDDA7" w14:textId="77777777" w:rsidR="00E43AED" w:rsidRPr="00814324" w:rsidRDefault="00E43AED" w:rsidP="006706C8">
            <w:pPr>
              <w:spacing w:before="0"/>
              <w:rPr>
                <w:rFonts w:cs="Arial"/>
                <w:b/>
                <w:bCs/>
                <w:sz w:val="22"/>
                <w:lang w:val="en-US"/>
              </w:rPr>
            </w:pPr>
            <w:r w:rsidRPr="00814324">
              <w:rPr>
                <w:rFonts w:cs="Arial"/>
                <w:b/>
                <w:bCs/>
                <w:sz w:val="22"/>
                <w:lang w:val="en-US"/>
              </w:rPr>
              <w:t xml:space="preserve">Green </w:t>
            </w:r>
          </w:p>
        </w:tc>
        <w:tc>
          <w:tcPr>
            <w:tcW w:w="7371" w:type="dxa"/>
            <w:vAlign w:val="center"/>
          </w:tcPr>
          <w:p w14:paraId="0893356D" w14:textId="77777777" w:rsidR="00E43AED" w:rsidRPr="00814324" w:rsidRDefault="00E43AED" w:rsidP="006706C8">
            <w:pPr>
              <w:spacing w:before="0"/>
              <w:rPr>
                <w:rFonts w:cs="Arial"/>
                <w:sz w:val="22"/>
                <w:lang w:val="en-US"/>
              </w:rPr>
            </w:pPr>
            <w:r w:rsidRPr="00814324">
              <w:rPr>
                <w:rFonts w:cs="Arial"/>
                <w:sz w:val="22"/>
                <w:lang w:val="en-US"/>
              </w:rPr>
              <w:t xml:space="preserve">No concerns found </w:t>
            </w:r>
          </w:p>
        </w:tc>
      </w:tr>
    </w:tbl>
    <w:p w14:paraId="700A4AB3" w14:textId="77777777" w:rsidR="00B62861" w:rsidRPr="00E43AED" w:rsidRDefault="00B62861" w:rsidP="00E43AED">
      <w:pPr>
        <w:spacing w:before="0"/>
        <w:jc w:val="both"/>
        <w:textAlignment w:val="baseline"/>
      </w:pPr>
    </w:p>
    <w:sectPr w:rsidR="00B62861" w:rsidRPr="00E43AED" w:rsidSect="00940FC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861B" w14:textId="77777777" w:rsidR="00B93C87" w:rsidRDefault="00B93C87" w:rsidP="007D24C2">
      <w:pPr>
        <w:spacing w:before="0" w:line="240" w:lineRule="auto"/>
      </w:pPr>
      <w:r>
        <w:separator/>
      </w:r>
    </w:p>
  </w:endnote>
  <w:endnote w:type="continuationSeparator" w:id="0">
    <w:p w14:paraId="48BE9892" w14:textId="77777777" w:rsidR="00B93C87" w:rsidRDefault="00B93C87" w:rsidP="007D24C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045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CEDC98" w14:textId="77777777" w:rsidR="00F2414B" w:rsidRDefault="00F241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2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F18976" w14:textId="77777777" w:rsidR="00F2414B" w:rsidRDefault="00F24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6FB7" w14:textId="77777777" w:rsidR="00B93C87" w:rsidRDefault="00B93C87" w:rsidP="007D24C2">
      <w:pPr>
        <w:spacing w:before="0" w:line="240" w:lineRule="auto"/>
      </w:pPr>
      <w:r>
        <w:separator/>
      </w:r>
    </w:p>
  </w:footnote>
  <w:footnote w:type="continuationSeparator" w:id="0">
    <w:p w14:paraId="51B2077B" w14:textId="77777777" w:rsidR="00B93C87" w:rsidRDefault="00B93C87" w:rsidP="007D24C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C258" w14:textId="01DC17DE" w:rsidR="00013389" w:rsidRDefault="008443CA" w:rsidP="00013389">
    <w:pPr>
      <w:pStyle w:val="Header"/>
      <w:jc w:val="right"/>
    </w:pPr>
    <w:r w:rsidRPr="008443CA">
      <w:rPr>
        <w:noProof/>
      </w:rPr>
      <w:drawing>
        <wp:inline distT="0" distB="0" distL="0" distR="0" wp14:anchorId="7A3367DF" wp14:editId="5DD6D625">
          <wp:extent cx="1651000" cy="670635"/>
          <wp:effectExtent l="0" t="0" r="6350" b="0"/>
          <wp:docPr id="1" name="Picture 1" descr="A white and black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and black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704" cy="673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79D"/>
    <w:multiLevelType w:val="hybridMultilevel"/>
    <w:tmpl w:val="8D86D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410CB"/>
    <w:multiLevelType w:val="hybridMultilevel"/>
    <w:tmpl w:val="C896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2E89"/>
    <w:multiLevelType w:val="hybridMultilevel"/>
    <w:tmpl w:val="A3EA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7CE0"/>
    <w:multiLevelType w:val="hybridMultilevel"/>
    <w:tmpl w:val="EC36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011E1"/>
    <w:multiLevelType w:val="hybridMultilevel"/>
    <w:tmpl w:val="F4261F08"/>
    <w:lvl w:ilvl="0" w:tplc="B5DA2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E0A15"/>
    <w:multiLevelType w:val="hybridMultilevel"/>
    <w:tmpl w:val="E5CEC53E"/>
    <w:lvl w:ilvl="0" w:tplc="934EAB9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8F3F6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DC10F6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C8BEE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A32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A5DDA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D6766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C23DC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6680B8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5F0BA1"/>
    <w:multiLevelType w:val="multilevel"/>
    <w:tmpl w:val="FC40A7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6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10B67E2"/>
    <w:multiLevelType w:val="hybridMultilevel"/>
    <w:tmpl w:val="0E12426C"/>
    <w:lvl w:ilvl="0" w:tplc="9E9C6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5C0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7A7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27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E4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62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A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8A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40A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1903F4"/>
    <w:multiLevelType w:val="hybridMultilevel"/>
    <w:tmpl w:val="A1B6596A"/>
    <w:lvl w:ilvl="0" w:tplc="6A90A5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A0913"/>
    <w:multiLevelType w:val="hybridMultilevel"/>
    <w:tmpl w:val="3DB49A90"/>
    <w:lvl w:ilvl="0" w:tplc="15CCB4C0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BD4B70"/>
    <w:multiLevelType w:val="multilevel"/>
    <w:tmpl w:val="BA4A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02CC8"/>
    <w:multiLevelType w:val="hybridMultilevel"/>
    <w:tmpl w:val="39002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A0352"/>
    <w:multiLevelType w:val="multilevel"/>
    <w:tmpl w:val="2E10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4C56C9"/>
    <w:multiLevelType w:val="hybridMultilevel"/>
    <w:tmpl w:val="426C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31164"/>
    <w:multiLevelType w:val="hybridMultilevel"/>
    <w:tmpl w:val="A1BC3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5619"/>
    <w:multiLevelType w:val="hybridMultilevel"/>
    <w:tmpl w:val="A20E78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A2F02"/>
    <w:multiLevelType w:val="multilevel"/>
    <w:tmpl w:val="FB8CACF0"/>
    <w:lvl w:ilvl="0">
      <w:start w:val="1"/>
      <w:numFmt w:val="decimal"/>
      <w:pStyle w:val="MainHeading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pStyle w:val="BodyText1"/>
      <w:lvlText w:val="%1.%2"/>
      <w:lvlJc w:val="left"/>
      <w:pPr>
        <w:ind w:left="256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2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84" w:hanging="360"/>
      </w:pPr>
      <w:rPr>
        <w:rFonts w:hint="default"/>
      </w:rPr>
    </w:lvl>
  </w:abstractNum>
  <w:abstractNum w:abstractNumId="17" w15:restartNumberingAfterBreak="0">
    <w:nsid w:val="47391234"/>
    <w:multiLevelType w:val="hybridMultilevel"/>
    <w:tmpl w:val="BE0C4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56534"/>
    <w:multiLevelType w:val="multilevel"/>
    <w:tmpl w:val="7F26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84571B"/>
    <w:multiLevelType w:val="hybridMultilevel"/>
    <w:tmpl w:val="6CB6E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D33D2"/>
    <w:multiLevelType w:val="hybridMultilevel"/>
    <w:tmpl w:val="581C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60816"/>
    <w:multiLevelType w:val="hybridMultilevel"/>
    <w:tmpl w:val="695EAFA6"/>
    <w:lvl w:ilvl="0" w:tplc="E83C0B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D05DD"/>
    <w:multiLevelType w:val="hybridMultilevel"/>
    <w:tmpl w:val="2E6A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65F24"/>
    <w:multiLevelType w:val="hybridMultilevel"/>
    <w:tmpl w:val="8A961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01467"/>
    <w:multiLevelType w:val="multilevel"/>
    <w:tmpl w:val="B392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CC1BB0"/>
    <w:multiLevelType w:val="hybridMultilevel"/>
    <w:tmpl w:val="EA288694"/>
    <w:lvl w:ilvl="0" w:tplc="53D81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40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CC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0D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80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AE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E4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E4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68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7C93F24"/>
    <w:multiLevelType w:val="multilevel"/>
    <w:tmpl w:val="14B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6B7157"/>
    <w:multiLevelType w:val="hybridMultilevel"/>
    <w:tmpl w:val="B98A6DF6"/>
    <w:lvl w:ilvl="0" w:tplc="F17CE9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46108"/>
    <w:multiLevelType w:val="hybridMultilevel"/>
    <w:tmpl w:val="95FEB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51CE9"/>
    <w:multiLevelType w:val="hybridMultilevel"/>
    <w:tmpl w:val="ED56A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00E8"/>
    <w:multiLevelType w:val="multilevel"/>
    <w:tmpl w:val="F9C0E59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407175"/>
    <w:multiLevelType w:val="multilevel"/>
    <w:tmpl w:val="D28611A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pStyle w:val="Bulletedlis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E670C78"/>
    <w:multiLevelType w:val="multilevel"/>
    <w:tmpl w:val="5F28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6890888">
    <w:abstractNumId w:val="31"/>
  </w:num>
  <w:num w:numId="2" w16cid:durableId="1634099505">
    <w:abstractNumId w:val="16"/>
  </w:num>
  <w:num w:numId="3" w16cid:durableId="1810785379">
    <w:abstractNumId w:val="15"/>
  </w:num>
  <w:num w:numId="4" w16cid:durableId="1461806334">
    <w:abstractNumId w:val="9"/>
  </w:num>
  <w:num w:numId="5" w16cid:durableId="1768958104">
    <w:abstractNumId w:val="30"/>
  </w:num>
  <w:num w:numId="6" w16cid:durableId="1316060797">
    <w:abstractNumId w:val="10"/>
  </w:num>
  <w:num w:numId="7" w16cid:durableId="173493407">
    <w:abstractNumId w:val="19"/>
  </w:num>
  <w:num w:numId="8" w16cid:durableId="37828415">
    <w:abstractNumId w:val="2"/>
  </w:num>
  <w:num w:numId="9" w16cid:durableId="1921527200">
    <w:abstractNumId w:val="14"/>
  </w:num>
  <w:num w:numId="10" w16cid:durableId="1252935659">
    <w:abstractNumId w:val="29"/>
  </w:num>
  <w:num w:numId="11" w16cid:durableId="236281410">
    <w:abstractNumId w:val="17"/>
  </w:num>
  <w:num w:numId="12" w16cid:durableId="4776528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13513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27478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0449208">
    <w:abstractNumId w:val="22"/>
  </w:num>
  <w:num w:numId="16" w16cid:durableId="7541354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935105">
    <w:abstractNumId w:val="23"/>
  </w:num>
  <w:num w:numId="18" w16cid:durableId="1457140919">
    <w:abstractNumId w:val="0"/>
  </w:num>
  <w:num w:numId="19" w16cid:durableId="268122775">
    <w:abstractNumId w:val="3"/>
  </w:num>
  <w:num w:numId="20" w16cid:durableId="987785045">
    <w:abstractNumId w:val="26"/>
  </w:num>
  <w:num w:numId="21" w16cid:durableId="2018580438">
    <w:abstractNumId w:val="5"/>
  </w:num>
  <w:num w:numId="22" w16cid:durableId="1135678323">
    <w:abstractNumId w:val="7"/>
  </w:num>
  <w:num w:numId="23" w16cid:durableId="775563978">
    <w:abstractNumId w:val="25"/>
  </w:num>
  <w:num w:numId="24" w16cid:durableId="427697205">
    <w:abstractNumId w:val="21"/>
  </w:num>
  <w:num w:numId="25" w16cid:durableId="445008104">
    <w:abstractNumId w:val="13"/>
  </w:num>
  <w:num w:numId="26" w16cid:durableId="998997202">
    <w:abstractNumId w:val="20"/>
  </w:num>
  <w:num w:numId="27" w16cid:durableId="1792630719">
    <w:abstractNumId w:val="4"/>
  </w:num>
  <w:num w:numId="28" w16cid:durableId="849493443">
    <w:abstractNumId w:val="8"/>
  </w:num>
  <w:num w:numId="29" w16cid:durableId="1981836530">
    <w:abstractNumId w:val="27"/>
  </w:num>
  <w:num w:numId="30" w16cid:durableId="235894191">
    <w:abstractNumId w:val="28"/>
  </w:num>
  <w:num w:numId="31" w16cid:durableId="1021399959">
    <w:abstractNumId w:val="1"/>
  </w:num>
  <w:num w:numId="32" w16cid:durableId="234245436">
    <w:abstractNumId w:val="6"/>
  </w:num>
  <w:num w:numId="33" w16cid:durableId="69207415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68"/>
    <w:rsid w:val="00002343"/>
    <w:rsid w:val="0000410A"/>
    <w:rsid w:val="000107B4"/>
    <w:rsid w:val="00013389"/>
    <w:rsid w:val="0001590E"/>
    <w:rsid w:val="0002201D"/>
    <w:rsid w:val="000313DB"/>
    <w:rsid w:val="000646A3"/>
    <w:rsid w:val="00070BB8"/>
    <w:rsid w:val="000723AE"/>
    <w:rsid w:val="0007397A"/>
    <w:rsid w:val="00074E2F"/>
    <w:rsid w:val="00076DFE"/>
    <w:rsid w:val="00085002"/>
    <w:rsid w:val="000A29C7"/>
    <w:rsid w:val="000A7486"/>
    <w:rsid w:val="000B55C2"/>
    <w:rsid w:val="000C4590"/>
    <w:rsid w:val="000D7198"/>
    <w:rsid w:val="000E498E"/>
    <w:rsid w:val="000E5156"/>
    <w:rsid w:val="000F4E8C"/>
    <w:rsid w:val="00100177"/>
    <w:rsid w:val="00101C4E"/>
    <w:rsid w:val="00102E75"/>
    <w:rsid w:val="00106D93"/>
    <w:rsid w:val="00120A59"/>
    <w:rsid w:val="001449C6"/>
    <w:rsid w:val="00161E2A"/>
    <w:rsid w:val="00163A55"/>
    <w:rsid w:val="0017156E"/>
    <w:rsid w:val="00181D0C"/>
    <w:rsid w:val="00184569"/>
    <w:rsid w:val="001912E3"/>
    <w:rsid w:val="00192885"/>
    <w:rsid w:val="001B4314"/>
    <w:rsid w:val="001C3D5D"/>
    <w:rsid w:val="001C5A9A"/>
    <w:rsid w:val="001C689F"/>
    <w:rsid w:val="0020792D"/>
    <w:rsid w:val="00220561"/>
    <w:rsid w:val="002247F5"/>
    <w:rsid w:val="002273A6"/>
    <w:rsid w:val="002412FB"/>
    <w:rsid w:val="00244325"/>
    <w:rsid w:val="00250727"/>
    <w:rsid w:val="00254DF6"/>
    <w:rsid w:val="00256084"/>
    <w:rsid w:val="002807BF"/>
    <w:rsid w:val="00281C1F"/>
    <w:rsid w:val="002840A0"/>
    <w:rsid w:val="0028727B"/>
    <w:rsid w:val="0029373D"/>
    <w:rsid w:val="002A1DED"/>
    <w:rsid w:val="002A646B"/>
    <w:rsid w:val="002C1CE2"/>
    <w:rsid w:val="002C2727"/>
    <w:rsid w:val="002C2785"/>
    <w:rsid w:val="002D448D"/>
    <w:rsid w:val="002D4523"/>
    <w:rsid w:val="002F1625"/>
    <w:rsid w:val="002F435F"/>
    <w:rsid w:val="002F63D3"/>
    <w:rsid w:val="003117BA"/>
    <w:rsid w:val="00314B65"/>
    <w:rsid w:val="00315A43"/>
    <w:rsid w:val="00317B03"/>
    <w:rsid w:val="003264A9"/>
    <w:rsid w:val="003319F8"/>
    <w:rsid w:val="00363600"/>
    <w:rsid w:val="00364562"/>
    <w:rsid w:val="00373984"/>
    <w:rsid w:val="00393D65"/>
    <w:rsid w:val="00396006"/>
    <w:rsid w:val="003965AA"/>
    <w:rsid w:val="003A122F"/>
    <w:rsid w:val="003B0AD5"/>
    <w:rsid w:val="003B741B"/>
    <w:rsid w:val="003C3BB4"/>
    <w:rsid w:val="003C5ECA"/>
    <w:rsid w:val="003D2390"/>
    <w:rsid w:val="003D5380"/>
    <w:rsid w:val="003E3186"/>
    <w:rsid w:val="003F3DDF"/>
    <w:rsid w:val="0040048D"/>
    <w:rsid w:val="00401D1F"/>
    <w:rsid w:val="0041337D"/>
    <w:rsid w:val="00423909"/>
    <w:rsid w:val="00436A8E"/>
    <w:rsid w:val="00442181"/>
    <w:rsid w:val="00446CB7"/>
    <w:rsid w:val="004473B6"/>
    <w:rsid w:val="00451FA8"/>
    <w:rsid w:val="00465FA7"/>
    <w:rsid w:val="00476926"/>
    <w:rsid w:val="004849EB"/>
    <w:rsid w:val="00494A2F"/>
    <w:rsid w:val="004A3451"/>
    <w:rsid w:val="004A4982"/>
    <w:rsid w:val="004A79FE"/>
    <w:rsid w:val="004B2D8C"/>
    <w:rsid w:val="004D472F"/>
    <w:rsid w:val="004E05D5"/>
    <w:rsid w:val="004F503F"/>
    <w:rsid w:val="00501F6C"/>
    <w:rsid w:val="0050580E"/>
    <w:rsid w:val="00511B5E"/>
    <w:rsid w:val="00525F24"/>
    <w:rsid w:val="005312BC"/>
    <w:rsid w:val="005371D2"/>
    <w:rsid w:val="00555BAC"/>
    <w:rsid w:val="005833FE"/>
    <w:rsid w:val="00597B41"/>
    <w:rsid w:val="005A3C38"/>
    <w:rsid w:val="005B4D6C"/>
    <w:rsid w:val="005B769E"/>
    <w:rsid w:val="005C0B38"/>
    <w:rsid w:val="005D1A33"/>
    <w:rsid w:val="005D1BAB"/>
    <w:rsid w:val="005D3AFB"/>
    <w:rsid w:val="005D578B"/>
    <w:rsid w:val="005E3533"/>
    <w:rsid w:val="005E5B8D"/>
    <w:rsid w:val="005F2AF9"/>
    <w:rsid w:val="00600D52"/>
    <w:rsid w:val="006078CC"/>
    <w:rsid w:val="00611619"/>
    <w:rsid w:val="006122C4"/>
    <w:rsid w:val="00620654"/>
    <w:rsid w:val="006270C4"/>
    <w:rsid w:val="00644209"/>
    <w:rsid w:val="006718F0"/>
    <w:rsid w:val="00675114"/>
    <w:rsid w:val="00676C68"/>
    <w:rsid w:val="00682F07"/>
    <w:rsid w:val="0069506A"/>
    <w:rsid w:val="006B270F"/>
    <w:rsid w:val="006B5E1A"/>
    <w:rsid w:val="006D387A"/>
    <w:rsid w:val="006D5A20"/>
    <w:rsid w:val="00715AC4"/>
    <w:rsid w:val="007273A8"/>
    <w:rsid w:val="00731BAA"/>
    <w:rsid w:val="00736DDF"/>
    <w:rsid w:val="007443C8"/>
    <w:rsid w:val="00753105"/>
    <w:rsid w:val="0076135F"/>
    <w:rsid w:val="00773A7B"/>
    <w:rsid w:val="00787568"/>
    <w:rsid w:val="007942F5"/>
    <w:rsid w:val="0079439D"/>
    <w:rsid w:val="007963B4"/>
    <w:rsid w:val="007A09A2"/>
    <w:rsid w:val="007A1C10"/>
    <w:rsid w:val="007A4D79"/>
    <w:rsid w:val="007A7294"/>
    <w:rsid w:val="007C47ED"/>
    <w:rsid w:val="007D24C2"/>
    <w:rsid w:val="007E0768"/>
    <w:rsid w:val="007E34B9"/>
    <w:rsid w:val="00811FC2"/>
    <w:rsid w:val="0081645E"/>
    <w:rsid w:val="00824D8F"/>
    <w:rsid w:val="008260C7"/>
    <w:rsid w:val="0084261F"/>
    <w:rsid w:val="008443CA"/>
    <w:rsid w:val="00844BB0"/>
    <w:rsid w:val="00847D4D"/>
    <w:rsid w:val="00873AFA"/>
    <w:rsid w:val="008807B0"/>
    <w:rsid w:val="00884767"/>
    <w:rsid w:val="00892BB8"/>
    <w:rsid w:val="008A3747"/>
    <w:rsid w:val="008A56CF"/>
    <w:rsid w:val="008B0C22"/>
    <w:rsid w:val="008D1F55"/>
    <w:rsid w:val="008D6819"/>
    <w:rsid w:val="008E0477"/>
    <w:rsid w:val="008E0E90"/>
    <w:rsid w:val="008E5BC1"/>
    <w:rsid w:val="008F0026"/>
    <w:rsid w:val="008F680A"/>
    <w:rsid w:val="0090426C"/>
    <w:rsid w:val="009135C6"/>
    <w:rsid w:val="00917F65"/>
    <w:rsid w:val="00922D7E"/>
    <w:rsid w:val="009351E7"/>
    <w:rsid w:val="00940008"/>
    <w:rsid w:val="00940FC7"/>
    <w:rsid w:val="0094444A"/>
    <w:rsid w:val="00956FF7"/>
    <w:rsid w:val="00971D2D"/>
    <w:rsid w:val="00972994"/>
    <w:rsid w:val="009735B7"/>
    <w:rsid w:val="00974707"/>
    <w:rsid w:val="00996FD1"/>
    <w:rsid w:val="009A575C"/>
    <w:rsid w:val="009C0970"/>
    <w:rsid w:val="009C12D3"/>
    <w:rsid w:val="009C783B"/>
    <w:rsid w:val="009D3262"/>
    <w:rsid w:val="009E302E"/>
    <w:rsid w:val="00A03472"/>
    <w:rsid w:val="00A16486"/>
    <w:rsid w:val="00A201D4"/>
    <w:rsid w:val="00A2222B"/>
    <w:rsid w:val="00A225FF"/>
    <w:rsid w:val="00A23678"/>
    <w:rsid w:val="00A23DA3"/>
    <w:rsid w:val="00A36398"/>
    <w:rsid w:val="00A37FAB"/>
    <w:rsid w:val="00A417AF"/>
    <w:rsid w:val="00A448F3"/>
    <w:rsid w:val="00A526BE"/>
    <w:rsid w:val="00A547B7"/>
    <w:rsid w:val="00A648DF"/>
    <w:rsid w:val="00A649E6"/>
    <w:rsid w:val="00A70409"/>
    <w:rsid w:val="00A75813"/>
    <w:rsid w:val="00A77029"/>
    <w:rsid w:val="00A83024"/>
    <w:rsid w:val="00A83101"/>
    <w:rsid w:val="00A8688D"/>
    <w:rsid w:val="00A91B81"/>
    <w:rsid w:val="00AB01B0"/>
    <w:rsid w:val="00AB7869"/>
    <w:rsid w:val="00AB7A5A"/>
    <w:rsid w:val="00AE14AC"/>
    <w:rsid w:val="00AE38B0"/>
    <w:rsid w:val="00AF3E2F"/>
    <w:rsid w:val="00B10653"/>
    <w:rsid w:val="00B12291"/>
    <w:rsid w:val="00B129CB"/>
    <w:rsid w:val="00B14ABE"/>
    <w:rsid w:val="00B219F7"/>
    <w:rsid w:val="00B224A2"/>
    <w:rsid w:val="00B24B05"/>
    <w:rsid w:val="00B2549D"/>
    <w:rsid w:val="00B276B5"/>
    <w:rsid w:val="00B33674"/>
    <w:rsid w:val="00B43243"/>
    <w:rsid w:val="00B62861"/>
    <w:rsid w:val="00B83832"/>
    <w:rsid w:val="00B93C87"/>
    <w:rsid w:val="00B975EE"/>
    <w:rsid w:val="00BA18FA"/>
    <w:rsid w:val="00BA3733"/>
    <w:rsid w:val="00BA7092"/>
    <w:rsid w:val="00BB01FE"/>
    <w:rsid w:val="00BB2A25"/>
    <w:rsid w:val="00BC471C"/>
    <w:rsid w:val="00BD2D0F"/>
    <w:rsid w:val="00BE39CA"/>
    <w:rsid w:val="00BE6935"/>
    <w:rsid w:val="00BF4B7B"/>
    <w:rsid w:val="00C041C9"/>
    <w:rsid w:val="00C22ADE"/>
    <w:rsid w:val="00C2483C"/>
    <w:rsid w:val="00C25191"/>
    <w:rsid w:val="00C45D7C"/>
    <w:rsid w:val="00C46FAD"/>
    <w:rsid w:val="00C515FC"/>
    <w:rsid w:val="00C536A0"/>
    <w:rsid w:val="00C64000"/>
    <w:rsid w:val="00C81A8C"/>
    <w:rsid w:val="00CA0293"/>
    <w:rsid w:val="00CC2E3F"/>
    <w:rsid w:val="00CC68A1"/>
    <w:rsid w:val="00CD388F"/>
    <w:rsid w:val="00CE149F"/>
    <w:rsid w:val="00D00687"/>
    <w:rsid w:val="00D07F39"/>
    <w:rsid w:val="00D230E6"/>
    <w:rsid w:val="00D26FB3"/>
    <w:rsid w:val="00D403EF"/>
    <w:rsid w:val="00D5345D"/>
    <w:rsid w:val="00D611C4"/>
    <w:rsid w:val="00D66AD9"/>
    <w:rsid w:val="00D675D6"/>
    <w:rsid w:val="00D7503F"/>
    <w:rsid w:val="00DB77A0"/>
    <w:rsid w:val="00DD35C8"/>
    <w:rsid w:val="00DE1A95"/>
    <w:rsid w:val="00DF4528"/>
    <w:rsid w:val="00DF624C"/>
    <w:rsid w:val="00DF7A96"/>
    <w:rsid w:val="00E04674"/>
    <w:rsid w:val="00E170D3"/>
    <w:rsid w:val="00E34BAD"/>
    <w:rsid w:val="00E42F46"/>
    <w:rsid w:val="00E43AED"/>
    <w:rsid w:val="00E73865"/>
    <w:rsid w:val="00E82E3B"/>
    <w:rsid w:val="00E95DBE"/>
    <w:rsid w:val="00EA00CC"/>
    <w:rsid w:val="00EA5CA9"/>
    <w:rsid w:val="00EB157A"/>
    <w:rsid w:val="00EC335D"/>
    <w:rsid w:val="00EC6A4A"/>
    <w:rsid w:val="00EE16F6"/>
    <w:rsid w:val="00EF25CA"/>
    <w:rsid w:val="00EF5A97"/>
    <w:rsid w:val="00F0078B"/>
    <w:rsid w:val="00F03C03"/>
    <w:rsid w:val="00F061AD"/>
    <w:rsid w:val="00F14E47"/>
    <w:rsid w:val="00F202EE"/>
    <w:rsid w:val="00F22055"/>
    <w:rsid w:val="00F2414B"/>
    <w:rsid w:val="00F24521"/>
    <w:rsid w:val="00F40973"/>
    <w:rsid w:val="00F510ED"/>
    <w:rsid w:val="00F66FCC"/>
    <w:rsid w:val="00F72A1B"/>
    <w:rsid w:val="00F7512E"/>
    <w:rsid w:val="00F94A0A"/>
    <w:rsid w:val="00F96186"/>
    <w:rsid w:val="00FA7D6F"/>
    <w:rsid w:val="00FB7033"/>
    <w:rsid w:val="00FC1748"/>
    <w:rsid w:val="00FC2F78"/>
    <w:rsid w:val="00FD77FD"/>
    <w:rsid w:val="00FE1578"/>
    <w:rsid w:val="00FE74B6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11F3B"/>
  <w15:docId w15:val="{2876BEC2-D924-4A1A-B2CE-26409160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A33"/>
    <w:pPr>
      <w:spacing w:before="240" w:after="0"/>
    </w:pPr>
  </w:style>
  <w:style w:type="paragraph" w:styleId="Heading1">
    <w:name w:val="heading 1"/>
    <w:basedOn w:val="Normal"/>
    <w:next w:val="Normal"/>
    <w:link w:val="Heading1Char"/>
    <w:qFormat/>
    <w:rsid w:val="001C689F"/>
    <w:pPr>
      <w:keepNext/>
      <w:spacing w:before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56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basedOn w:val="Normal"/>
    <w:uiPriority w:val="99"/>
    <w:qFormat/>
    <w:rsid w:val="00787568"/>
    <w:pPr>
      <w:numPr>
        <w:ilvl w:val="1"/>
        <w:numId w:val="1"/>
      </w:numPr>
      <w:tabs>
        <w:tab w:val="left" w:pos="567"/>
        <w:tab w:val="left" w:pos="1440"/>
      </w:tabs>
      <w:spacing w:after="120" w:line="240" w:lineRule="auto"/>
      <w:ind w:left="1440" w:hanging="360"/>
      <w:contextualSpacing/>
    </w:pPr>
    <w:rPr>
      <w:rFonts w:cs="Times New Roman"/>
      <w:szCs w:val="24"/>
    </w:rPr>
  </w:style>
  <w:style w:type="paragraph" w:customStyle="1" w:styleId="Reportinformationtype">
    <w:name w:val="Report information type"/>
    <w:basedOn w:val="Normal"/>
    <w:qFormat/>
    <w:rsid w:val="00787568"/>
    <w:pPr>
      <w:spacing w:line="240" w:lineRule="auto"/>
    </w:pPr>
    <w:rPr>
      <w:b/>
    </w:rPr>
  </w:style>
  <w:style w:type="paragraph" w:customStyle="1" w:styleId="Reporttitle">
    <w:name w:val="Report title"/>
    <w:qFormat/>
    <w:rsid w:val="00787568"/>
    <w:pPr>
      <w:spacing w:before="360" w:after="720" w:line="216" w:lineRule="auto"/>
    </w:pPr>
    <w:rPr>
      <w:rFonts w:eastAsiaTheme="majorEastAsia" w:cs="Arial"/>
      <w:noProof/>
      <w:spacing w:val="5"/>
      <w:kern w:val="28"/>
      <w:sz w:val="48"/>
      <w:szCs w:val="52"/>
      <w:lang w:eastAsia="en-GB"/>
    </w:rPr>
  </w:style>
  <w:style w:type="paragraph" w:customStyle="1" w:styleId="Recommendations">
    <w:name w:val="Recommendations"/>
    <w:basedOn w:val="Bulletedlist"/>
    <w:qFormat/>
    <w:rsid w:val="00787568"/>
    <w:pPr>
      <w:tabs>
        <w:tab w:val="clear" w:pos="1440"/>
      </w:tabs>
      <w:ind w:left="567" w:hanging="283"/>
    </w:pPr>
  </w:style>
  <w:style w:type="paragraph" w:customStyle="1" w:styleId="BodyText1">
    <w:name w:val="Body Text1"/>
    <w:qFormat/>
    <w:rsid w:val="007C47ED"/>
    <w:pPr>
      <w:numPr>
        <w:ilvl w:val="1"/>
        <w:numId w:val="2"/>
      </w:numPr>
      <w:tabs>
        <w:tab w:val="left" w:pos="567"/>
      </w:tabs>
      <w:spacing w:before="240" w:after="120" w:line="240" w:lineRule="auto"/>
    </w:pPr>
    <w:rPr>
      <w:rFonts w:cs="Times New Roman"/>
      <w:szCs w:val="24"/>
    </w:rPr>
  </w:style>
  <w:style w:type="paragraph" w:customStyle="1" w:styleId="MainHeading">
    <w:name w:val="Main Heading"/>
    <w:basedOn w:val="Normal"/>
    <w:link w:val="MainHeadingChar"/>
    <w:qFormat/>
    <w:rsid w:val="007C47ED"/>
    <w:pPr>
      <w:numPr>
        <w:numId w:val="2"/>
      </w:numPr>
      <w:tabs>
        <w:tab w:val="left" w:pos="567"/>
      </w:tabs>
      <w:spacing w:before="360" w:after="120" w:line="240" w:lineRule="auto"/>
      <w:ind w:left="567" w:hanging="567"/>
    </w:pPr>
    <w:rPr>
      <w:rFonts w:cs="Times New Roman"/>
      <w:b/>
      <w:sz w:val="28"/>
      <w:szCs w:val="24"/>
    </w:rPr>
  </w:style>
  <w:style w:type="character" w:customStyle="1" w:styleId="MainHeadingChar">
    <w:name w:val="Main Heading Char"/>
    <w:basedOn w:val="DefaultParagraphFont"/>
    <w:link w:val="MainHeading"/>
    <w:rsid w:val="007C47ED"/>
    <w:rPr>
      <w:rFonts w:cs="Times New Roman"/>
      <w:b/>
      <w:sz w:val="28"/>
      <w:szCs w:val="24"/>
    </w:rPr>
  </w:style>
  <w:style w:type="paragraph" w:customStyle="1" w:styleId="Subhead">
    <w:name w:val="Subhead"/>
    <w:basedOn w:val="Normal"/>
    <w:link w:val="SubheadChar"/>
    <w:qFormat/>
    <w:rsid w:val="007C47ED"/>
    <w:pPr>
      <w:spacing w:after="120" w:line="240" w:lineRule="auto"/>
      <w:ind w:left="567"/>
      <w:contextualSpacing/>
    </w:pPr>
    <w:rPr>
      <w:rFonts w:cs="Arial"/>
      <w:b/>
      <w:szCs w:val="24"/>
    </w:rPr>
  </w:style>
  <w:style w:type="character" w:customStyle="1" w:styleId="SubheadChar">
    <w:name w:val="Subhead Char"/>
    <w:basedOn w:val="DefaultParagraphFont"/>
    <w:link w:val="Subhead"/>
    <w:rsid w:val="007C47ED"/>
    <w:rPr>
      <w:rFonts w:cs="Arial"/>
      <w:b/>
      <w:szCs w:val="24"/>
    </w:rPr>
  </w:style>
  <w:style w:type="character" w:styleId="Hyperlink">
    <w:name w:val="Hyperlink"/>
    <w:basedOn w:val="DefaultParagraphFont"/>
    <w:uiPriority w:val="99"/>
    <w:unhideWhenUsed/>
    <w:rsid w:val="00AF3E2F"/>
    <w:rPr>
      <w:color w:val="5F5F5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12291"/>
    <w:pPr>
      <w:spacing w:before="0" w:after="200"/>
      <w:ind w:left="720"/>
      <w:contextualSpacing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7E0768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rsid w:val="001C689F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qFormat/>
    <w:rsid w:val="008D6819"/>
    <w:pPr>
      <w:tabs>
        <w:tab w:val="left" w:pos="709"/>
      </w:tabs>
      <w:spacing w:line="240" w:lineRule="auto"/>
      <w:ind w:left="720" w:hanging="720"/>
    </w:pPr>
    <w:rPr>
      <w:rFonts w:eastAsia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8D6819"/>
    <w:rPr>
      <w:rFonts w:eastAsia="Times New Roman" w:cs="Times New Roman"/>
      <w:szCs w:val="24"/>
      <w:lang w:eastAsia="en-GB"/>
    </w:rPr>
  </w:style>
  <w:style w:type="paragraph" w:customStyle="1" w:styleId="Default">
    <w:name w:val="Default"/>
    <w:rsid w:val="0067511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5156"/>
    <w:rPr>
      <w:rFonts w:asciiTheme="minorHAnsi" w:hAnsiTheme="minorHAns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60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E0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05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24C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C2"/>
  </w:style>
  <w:style w:type="paragraph" w:styleId="Footer">
    <w:name w:val="footer"/>
    <w:basedOn w:val="Normal"/>
    <w:link w:val="FooterChar"/>
    <w:uiPriority w:val="99"/>
    <w:unhideWhenUsed/>
    <w:rsid w:val="007D24C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C2"/>
  </w:style>
  <w:style w:type="paragraph" w:styleId="NormalWeb">
    <w:name w:val="Normal (Web)"/>
    <w:basedOn w:val="Normal"/>
    <w:uiPriority w:val="99"/>
    <w:unhideWhenUsed/>
    <w:rsid w:val="00EF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customStyle="1" w:styleId="TableGrid1">
    <w:name w:val="Table Grid1"/>
    <w:basedOn w:val="TableNormal"/>
    <w:next w:val="TableGrid"/>
    <w:rsid w:val="00956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18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4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7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1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8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93f1dc-b536-4e21-a6c1-92b3070ac674">MXVKPAD3RZ76-119435568-102433</_dlc_DocId>
    <TaxCatchAll xmlns="6f247cf5-36db-4625-96bb-fe9ae63417ad" xsi:nil="true"/>
    <f35f8bb8de474ca097f39364288e1644 xmlns="6f247cf5-36db-4625-96bb-fe9ae63417ad">
      <Terms xmlns="http://schemas.microsoft.com/office/infopath/2007/PartnerControls"/>
    </f35f8bb8de474ca097f39364288e1644>
    <k7ff990e7aca4cbe91a85df0bf876c29 xmlns="6f247cf5-36db-4625-96bb-fe9ae63417ad">
      <Terms xmlns="http://schemas.microsoft.com/office/infopath/2007/PartnerControls"/>
    </k7ff990e7aca4cbe91a85df0bf876c29>
    <_dlc_DocIdUrl xmlns="b393f1dc-b536-4e21-a6c1-92b3070ac674">
      <Url>https://lbbd.sharepoint.com/teams/T1056-INT-FNC-CHCC-Childrens-Safeguarding-Pships/_layouts/15/DocIdRedir.aspx?ID=MXVKPAD3RZ76-119435568-102433</Url>
      <Description>MXVKPAD3RZ76-119435568-102433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06CEF6814786534796DE6803CDB791A8" ma:contentTypeVersion="256" ma:contentTypeDescription="Document with LGCS and Type of Content Classification" ma:contentTypeScope="" ma:versionID="871afeb00034cd62798d7b83b36f7beb">
  <xsd:schema xmlns:xsd="http://www.w3.org/2001/XMLSchema" xmlns:xs="http://www.w3.org/2001/XMLSchema" xmlns:p="http://schemas.microsoft.com/office/2006/metadata/properties" xmlns:ns2="6f247cf5-36db-4625-96bb-fe9ae63417ad" xmlns:ns3="b393f1dc-b536-4e21-a6c1-92b3070ac674" targetNamespace="http://schemas.microsoft.com/office/2006/metadata/properties" ma:root="true" ma:fieldsID="d0d2821c9b355144dc8f4f4f9f7229fe" ns2:_="" ns3:_="">
    <xsd:import namespace="6f247cf5-36db-4625-96bb-fe9ae63417ad"/>
    <xsd:import namespace="b393f1dc-b536-4e21-a6c1-92b3070ac674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eb2f01-a88c-424e-bf6d-94c0b9701b7c}" ma:internalName="TaxCatchAll" ma:showField="CatchAllData" ma:web="b393f1dc-b536-4e21-a6c1-92b3070ac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eb2f01-a88c-424e-bf6d-94c0b9701b7c}" ma:internalName="TaxCatchAllLabel" ma:readOnly="true" ma:showField="CatchAllDataLabel" ma:web="b393f1dc-b536-4e21-a6c1-92b3070ac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3f1dc-b536-4e21-a6c1-92b3070ac67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D111D-4E21-4664-9598-68BF75BB904D}">
  <ds:schemaRefs>
    <ds:schemaRef ds:uri="http://schemas.microsoft.com/office/2006/metadata/properties"/>
    <ds:schemaRef ds:uri="http://schemas.microsoft.com/office/infopath/2007/PartnerControls"/>
    <ds:schemaRef ds:uri="b393f1dc-b536-4e21-a6c1-92b3070ac674"/>
    <ds:schemaRef ds:uri="6f247cf5-36db-4625-96bb-fe9ae63417ad"/>
  </ds:schemaRefs>
</ds:datastoreItem>
</file>

<file path=customXml/itemProps2.xml><?xml version="1.0" encoding="utf-8"?>
<ds:datastoreItem xmlns:ds="http://schemas.openxmlformats.org/officeDocument/2006/customXml" ds:itemID="{C132C34B-2606-40BD-943D-6E6633D67F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737248-7B5E-466B-8DE6-AB45A1057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D982EA-F87A-4059-9A63-B2236DC61C6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30C3A51-5B6D-4B89-8E42-D6B649E6D5B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F9B1B34-9449-4752-925F-7440EBA39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b393f1dc-b536-4e21-a6c1-92b3070ac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Kitching</dc:creator>
  <cp:lastModifiedBy>Liana Kotze</cp:lastModifiedBy>
  <cp:revision>2</cp:revision>
  <cp:lastPrinted>2018-07-24T12:23:00Z</cp:lastPrinted>
  <dcterms:created xsi:type="dcterms:W3CDTF">2023-07-10T05:01:00Z</dcterms:created>
  <dcterms:modified xsi:type="dcterms:W3CDTF">2023-07-10T05:01:00Z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0x0101003D111B80989C2F48A98656A918A919A00006CEF6814786534796DE6803CDB791A8</vt:lpwstr>
  </property>
  <property fmtid="{D5CDD505-2E9C-101B-9397-08002B2CF9AE}" pid="3" name="_dlc_DocIdItemGuid">
    <vt:lpwstr>0ecc650c-1559-4a4c-a198-6a9e650d97b3</vt:lpwstr>
  </property>
  <property fmtid="{D5CDD505-2E9C-101B-9397-08002B2CF9AE}" pid="4" name="LGCS">
    <vt:lpwstr/>
  </property>
  <property fmtid="{D5CDD505-2E9C-101B-9397-08002B2CF9AE}" pid="5" name="CType">
    <vt:lpwstr/>
  </property>
  <property fmtid="{D5CDD505-2E9C-101B-9397-08002B2CF9AE}" pid="6" name="a8455ed1fd22475083a09a91de16b8fd">
    <vt:lpwstr/>
  </property>
  <property fmtid="{D5CDD505-2E9C-101B-9397-08002B2CF9AE}" pid="7" name="Financial_x0020_Year">
    <vt:lpwstr/>
  </property>
  <property fmtid="{D5CDD505-2E9C-101B-9397-08002B2CF9AE}" pid="8" name="Financial Year">
    <vt:lpwstr/>
  </property>
</Properties>
</file>