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24AEFB4" w:rsidP="4FD78DC9" w:rsidRDefault="124AEFB4" w14:paraId="18F8AAF2" w14:textId="16029D6E">
      <w:pPr>
        <w:pStyle w:val="Heading1"/>
      </w:pPr>
      <w:r w:rsidRPr="4FD78DC9" w:rsidR="124AEFB4">
        <w:rPr>
          <w:rFonts w:ascii="Arial" w:hAnsi="Arial" w:eastAsia="Arial" w:cs="Arial"/>
          <w:b w:val="0"/>
          <w:bCs w:val="0"/>
          <w:noProof w:val="0"/>
          <w:color w:val="365F91"/>
          <w:sz w:val="32"/>
          <w:szCs w:val="32"/>
          <w:lang w:val="en-US"/>
        </w:rPr>
        <w:t>No Recourse to Public Funds (NRPF)</w:t>
      </w:r>
    </w:p>
    <w:p w:rsidR="124AEFB4" w:rsidRDefault="124AEFB4" w14:paraId="24E858F0" w14:textId="2AC27DF4">
      <w:r w:rsidRPr="4FD78DC9" w:rsidR="124AEFB4">
        <w:rPr>
          <w:rFonts w:ascii="Arial" w:hAnsi="Arial" w:eastAsia="Arial" w:cs="Arial"/>
          <w:b w:val="1"/>
          <w:bCs w:val="1"/>
          <w:strike w:val="0"/>
          <w:dstrike w:val="0"/>
          <w:noProof w:val="0"/>
          <w:sz w:val="24"/>
          <w:szCs w:val="24"/>
          <w:u w:val="none"/>
          <w:lang w:val="en-US"/>
        </w:rPr>
        <w:t xml:space="preserve"> </w:t>
      </w:r>
    </w:p>
    <w:p w:rsidR="124AEFB4" w:rsidRDefault="124AEFB4" w14:paraId="60F3939E" w14:textId="0F8BB26D">
      <w:r w:rsidRPr="4FD78DC9" w:rsidR="124AEFB4">
        <w:rPr>
          <w:rFonts w:ascii="Arial" w:hAnsi="Arial" w:eastAsia="Arial" w:cs="Arial"/>
          <w:noProof w:val="0"/>
          <w:sz w:val="24"/>
          <w:szCs w:val="24"/>
          <w:lang w:val="en-US"/>
        </w:rPr>
        <w:t xml:space="preserve">Local authorities have a duty to provide </w:t>
      </w:r>
      <w:r w:rsidRPr="4FD78DC9" w:rsidR="124AEFB4">
        <w:rPr>
          <w:rFonts w:ascii="Arial" w:hAnsi="Arial" w:eastAsia="Arial" w:cs="Arial"/>
          <w:b w:val="1"/>
          <w:bCs w:val="1"/>
          <w:noProof w:val="0"/>
          <w:sz w:val="24"/>
          <w:szCs w:val="24"/>
          <w:lang w:val="en-US"/>
        </w:rPr>
        <w:t>care</w:t>
      </w:r>
      <w:r w:rsidRPr="4FD78DC9" w:rsidR="124AEFB4">
        <w:rPr>
          <w:rFonts w:ascii="Arial" w:hAnsi="Arial" w:eastAsia="Arial" w:cs="Arial"/>
          <w:noProof w:val="0"/>
          <w:sz w:val="24"/>
          <w:szCs w:val="24"/>
          <w:lang w:val="en-US"/>
        </w:rPr>
        <w:t xml:space="preserve"> under relevant provisions of the Care Act 2014.  If not providing support would constitute a breach of the service user’s human rights under the European Convention.  Once refugees who have been granted leave to stay, they are entitled to receive provision on the same basis as UK residents.</w:t>
      </w:r>
    </w:p>
    <w:p w:rsidR="124AEFB4" w:rsidRDefault="124AEFB4" w14:paraId="59C3E2CD" w14:textId="1153753A">
      <w:r w:rsidRPr="4FD78DC9" w:rsidR="124AEFB4">
        <w:rPr>
          <w:rFonts w:ascii="Arial" w:hAnsi="Arial" w:eastAsia="Arial" w:cs="Arial"/>
          <w:noProof w:val="0"/>
          <w:sz w:val="24"/>
          <w:szCs w:val="24"/>
          <w:lang w:val="en-US"/>
        </w:rPr>
        <w:t xml:space="preserve"> </w:t>
      </w:r>
    </w:p>
    <w:p w:rsidR="124AEFB4" w:rsidRDefault="124AEFB4" w14:paraId="4D8361D9" w14:textId="4E55D560">
      <w:r w:rsidRPr="4FD78DC9" w:rsidR="124AEFB4">
        <w:rPr>
          <w:rFonts w:ascii="Arial" w:hAnsi="Arial" w:eastAsia="Arial" w:cs="Arial"/>
          <w:noProof w:val="0"/>
          <w:sz w:val="24"/>
          <w:szCs w:val="24"/>
          <w:lang w:val="en-US"/>
        </w:rPr>
        <w:t>Adult social care has a duty to assess all individuals (including refused asylum seekers) if they appear to need care services under the Care Act 2014.</w:t>
      </w:r>
    </w:p>
    <w:p w:rsidR="124AEFB4" w:rsidRDefault="124AEFB4" w14:paraId="70EA3C16" w14:textId="19D7715D">
      <w:r w:rsidRPr="4FD78DC9" w:rsidR="124AEFB4">
        <w:rPr>
          <w:rFonts w:ascii="Arial" w:hAnsi="Arial" w:eastAsia="Arial" w:cs="Arial"/>
          <w:noProof w:val="0"/>
          <w:sz w:val="24"/>
          <w:szCs w:val="24"/>
          <w:lang w:val="en-US"/>
        </w:rPr>
        <w:t xml:space="preserve"> </w:t>
      </w:r>
    </w:p>
    <w:p w:rsidR="124AEFB4" w:rsidRDefault="124AEFB4" w14:paraId="3B54766A" w14:textId="41A8A221">
      <w:r w:rsidRPr="4FD78DC9" w:rsidR="124AEFB4">
        <w:rPr>
          <w:rFonts w:ascii="Arial" w:hAnsi="Arial" w:eastAsia="Arial" w:cs="Arial"/>
          <w:noProof w:val="0"/>
          <w:sz w:val="24"/>
          <w:szCs w:val="24"/>
          <w:lang w:val="en-US"/>
        </w:rPr>
        <w:t>NRPF is an immigration condition restricting access to public funds. This includes many mainstream benefits such as welfare and housing. Families and individuals may have a right to financial support from social services to avoid destitution or because of complex health needs. If the family or individual is found to be eligible after an assessment, the local authority has the power to support the accommodation and subsistence costs of residents with NRPF.</w:t>
      </w:r>
    </w:p>
    <w:p w:rsidR="124AEFB4" w:rsidRDefault="124AEFB4" w14:paraId="00A96711" w14:textId="73176887">
      <w:r w:rsidRPr="4FD78DC9" w:rsidR="124AEFB4">
        <w:rPr>
          <w:rFonts w:ascii="Arial" w:hAnsi="Arial" w:eastAsia="Arial" w:cs="Arial"/>
          <w:noProof w:val="0"/>
          <w:sz w:val="24"/>
          <w:szCs w:val="24"/>
          <w:lang w:val="en-US"/>
        </w:rPr>
        <w:t xml:space="preserve"> </w:t>
      </w:r>
    </w:p>
    <w:p w:rsidR="124AEFB4" w:rsidP="4FD78DC9" w:rsidRDefault="124AEFB4" w14:paraId="255F3ACD" w14:textId="32B7794B">
      <w:pPr>
        <w:spacing w:after="120" w:afterAutospacing="off"/>
      </w:pPr>
      <w:r w:rsidRPr="4FD78DC9" w:rsidR="124AEFB4">
        <w:rPr>
          <w:rFonts w:ascii="Arial" w:hAnsi="Arial" w:eastAsia="Arial" w:cs="Arial"/>
          <w:noProof w:val="0"/>
          <w:sz w:val="24"/>
          <w:szCs w:val="24"/>
          <w:lang w:val="en-US"/>
        </w:rPr>
        <w:t>There are three main categories for people deemed to be NRPF:</w:t>
      </w:r>
    </w:p>
    <w:tbl>
      <w:tblPr>
        <w:tblStyle w:val="TableNormal"/>
        <w:tblW w:w="0" w:type="auto"/>
        <w:tblInd w:w="435" w:type="dxa"/>
        <w:tblLayout w:type="fixed"/>
        <w:tblLook w:val="04A0" w:firstRow="1" w:lastRow="0" w:firstColumn="1" w:lastColumn="0" w:noHBand="0" w:noVBand="1"/>
      </w:tblPr>
      <w:tblGrid>
        <w:gridCol w:w="1894"/>
        <w:gridCol w:w="2148"/>
        <w:gridCol w:w="4421"/>
      </w:tblGrid>
      <w:tr w:rsidR="4FD78DC9" w:rsidTr="4FD78DC9" w14:paraId="5C4FAE40">
        <w:trPr>
          <w:trHeight w:val="300"/>
        </w:trPr>
        <w:tc>
          <w:tcPr>
            <w:tcW w:w="1894" w:type="dxa"/>
            <w:tcBorders>
              <w:top w:val="single" w:sz="8"/>
              <w:left w:val="single" w:sz="8"/>
              <w:bottom w:val="single" w:sz="8"/>
              <w:right w:val="single" w:sz="8"/>
            </w:tcBorders>
            <w:shd w:val="clear" w:color="auto" w:fill="EAF1DD"/>
            <w:tcMar>
              <w:top w:w="75" w:type="dxa"/>
              <w:left w:w="150" w:type="dxa"/>
              <w:bottom w:w="75" w:type="dxa"/>
              <w:right w:w="150" w:type="dxa"/>
            </w:tcMar>
            <w:vAlign w:val="center"/>
          </w:tcPr>
          <w:p w:rsidR="4FD78DC9" w:rsidP="4FD78DC9" w:rsidRDefault="4FD78DC9" w14:paraId="726159E7" w14:textId="7CE3EA64">
            <w:pPr>
              <w:spacing w:before="0" w:beforeAutospacing="off" w:after="0" w:afterAutospacing="off"/>
            </w:pPr>
            <w:r w:rsidRPr="4FD78DC9" w:rsidR="4FD78DC9">
              <w:rPr>
                <w:rFonts w:ascii="Arial" w:hAnsi="Arial" w:eastAsia="Arial" w:cs="Arial"/>
                <w:color w:val="333333"/>
                <w:sz w:val="24"/>
                <w:szCs w:val="24"/>
              </w:rPr>
              <w:t>Group</w:t>
            </w:r>
          </w:p>
        </w:tc>
        <w:tc>
          <w:tcPr>
            <w:tcW w:w="2148" w:type="dxa"/>
            <w:tcBorders>
              <w:top w:val="single" w:sz="8"/>
              <w:left w:val="single" w:sz="8"/>
              <w:bottom w:val="single" w:sz="8"/>
              <w:right w:val="single" w:sz="8"/>
            </w:tcBorders>
            <w:shd w:val="clear" w:color="auto" w:fill="EAF1DD"/>
            <w:tcMar>
              <w:top w:w="75" w:type="dxa"/>
              <w:left w:w="150" w:type="dxa"/>
              <w:bottom w:w="75" w:type="dxa"/>
              <w:right w:w="150" w:type="dxa"/>
            </w:tcMar>
            <w:vAlign w:val="center"/>
          </w:tcPr>
          <w:p w:rsidR="4FD78DC9" w:rsidP="4FD78DC9" w:rsidRDefault="4FD78DC9" w14:paraId="7F0D0EF7" w14:textId="5D14D67E">
            <w:pPr>
              <w:spacing w:before="0" w:beforeAutospacing="off" w:after="0" w:afterAutospacing="off"/>
            </w:pPr>
            <w:r w:rsidRPr="4FD78DC9" w:rsidR="4FD78DC9">
              <w:rPr>
                <w:rFonts w:ascii="Arial" w:hAnsi="Arial" w:eastAsia="Arial" w:cs="Arial"/>
                <w:color w:val="333333"/>
                <w:sz w:val="24"/>
                <w:szCs w:val="24"/>
              </w:rPr>
              <w:t>Supported under</w:t>
            </w:r>
          </w:p>
        </w:tc>
        <w:tc>
          <w:tcPr>
            <w:tcW w:w="4421" w:type="dxa"/>
            <w:tcBorders>
              <w:top w:val="single" w:sz="8"/>
              <w:left w:val="single" w:sz="8"/>
              <w:bottom w:val="single" w:sz="8"/>
              <w:right w:val="single" w:sz="8"/>
            </w:tcBorders>
            <w:shd w:val="clear" w:color="auto" w:fill="EAF1DD"/>
            <w:tcMar>
              <w:top w:w="75" w:type="dxa"/>
              <w:left w:w="150" w:type="dxa"/>
              <w:bottom w:w="75" w:type="dxa"/>
              <w:right w:w="150" w:type="dxa"/>
            </w:tcMar>
            <w:vAlign w:val="center"/>
          </w:tcPr>
          <w:p w:rsidR="4FD78DC9" w:rsidP="4FD78DC9" w:rsidRDefault="4FD78DC9" w14:paraId="28103404" w14:textId="09CB71AC">
            <w:pPr>
              <w:spacing w:before="0" w:beforeAutospacing="off" w:after="0" w:afterAutospacing="off"/>
            </w:pPr>
            <w:r w:rsidRPr="4FD78DC9" w:rsidR="4FD78DC9">
              <w:rPr>
                <w:rFonts w:ascii="Arial" w:hAnsi="Arial" w:eastAsia="Arial" w:cs="Arial"/>
                <w:color w:val="333333"/>
                <w:sz w:val="24"/>
                <w:szCs w:val="24"/>
              </w:rPr>
              <w:t>Examples</w:t>
            </w:r>
          </w:p>
        </w:tc>
      </w:tr>
      <w:tr w:rsidR="4FD78DC9" w:rsidTr="4FD78DC9" w14:paraId="48890B4D">
        <w:trPr>
          <w:trHeight w:val="825"/>
        </w:trPr>
        <w:tc>
          <w:tcPr>
            <w:tcW w:w="1894"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4CF83916" w14:textId="46781F95">
            <w:pPr>
              <w:spacing w:before="0" w:beforeAutospacing="off" w:after="0" w:afterAutospacing="off"/>
            </w:pPr>
            <w:r w:rsidRPr="4FD78DC9" w:rsidR="4FD78DC9">
              <w:rPr>
                <w:rFonts w:ascii="Arial" w:hAnsi="Arial" w:eastAsia="Arial" w:cs="Arial"/>
                <w:sz w:val="24"/>
                <w:szCs w:val="24"/>
              </w:rPr>
              <w:t>Destitute families</w:t>
            </w:r>
          </w:p>
        </w:tc>
        <w:tc>
          <w:tcPr>
            <w:tcW w:w="2148"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135BA0DF" w14:textId="4A32F7D8">
            <w:pPr>
              <w:spacing w:before="0" w:beforeAutospacing="off" w:after="0" w:afterAutospacing="off"/>
            </w:pPr>
            <w:r w:rsidRPr="4FD78DC9" w:rsidR="4FD78DC9">
              <w:rPr>
                <w:rFonts w:ascii="Arial" w:hAnsi="Arial" w:eastAsia="Arial" w:cs="Arial"/>
                <w:sz w:val="24"/>
                <w:szCs w:val="24"/>
              </w:rPr>
              <w:t>S17 Children’s Act (1989)</w:t>
            </w:r>
          </w:p>
        </w:tc>
        <w:tc>
          <w:tcPr>
            <w:tcW w:w="4421"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099DF755" w14:textId="424400DE">
            <w:pPr>
              <w:pStyle w:val="ListParagraph"/>
              <w:numPr>
                <w:ilvl w:val="0"/>
                <w:numId w:val="13"/>
              </w:numPr>
              <w:spacing w:before="0" w:beforeAutospacing="off" w:after="0" w:afterAutospacing="off"/>
              <w:rPr>
                <w:rFonts w:ascii="Arial" w:hAnsi="Arial" w:eastAsia="Arial" w:cs="Arial"/>
              </w:rPr>
            </w:pPr>
            <w:r w:rsidRPr="4FD78DC9" w:rsidR="4FD78DC9">
              <w:rPr>
                <w:rFonts w:ascii="Arial" w:hAnsi="Arial" w:eastAsia="Arial" w:cs="Arial"/>
              </w:rPr>
              <w:t>A child is homeless.</w:t>
            </w:r>
          </w:p>
          <w:p w:rsidR="4FD78DC9" w:rsidP="4FD78DC9" w:rsidRDefault="4FD78DC9" w14:paraId="420A3F5B" w14:textId="1E35CFC7">
            <w:pPr>
              <w:pStyle w:val="ListParagraph"/>
              <w:numPr>
                <w:ilvl w:val="0"/>
                <w:numId w:val="13"/>
              </w:numPr>
              <w:spacing w:before="0" w:beforeAutospacing="off" w:after="0" w:afterAutospacing="off"/>
              <w:rPr>
                <w:rFonts w:ascii="Arial" w:hAnsi="Arial" w:eastAsia="Arial" w:cs="Arial"/>
              </w:rPr>
            </w:pPr>
            <w:r w:rsidRPr="4FD78DC9" w:rsidR="4FD78DC9">
              <w:rPr>
                <w:rFonts w:ascii="Arial" w:hAnsi="Arial" w:eastAsia="Arial" w:cs="Arial"/>
              </w:rPr>
              <w:t>A parent cannot afford to meet the family’s basic living needs</w:t>
            </w:r>
          </w:p>
        </w:tc>
      </w:tr>
      <w:tr w:rsidR="4FD78DC9" w:rsidTr="4FD78DC9" w14:paraId="1834E21A">
        <w:trPr>
          <w:trHeight w:val="840"/>
        </w:trPr>
        <w:tc>
          <w:tcPr>
            <w:tcW w:w="1894"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5748ABB8" w14:textId="6B0D63A5">
            <w:pPr>
              <w:spacing w:before="0" w:beforeAutospacing="off" w:after="0" w:afterAutospacing="off"/>
            </w:pPr>
            <w:r w:rsidRPr="4FD78DC9" w:rsidR="4FD78DC9">
              <w:rPr>
                <w:rFonts w:ascii="Arial" w:hAnsi="Arial" w:eastAsia="Arial" w:cs="Arial"/>
                <w:sz w:val="24"/>
                <w:szCs w:val="24"/>
              </w:rPr>
              <w:t>Single adults with care needs</w:t>
            </w:r>
          </w:p>
        </w:tc>
        <w:tc>
          <w:tcPr>
            <w:tcW w:w="2148"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27A0596C" w14:textId="35E782E4">
            <w:pPr>
              <w:spacing w:before="0" w:beforeAutospacing="off" w:after="0" w:afterAutospacing="off"/>
            </w:pPr>
            <w:r w:rsidRPr="4FD78DC9" w:rsidR="4FD78DC9">
              <w:rPr>
                <w:rFonts w:ascii="Arial" w:hAnsi="Arial" w:eastAsia="Arial" w:cs="Arial"/>
                <w:sz w:val="24"/>
                <w:szCs w:val="24"/>
              </w:rPr>
              <w:t>Care Act (2014)</w:t>
            </w:r>
            <w:r>
              <w:br/>
            </w:r>
            <w:r w:rsidRPr="4FD78DC9" w:rsidR="4FD78DC9">
              <w:rPr>
                <w:rFonts w:ascii="Arial" w:hAnsi="Arial" w:eastAsia="Arial" w:cs="Arial"/>
                <w:sz w:val="24"/>
                <w:szCs w:val="24"/>
              </w:rPr>
              <w:t xml:space="preserve"> S117 Mental Health Act (1983)</w:t>
            </w:r>
          </w:p>
        </w:tc>
        <w:tc>
          <w:tcPr>
            <w:tcW w:w="4421"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6B0F5D50" w14:textId="3B1B16E0">
            <w:pPr>
              <w:pStyle w:val="ListParagraph"/>
              <w:numPr>
                <w:ilvl w:val="0"/>
                <w:numId w:val="15"/>
              </w:numPr>
              <w:spacing w:before="0" w:beforeAutospacing="off" w:after="0" w:afterAutospacing="off"/>
              <w:rPr>
                <w:rFonts w:ascii="Arial" w:hAnsi="Arial" w:eastAsia="Arial" w:cs="Arial"/>
              </w:rPr>
            </w:pPr>
            <w:r w:rsidRPr="4FD78DC9" w:rsidR="4FD78DC9">
              <w:rPr>
                <w:rFonts w:ascii="Arial" w:hAnsi="Arial" w:eastAsia="Arial" w:cs="Arial"/>
              </w:rPr>
              <w:t>An adult requiring care and support due to a substantial disability.</w:t>
            </w:r>
          </w:p>
          <w:p w:rsidR="4FD78DC9" w:rsidP="4FD78DC9" w:rsidRDefault="4FD78DC9" w14:paraId="1E99EB61" w14:textId="2522C255">
            <w:pPr>
              <w:pStyle w:val="ListParagraph"/>
              <w:numPr>
                <w:ilvl w:val="0"/>
                <w:numId w:val="15"/>
              </w:numPr>
              <w:spacing w:before="0" w:beforeAutospacing="off" w:after="0" w:afterAutospacing="off"/>
              <w:rPr>
                <w:rFonts w:ascii="Arial" w:hAnsi="Arial" w:eastAsia="Arial" w:cs="Arial"/>
              </w:rPr>
            </w:pPr>
            <w:r w:rsidRPr="4FD78DC9" w:rsidR="4FD78DC9">
              <w:rPr>
                <w:rFonts w:ascii="Arial" w:hAnsi="Arial" w:eastAsia="Arial" w:cs="Arial"/>
              </w:rPr>
              <w:t>An adult who has been detained under the Mental Health Act (1983) in terms of S3 or Part III and requires after-care</w:t>
            </w:r>
          </w:p>
        </w:tc>
      </w:tr>
      <w:tr w:rsidR="4FD78DC9" w:rsidTr="4FD78DC9" w14:paraId="6ED6787C">
        <w:trPr>
          <w:trHeight w:val="405"/>
        </w:trPr>
        <w:tc>
          <w:tcPr>
            <w:tcW w:w="1894"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48A74CE5" w14:textId="09E29CA9">
            <w:pPr>
              <w:spacing w:before="0" w:beforeAutospacing="off" w:after="0" w:afterAutospacing="off"/>
            </w:pPr>
            <w:r w:rsidRPr="4FD78DC9" w:rsidR="4FD78DC9">
              <w:rPr>
                <w:rFonts w:ascii="Arial" w:hAnsi="Arial" w:eastAsia="Arial" w:cs="Arial"/>
                <w:sz w:val="24"/>
                <w:szCs w:val="24"/>
              </w:rPr>
              <w:t>Young people leaving care</w:t>
            </w:r>
          </w:p>
        </w:tc>
        <w:tc>
          <w:tcPr>
            <w:tcW w:w="2148"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1A18D770" w14:textId="6F161B02">
            <w:pPr>
              <w:spacing w:before="0" w:beforeAutospacing="off" w:after="0" w:afterAutospacing="off"/>
            </w:pPr>
            <w:r w:rsidRPr="4FD78DC9" w:rsidR="4FD78DC9">
              <w:rPr>
                <w:rFonts w:ascii="Arial" w:hAnsi="Arial" w:eastAsia="Arial" w:cs="Arial"/>
                <w:sz w:val="24"/>
                <w:szCs w:val="24"/>
              </w:rPr>
              <w:t>Children (Leaving Care) Act (2000)</w:t>
            </w:r>
          </w:p>
        </w:tc>
        <w:tc>
          <w:tcPr>
            <w:tcW w:w="4421" w:type="dxa"/>
            <w:tcBorders>
              <w:top w:val="single" w:sz="8"/>
              <w:left w:val="single" w:sz="8"/>
              <w:bottom w:val="single" w:sz="8"/>
              <w:right w:val="single" w:sz="8"/>
            </w:tcBorders>
            <w:tcMar>
              <w:top w:w="75" w:type="dxa"/>
              <w:left w:w="150" w:type="dxa"/>
              <w:bottom w:w="75" w:type="dxa"/>
              <w:right w:w="150" w:type="dxa"/>
            </w:tcMar>
            <w:vAlign w:val="center"/>
          </w:tcPr>
          <w:p w:rsidR="4FD78DC9" w:rsidP="4FD78DC9" w:rsidRDefault="4FD78DC9" w14:paraId="66EADB61" w14:textId="30D58308">
            <w:pPr>
              <w:pStyle w:val="ListParagraph"/>
              <w:numPr>
                <w:ilvl w:val="0"/>
                <w:numId w:val="17"/>
              </w:numPr>
              <w:spacing w:before="0" w:beforeAutospacing="off" w:after="0" w:afterAutospacing="off"/>
              <w:rPr>
                <w:rFonts w:ascii="Arial" w:hAnsi="Arial" w:eastAsia="Arial" w:cs="Arial"/>
              </w:rPr>
            </w:pPr>
            <w:r w:rsidRPr="4FD78DC9" w:rsidR="4FD78DC9">
              <w:rPr>
                <w:rFonts w:ascii="Arial" w:hAnsi="Arial" w:eastAsia="Arial" w:cs="Arial"/>
              </w:rPr>
              <w:t>A young person who has been looked after by the local authority and is turning 18</w:t>
            </w:r>
          </w:p>
        </w:tc>
      </w:tr>
    </w:tbl>
    <w:p w:rsidR="124AEFB4" w:rsidRDefault="124AEFB4" w14:paraId="2465F9A5" w14:textId="4E0BF494">
      <w:r w:rsidRPr="4FD78DC9" w:rsidR="124AEFB4">
        <w:rPr>
          <w:rFonts w:ascii="Arial" w:hAnsi="Arial" w:eastAsia="Arial" w:cs="Arial"/>
          <w:b w:val="1"/>
          <w:bCs w:val="1"/>
          <w:noProof w:val="0"/>
          <w:color w:val="303030"/>
          <w:sz w:val="22"/>
          <w:szCs w:val="22"/>
          <w:lang w:val="en-US"/>
        </w:rPr>
        <w:t xml:space="preserve"> </w:t>
      </w:r>
    </w:p>
    <w:p w:rsidR="124AEFB4" w:rsidP="4FD78DC9" w:rsidRDefault="124AEFB4" w14:paraId="6D70C8F7" w14:textId="4838C5E4">
      <w:pPr>
        <w:spacing w:after="120" w:afterAutospacing="off"/>
      </w:pPr>
      <w:r w:rsidRPr="4FD78DC9" w:rsidR="124AEFB4">
        <w:rPr>
          <w:rFonts w:ascii="Arial" w:hAnsi="Arial" w:eastAsia="Arial" w:cs="Arial"/>
          <w:noProof w:val="0"/>
          <w:sz w:val="22"/>
          <w:szCs w:val="22"/>
          <w:lang w:val="en-US"/>
        </w:rPr>
        <w:t>The Care Act contains some rules which may affect refugees and asylum seekers. These rules relate to rights to residency and persons subject to immigration controls. The following legislation should be consulted.</w:t>
      </w:r>
    </w:p>
    <w:p w:rsidR="124AEFB4" w:rsidP="4FD78DC9" w:rsidRDefault="124AEFB4" w14:paraId="17DCC073" w14:textId="5315EA80">
      <w:pPr>
        <w:pStyle w:val="ListParagraph"/>
        <w:numPr>
          <w:ilvl w:val="0"/>
          <w:numId w:val="18"/>
        </w:numPr>
        <w:spacing w:before="0" w:beforeAutospacing="off" w:after="0" w:afterAutospacing="off"/>
        <w:rPr>
          <w:rFonts w:ascii="Arial" w:hAnsi="Arial" w:eastAsia="Arial" w:cs="Arial"/>
          <w:noProof w:val="0"/>
          <w:sz w:val="22"/>
          <w:szCs w:val="22"/>
          <w:vertAlign w:val="superscript"/>
          <w:lang w:val="en-US"/>
        </w:rPr>
      </w:pPr>
      <w:r w:rsidRPr="4FD78DC9" w:rsidR="124AEFB4">
        <w:rPr>
          <w:rFonts w:ascii="Arial" w:hAnsi="Arial" w:eastAsia="Arial" w:cs="Arial"/>
          <w:noProof w:val="0"/>
          <w:sz w:val="22"/>
          <w:szCs w:val="22"/>
          <w:lang w:val="en-US"/>
        </w:rPr>
        <w:t>Immigration and Asylum Act 1999</w:t>
      </w:r>
      <w:r w:rsidRPr="4FD78DC9" w:rsidR="124AEFB4">
        <w:rPr>
          <w:rFonts w:ascii="Arial" w:hAnsi="Arial" w:eastAsia="Arial" w:cs="Arial"/>
          <w:noProof w:val="0"/>
          <w:sz w:val="22"/>
          <w:szCs w:val="22"/>
          <w:vertAlign w:val="superscript"/>
          <w:lang w:val="en-US"/>
        </w:rPr>
        <w:t xml:space="preserve"> 4</w:t>
      </w:r>
    </w:p>
    <w:p w:rsidR="124AEFB4" w:rsidP="4FD78DC9" w:rsidRDefault="124AEFB4" w14:paraId="1B4D50CC" w14:textId="4299DCA7">
      <w:pPr>
        <w:pStyle w:val="ListParagraph"/>
        <w:numPr>
          <w:ilvl w:val="0"/>
          <w:numId w:val="18"/>
        </w:numPr>
        <w:spacing w:before="0" w:beforeAutospacing="off" w:after="0" w:afterAutospacing="off"/>
        <w:rPr>
          <w:rFonts w:ascii="Arial" w:hAnsi="Arial" w:eastAsia="Arial" w:cs="Arial"/>
          <w:strike w:val="0"/>
          <w:dstrike w:val="0"/>
          <w:noProof w:val="0"/>
          <w:sz w:val="22"/>
          <w:szCs w:val="22"/>
          <w:vertAlign w:val="superscript"/>
          <w:lang w:val="en-US"/>
        </w:rPr>
      </w:pPr>
      <w:hyperlink r:id="R11eaa257f86b45ce">
        <w:r w:rsidRPr="4FD78DC9" w:rsidR="124AEFB4">
          <w:rPr>
            <w:rStyle w:val="Hyperlink"/>
            <w:rFonts w:ascii="Arial" w:hAnsi="Arial" w:eastAsia="Arial" w:cs="Arial"/>
            <w:strike w:val="0"/>
            <w:dstrike w:val="0"/>
            <w:noProof w:val="0"/>
            <w:sz w:val="22"/>
            <w:szCs w:val="22"/>
            <w:lang w:val="en-US"/>
          </w:rPr>
          <w:t xml:space="preserve">Local Government Act 2000 </w:t>
        </w:r>
        <w:r w:rsidRPr="4FD78DC9" w:rsidR="124AEFB4">
          <w:rPr>
            <w:rStyle w:val="Hyperlink"/>
            <w:rFonts w:ascii="Arial" w:hAnsi="Arial" w:eastAsia="Arial" w:cs="Arial"/>
            <w:strike w:val="0"/>
            <w:dstrike w:val="0"/>
            <w:noProof w:val="0"/>
            <w:sz w:val="22"/>
            <w:szCs w:val="22"/>
            <w:vertAlign w:val="superscript"/>
            <w:lang w:val="en-US"/>
          </w:rPr>
          <w:t>5</w:t>
        </w:r>
      </w:hyperlink>
    </w:p>
    <w:p w:rsidR="124AEFB4" w:rsidP="4FD78DC9" w:rsidRDefault="124AEFB4" w14:paraId="4D38BDEC" w14:textId="2C5F5E11">
      <w:pPr>
        <w:pStyle w:val="ListParagraph"/>
        <w:numPr>
          <w:ilvl w:val="0"/>
          <w:numId w:val="18"/>
        </w:numPr>
        <w:spacing w:before="0" w:beforeAutospacing="off" w:after="0" w:afterAutospacing="off"/>
        <w:rPr>
          <w:rFonts w:ascii="Arial" w:hAnsi="Arial" w:eastAsia="Arial" w:cs="Arial"/>
          <w:strike w:val="0"/>
          <w:dstrike w:val="0"/>
          <w:noProof w:val="0"/>
          <w:sz w:val="22"/>
          <w:szCs w:val="22"/>
          <w:vertAlign w:val="superscript"/>
          <w:lang w:val="en-US"/>
        </w:rPr>
      </w:pPr>
      <w:hyperlink r:id="R300d8e7ddfe04193">
        <w:r w:rsidRPr="4FD78DC9" w:rsidR="124AEFB4">
          <w:rPr>
            <w:rStyle w:val="Hyperlink"/>
            <w:rFonts w:ascii="Arial" w:hAnsi="Arial" w:eastAsia="Arial" w:cs="Arial"/>
            <w:strike w:val="0"/>
            <w:dstrike w:val="0"/>
            <w:noProof w:val="0"/>
            <w:sz w:val="22"/>
            <w:szCs w:val="22"/>
            <w:lang w:val="en-US"/>
          </w:rPr>
          <w:t>Nationality, Immigration and Asylum Act 2002</w:t>
        </w:r>
        <w:r w:rsidRPr="4FD78DC9" w:rsidR="124AEFB4">
          <w:rPr>
            <w:rStyle w:val="Hyperlink"/>
            <w:rFonts w:ascii="Arial" w:hAnsi="Arial" w:eastAsia="Arial" w:cs="Arial"/>
            <w:strike w:val="0"/>
            <w:dstrike w:val="0"/>
            <w:noProof w:val="0"/>
            <w:sz w:val="22"/>
            <w:szCs w:val="22"/>
            <w:vertAlign w:val="superscript"/>
            <w:lang w:val="en-US"/>
          </w:rPr>
          <w:t xml:space="preserve"> 6</w:t>
        </w:r>
      </w:hyperlink>
    </w:p>
    <w:p w:rsidR="124AEFB4" w:rsidP="4FD78DC9" w:rsidRDefault="124AEFB4" w14:paraId="1C345E47" w14:textId="3F5734E4">
      <w:pPr>
        <w:pStyle w:val="ListParagraph"/>
        <w:numPr>
          <w:ilvl w:val="0"/>
          <w:numId w:val="18"/>
        </w:numPr>
        <w:spacing w:before="0" w:beforeAutospacing="off" w:after="0" w:afterAutospacing="off"/>
        <w:rPr>
          <w:rFonts w:ascii="Arial" w:hAnsi="Arial" w:eastAsia="Arial" w:cs="Arial"/>
          <w:strike w:val="0"/>
          <w:dstrike w:val="0"/>
          <w:noProof w:val="0"/>
          <w:sz w:val="22"/>
          <w:szCs w:val="22"/>
          <w:vertAlign w:val="superscript"/>
          <w:lang w:val="en-US"/>
        </w:rPr>
      </w:pPr>
      <w:hyperlink r:id="R3722b67ec9ca4f76">
        <w:r w:rsidRPr="4FD78DC9" w:rsidR="124AEFB4">
          <w:rPr>
            <w:rStyle w:val="Hyperlink"/>
            <w:rFonts w:ascii="Arial" w:hAnsi="Arial" w:eastAsia="Arial" w:cs="Arial"/>
            <w:strike w:val="0"/>
            <w:dstrike w:val="0"/>
            <w:noProof w:val="0"/>
            <w:sz w:val="22"/>
            <w:szCs w:val="22"/>
            <w:lang w:val="en-US"/>
          </w:rPr>
          <w:t xml:space="preserve">Asylum and Immigration (Treatment of Claimants, etc.) Act 2004 </w:t>
        </w:r>
        <w:r w:rsidRPr="4FD78DC9" w:rsidR="124AEFB4">
          <w:rPr>
            <w:rStyle w:val="Hyperlink"/>
            <w:rFonts w:ascii="Arial" w:hAnsi="Arial" w:eastAsia="Arial" w:cs="Arial"/>
            <w:strike w:val="0"/>
            <w:dstrike w:val="0"/>
            <w:noProof w:val="0"/>
            <w:sz w:val="22"/>
            <w:szCs w:val="22"/>
            <w:vertAlign w:val="superscript"/>
            <w:lang w:val="en-US"/>
          </w:rPr>
          <w:t>7</w:t>
        </w:r>
      </w:hyperlink>
    </w:p>
    <w:p w:rsidR="124AEFB4" w:rsidP="4FD78DC9" w:rsidRDefault="124AEFB4" w14:paraId="3AD81231" w14:textId="5EF22C7B">
      <w:pPr>
        <w:pStyle w:val="ListParagraph"/>
        <w:numPr>
          <w:ilvl w:val="0"/>
          <w:numId w:val="18"/>
        </w:numPr>
        <w:spacing w:before="0" w:beforeAutospacing="off" w:after="0" w:afterAutospacing="off"/>
        <w:rPr>
          <w:rFonts w:ascii="Arial" w:hAnsi="Arial" w:eastAsia="Arial" w:cs="Arial"/>
          <w:strike w:val="0"/>
          <w:dstrike w:val="0"/>
          <w:noProof w:val="0"/>
          <w:sz w:val="22"/>
          <w:szCs w:val="22"/>
          <w:vertAlign w:val="superscript"/>
          <w:lang w:val="en-US"/>
        </w:rPr>
      </w:pPr>
      <w:hyperlink r:id="R2c223d13f80943e3">
        <w:r w:rsidRPr="4FD78DC9" w:rsidR="124AEFB4">
          <w:rPr>
            <w:rStyle w:val="Hyperlink"/>
            <w:rFonts w:ascii="Arial" w:hAnsi="Arial" w:eastAsia="Arial" w:cs="Arial"/>
            <w:strike w:val="0"/>
            <w:dstrike w:val="0"/>
            <w:noProof w:val="0"/>
            <w:sz w:val="22"/>
            <w:szCs w:val="22"/>
            <w:lang w:val="en-US"/>
          </w:rPr>
          <w:t xml:space="preserve">Department of Health, Social Services and Public Safety (2004) </w:t>
        </w:r>
        <w:r w:rsidRPr="4FD78DC9" w:rsidR="124AEFB4">
          <w:rPr>
            <w:rStyle w:val="Hyperlink"/>
            <w:rFonts w:ascii="Arial" w:hAnsi="Arial" w:eastAsia="Arial" w:cs="Arial"/>
            <w:strike w:val="0"/>
            <w:dstrike w:val="0"/>
            <w:noProof w:val="0"/>
            <w:sz w:val="22"/>
            <w:szCs w:val="22"/>
            <w:vertAlign w:val="superscript"/>
            <w:lang w:val="en-US"/>
          </w:rPr>
          <w:t>8</w:t>
        </w:r>
      </w:hyperlink>
    </w:p>
    <w:p w:rsidR="124AEFB4" w:rsidP="4FD78DC9" w:rsidRDefault="124AEFB4" w14:paraId="4DEAC115" w14:textId="3D1BF754">
      <w:pPr>
        <w:pStyle w:val="ListParagraph"/>
        <w:numPr>
          <w:ilvl w:val="0"/>
          <w:numId w:val="18"/>
        </w:numPr>
        <w:spacing w:before="0" w:beforeAutospacing="off" w:after="0" w:afterAutospacing="off"/>
        <w:rPr>
          <w:rFonts w:ascii="Arial" w:hAnsi="Arial" w:eastAsia="Arial" w:cs="Arial"/>
          <w:strike w:val="0"/>
          <w:dstrike w:val="0"/>
          <w:noProof w:val="0"/>
          <w:sz w:val="22"/>
          <w:szCs w:val="22"/>
          <w:vertAlign w:val="superscript"/>
          <w:lang w:val="en-US"/>
        </w:rPr>
      </w:pPr>
      <w:hyperlink r:id="R8805d7c2495845d8">
        <w:r w:rsidRPr="4FD78DC9" w:rsidR="124AEFB4">
          <w:rPr>
            <w:rStyle w:val="Hyperlink"/>
            <w:rFonts w:ascii="Arial" w:hAnsi="Arial" w:eastAsia="Arial" w:cs="Arial"/>
            <w:strike w:val="0"/>
            <w:dstrike w:val="0"/>
            <w:noProof w:val="0"/>
            <w:sz w:val="22"/>
            <w:szCs w:val="22"/>
            <w:lang w:val="en-US"/>
          </w:rPr>
          <w:t xml:space="preserve">Borders, Citizenship, and Immigration Act 2009 </w:t>
        </w:r>
        <w:r w:rsidRPr="4FD78DC9" w:rsidR="124AEFB4">
          <w:rPr>
            <w:rStyle w:val="Hyperlink"/>
            <w:rFonts w:ascii="Arial" w:hAnsi="Arial" w:eastAsia="Arial" w:cs="Arial"/>
            <w:strike w:val="0"/>
            <w:dstrike w:val="0"/>
            <w:noProof w:val="0"/>
            <w:sz w:val="22"/>
            <w:szCs w:val="22"/>
            <w:vertAlign w:val="superscript"/>
            <w:lang w:val="en-US"/>
          </w:rPr>
          <w:t>9</w:t>
        </w:r>
      </w:hyperlink>
    </w:p>
    <w:p w:rsidR="124AEFB4" w:rsidP="4FD78DC9" w:rsidRDefault="124AEFB4" w14:paraId="7ED6AC7A" w14:textId="0B3055C2">
      <w:pPr>
        <w:pStyle w:val="ListParagraph"/>
        <w:numPr>
          <w:ilvl w:val="0"/>
          <w:numId w:val="18"/>
        </w:numPr>
        <w:spacing w:before="0" w:beforeAutospacing="off" w:after="0" w:afterAutospacing="off"/>
        <w:rPr>
          <w:rFonts w:ascii="Arial" w:hAnsi="Arial" w:eastAsia="Arial" w:cs="Arial"/>
          <w:strike w:val="0"/>
          <w:dstrike w:val="0"/>
          <w:noProof w:val="0"/>
          <w:sz w:val="22"/>
          <w:szCs w:val="22"/>
          <w:vertAlign w:val="superscript"/>
          <w:lang w:val="en-US"/>
        </w:rPr>
      </w:pPr>
      <w:hyperlink r:id="Rbdb0a83d94664f5c">
        <w:r w:rsidRPr="4FD78DC9" w:rsidR="124AEFB4">
          <w:rPr>
            <w:rStyle w:val="Hyperlink"/>
            <w:rFonts w:ascii="Arial" w:hAnsi="Arial" w:eastAsia="Arial" w:cs="Arial"/>
            <w:strike w:val="0"/>
            <w:dstrike w:val="0"/>
            <w:noProof w:val="0"/>
            <w:sz w:val="22"/>
            <w:szCs w:val="22"/>
            <w:lang w:val="en-US"/>
          </w:rPr>
          <w:t xml:space="preserve">Equality Act 2010 </w:t>
        </w:r>
        <w:r w:rsidRPr="4FD78DC9" w:rsidR="124AEFB4">
          <w:rPr>
            <w:rStyle w:val="Hyperlink"/>
            <w:rFonts w:ascii="Arial" w:hAnsi="Arial" w:eastAsia="Arial" w:cs="Arial"/>
            <w:strike w:val="0"/>
            <w:dstrike w:val="0"/>
            <w:noProof w:val="0"/>
            <w:sz w:val="22"/>
            <w:szCs w:val="22"/>
            <w:vertAlign w:val="superscript"/>
            <w:lang w:val="en-US"/>
          </w:rPr>
          <w:t>10</w:t>
        </w:r>
      </w:hyperlink>
    </w:p>
    <w:p w:rsidR="124AEFB4" w:rsidP="4FD78DC9" w:rsidRDefault="124AEFB4" w14:paraId="44EAF908" w14:textId="66B32B7D">
      <w:pPr>
        <w:spacing w:line="276" w:lineRule="auto"/>
      </w:pPr>
      <w:r w:rsidRPr="4FD78DC9" w:rsidR="124AEFB4">
        <w:rPr>
          <w:rFonts w:ascii="Arial" w:hAnsi="Arial" w:eastAsia="Arial" w:cs="Arial"/>
          <w:noProof w:val="0"/>
          <w:sz w:val="36"/>
          <w:szCs w:val="36"/>
          <w:vertAlign w:val="superscript"/>
          <w:lang w:val="en-US"/>
        </w:rPr>
        <w:t>These issues need to be considered when receiving or transferring NRPF cases</w:t>
      </w:r>
      <w:r w:rsidRPr="4FD78DC9" w:rsidR="124AEFB4">
        <w:rPr>
          <w:noProof w:val="0"/>
          <w:lang w:val="en-US"/>
        </w:rPr>
        <w:t xml:space="preserve"> </w:t>
      </w:r>
    </w:p>
    <w:p w:rsidR="124AEFB4" w:rsidRDefault="124AEFB4" w14:paraId="0284ABAE" w14:textId="1173CA9D">
      <w:r>
        <w:br/>
      </w:r>
    </w:p>
    <w:p w:rsidR="4FD78DC9" w:rsidP="4FD78DC9" w:rsidRDefault="4FD78DC9" w14:paraId="393FD4E9" w14:textId="38DD45CD">
      <w:pPr>
        <w:pStyle w:val="Normal"/>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4">
    <w:nsid w:val="21ded3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a19db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a42e9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04f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72d8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84bb4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a7bf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92e3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fefa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5a2bb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52fb1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de8f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a487d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491d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627a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3be67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0ef35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d596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b9385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510a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8a4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e396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3f52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e7b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DDFB1F"/>
    <w:rsid w:val="124AEFB4"/>
    <w:rsid w:val="4073B83E"/>
    <w:rsid w:val="43870CAE"/>
    <w:rsid w:val="4FD78DC9"/>
    <w:rsid w:val="77DDF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FB1F"/>
  <w15:chartTrackingRefBased/>
  <w15:docId w15:val="{2E54294D-1EB2-446B-9B69-386DD979D0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2c223d13f80943e3" Type="http://schemas.openxmlformats.org/officeDocument/2006/relationships/hyperlink" Target="http://www.dhsspsni.gov.uk/asguidanceprint.pdf" TargetMode="External"/><Relationship Id="rId8" Type="http://schemas.openxmlformats.org/officeDocument/2006/relationships/customXml" Target="../customXml/item3.xml"/><Relationship Id="rId3" Type="http://schemas.openxmlformats.org/officeDocument/2006/relationships/webSettings" Target="webSettings.xml"/><Relationship Id="R300d8e7ddfe04193" Type="http://schemas.openxmlformats.org/officeDocument/2006/relationships/hyperlink" Target="http://www.opsi.gov.uk/acts/acts2002/ukpga_20020041_en_1" TargetMode="External"/><Relationship Id="Rbdb0a83d94664f5c" Type="http://schemas.openxmlformats.org/officeDocument/2006/relationships/hyperlink" Target="http://www.legislation.gov.uk/ukpga/2010/15/contents" TargetMode="External"/><Relationship Id="rId7" Type="http://schemas.openxmlformats.org/officeDocument/2006/relationships/customXml" Target="../customXml/item2.xml"/><Relationship Id="rId2" Type="http://schemas.openxmlformats.org/officeDocument/2006/relationships/settings" Target="settings.xml"/><Relationship Id="R11eaa257f86b45ce" Type="http://schemas.openxmlformats.org/officeDocument/2006/relationships/hyperlink" Target="http://www.opsi.gov.uk/Acts/acts2000/ukpga_20000022_en_1" TargetMode="External"/><Relationship Id="R8805d7c2495845d8" Type="http://schemas.openxmlformats.org/officeDocument/2006/relationships/hyperlink" Target="http://www.legislation.gov.uk/ukpga/2009/11/contents"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c95e84b712694895" Type="http://schemas.openxmlformats.org/officeDocument/2006/relationships/numbering" Target="numbering.xml"/><Relationship Id="rId4" Type="http://schemas.openxmlformats.org/officeDocument/2006/relationships/fontTable" Target="fontTable.xml"/><Relationship Id="R3722b67ec9ca4f76" Type="http://schemas.openxmlformats.org/officeDocument/2006/relationships/hyperlink" Target="http://www.opsi.gov.uk/ACTS/acts2004/ukpga_20040019_en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BDE75156B7F4CA22238E871FFB674" ma:contentTypeVersion="5" ma:contentTypeDescription="Create a new document." ma:contentTypeScope="" ma:versionID="adc9b4a366ebbed24e316224324ca523">
  <xsd:schema xmlns:xsd="http://www.w3.org/2001/XMLSchema" xmlns:xs="http://www.w3.org/2001/XMLSchema" xmlns:p="http://schemas.microsoft.com/office/2006/metadata/properties" xmlns:ns2="d631bd51-4307-438d-b205-60f89387361b" xmlns:ns3="182c8f95-4b42-4fd5-aa69-5c9f7cdc8213" targetNamespace="http://schemas.microsoft.com/office/2006/metadata/properties" ma:root="true" ma:fieldsID="ab6f4ced91fdedc1cb9dbd3783475869" ns2:_="" ns3:_="">
    <xsd:import namespace="d631bd51-4307-438d-b205-60f89387361b"/>
    <xsd:import namespace="182c8f95-4b42-4fd5-aa69-5c9f7cdc82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1bd51-4307-438d-b205-60f893873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c8f95-4b42-4fd5-aa69-5c9f7cdc82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215D5-B232-45AC-8119-2B3EFE24E6AD}"/>
</file>

<file path=customXml/itemProps2.xml><?xml version="1.0" encoding="utf-8"?>
<ds:datastoreItem xmlns:ds="http://schemas.openxmlformats.org/officeDocument/2006/customXml" ds:itemID="{11CE9B42-55AB-4290-8E25-D7F6880D177F}"/>
</file>

<file path=customXml/itemProps3.xml><?xml version="1.0" encoding="utf-8"?>
<ds:datastoreItem xmlns:ds="http://schemas.openxmlformats.org/officeDocument/2006/customXml" ds:itemID="{1EAE12F3-EDF6-4A94-AB43-0D845533EF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Akuamoah</dc:creator>
  <cp:keywords/>
  <dc:description/>
  <cp:lastModifiedBy>Ann Akuamoah</cp:lastModifiedBy>
  <dcterms:created xsi:type="dcterms:W3CDTF">2023-09-04T15:12:22Z</dcterms:created>
  <dcterms:modified xsi:type="dcterms:W3CDTF">2023-09-04T15:13:26Z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0x010100542BDE75156B7F4CA22238E871FFB674</vt:lpwstr>
  </property>
</Properties>
</file>