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69" w:rsidRPr="00255C41" w:rsidRDefault="000C453C" w:rsidP="00E65E6E">
      <w:pPr>
        <w:rPr>
          <w:b/>
        </w:rPr>
      </w:pPr>
      <w:r w:rsidRPr="000C453C">
        <w:t xml:space="preserve">This </w:t>
      </w:r>
      <w:proofErr w:type="spellStart"/>
      <w:r w:rsidRPr="000C453C">
        <w:t>proforma</w:t>
      </w:r>
      <w:proofErr w:type="spellEnd"/>
      <w:r w:rsidRPr="000C453C">
        <w:t xml:space="preserve"> should be used as a record of the staff member's COVID risk assessment and follow-up actions.  </w:t>
      </w:r>
      <w:r w:rsidRPr="00255C41">
        <w:rPr>
          <w:b/>
        </w:rPr>
        <w:t>It should be reviewed should any of the individual or workplace risk factors change</w:t>
      </w:r>
      <w:r w:rsidR="00CC1FDF">
        <w:rPr>
          <w:b/>
        </w:rPr>
        <w:t>, such as a change in tasks/duties or health condition, age bracket</w:t>
      </w:r>
      <w:r w:rsidRPr="00255C41">
        <w:rPr>
          <w:b/>
        </w:rPr>
        <w:t xml:space="preserve">.  </w:t>
      </w:r>
    </w:p>
    <w:p w:rsidR="000C453C" w:rsidRDefault="000C453C" w:rsidP="000C453C">
      <w:r>
        <w:t>Shielding (‘extremely vulnerable’) staff do not need to be risk assessed, and neither do pregnant women over 28 weeks of gestation, as they should work from home only.</w:t>
      </w:r>
    </w:p>
    <w:p w:rsidR="000C453C" w:rsidRDefault="000C453C" w:rsidP="00255C41">
      <w:r>
        <w:t>Managers should work through the risk ass</w:t>
      </w:r>
      <w:r w:rsidR="00255C41">
        <w:t>essment with their team member.</w:t>
      </w:r>
    </w:p>
    <w:p w:rsidR="000C453C" w:rsidRDefault="00255C41" w:rsidP="000C453C">
      <w:r>
        <w:t xml:space="preserve">Human Resources or </w:t>
      </w:r>
      <w:r w:rsidR="000C453C">
        <w:t>Health and Safety should be contacted if:</w:t>
      </w:r>
    </w:p>
    <w:p w:rsidR="000C453C" w:rsidRDefault="000C453C" w:rsidP="000C453C">
      <w:pPr>
        <w:pStyle w:val="squarebullets"/>
      </w:pPr>
      <w:r>
        <w:t>A manager is unsure about how to ‘score’ a person they manage for any reason</w:t>
      </w:r>
    </w:p>
    <w:p w:rsidR="000C453C" w:rsidRDefault="000C453C" w:rsidP="000C453C">
      <w:pPr>
        <w:pStyle w:val="squarebullets"/>
      </w:pPr>
      <w:r>
        <w:t xml:space="preserve">A staff member prefers to speak directly to </w:t>
      </w:r>
      <w:r w:rsidR="00255C41">
        <w:t>an independent person</w:t>
      </w:r>
      <w:r w:rsidR="00CC1FDF">
        <w:t xml:space="preserve"> rather than their</w:t>
      </w:r>
      <w:r>
        <w:t xml:space="preserve"> manager about a health condition</w:t>
      </w:r>
    </w:p>
    <w:p w:rsidR="000C453C" w:rsidRDefault="000C453C" w:rsidP="000C453C">
      <w:r>
        <w:t xml:space="preserve">Occupational Health may also be able to </w:t>
      </w:r>
      <w:proofErr w:type="gramStart"/>
      <w:r>
        <w:t>advise</w:t>
      </w:r>
      <w:proofErr w:type="gramEnd"/>
      <w:r>
        <w:t xml:space="preserve"> on elements of a person’s health and may be consulted if the staff member feels they have a severe condition which is not recognised in the risk assessment.</w:t>
      </w:r>
    </w:p>
    <w:p w:rsidR="00B93041" w:rsidRDefault="00B93041" w:rsidP="00B93041">
      <w:pPr>
        <w:pStyle w:val="largeprinttext"/>
        <w:framePr w:wrap="around"/>
      </w:pPr>
      <w:r>
        <w:t>Mental Health and Wellbeing Support</w:t>
      </w:r>
    </w:p>
    <w:p w:rsidR="00B93041" w:rsidRDefault="00B93041">
      <w:pPr>
        <w:spacing w:line="264" w:lineRule="auto"/>
      </w:pPr>
    </w:p>
    <w:p w:rsidR="00B93041" w:rsidRDefault="00B93041">
      <w:pPr>
        <w:spacing w:line="264" w:lineRule="auto"/>
      </w:pPr>
    </w:p>
    <w:p w:rsidR="00B93041" w:rsidRDefault="00B93041">
      <w:pPr>
        <w:spacing w:line="264" w:lineRule="auto"/>
      </w:pPr>
      <w:r>
        <w:t>The risk assessment tool does not identify mental health conditions as factors when assessing an individual’s risk in returning to the workplace.  It is recognised that some staff may be feeling anxious or concerned about their return and this may exacerbate underlying mental health conditions or create new concerns or worries.  In this case, this should discussed wherever possible and the employee should be encouraged to openly discuss their concerns or worries where they feel able to so that the right support can b</w:t>
      </w:r>
      <w:r w:rsidR="00661B73">
        <w:t>e p</w:t>
      </w:r>
      <w:r>
        <w:t xml:space="preserve">ut into place.  This could be a stress risk assessment or use of a Wellness Action Plan, other support such as counselling or coaching is also available, </w:t>
      </w:r>
      <w:r w:rsidR="00661B73">
        <w:t>for more about information staff support</w:t>
      </w:r>
      <w:r>
        <w:t xml:space="preserve"> information can be accessed </w:t>
      </w:r>
      <w:hyperlink r:id="rId8" w:history="1">
        <w:r w:rsidRPr="00B93041">
          <w:rPr>
            <w:rStyle w:val="Hyperlink"/>
          </w:rPr>
          <w:t>here</w:t>
        </w:r>
      </w:hyperlink>
      <w:r>
        <w:t xml:space="preserve">.  </w:t>
      </w:r>
    </w:p>
    <w:p w:rsidR="00B93041" w:rsidRDefault="00B93041">
      <w:pPr>
        <w:spacing w:line="264" w:lineRule="auto"/>
      </w:pPr>
      <w:r>
        <w:t xml:space="preserve">A Manager’s Toolkit has been developed </w:t>
      </w:r>
      <w:r w:rsidR="00661B73">
        <w:t>which includes</w:t>
      </w:r>
      <w:r>
        <w:t xml:space="preserve"> </w:t>
      </w:r>
      <w:r w:rsidR="00661B73">
        <w:t>practical</w:t>
      </w:r>
      <w:r>
        <w:t xml:space="preserve"> advice and guidance for managers</w:t>
      </w:r>
      <w:r w:rsidR="00661B73">
        <w:t>, including support for starting wellbeing conversations, stress risk assessment tool and Wellness Action Plan</w:t>
      </w:r>
      <w:r>
        <w:t xml:space="preserve"> and </w:t>
      </w:r>
      <w:r w:rsidR="00661B73">
        <w:t xml:space="preserve">can be accessed </w:t>
      </w:r>
      <w:hyperlink r:id="rId9" w:history="1">
        <w:r w:rsidR="00661B73" w:rsidRPr="00661B73">
          <w:rPr>
            <w:rStyle w:val="Hyperlink"/>
          </w:rPr>
          <w:t>here</w:t>
        </w:r>
      </w:hyperlink>
      <w:r w:rsidR="00661B73">
        <w:t>.</w:t>
      </w:r>
    </w:p>
    <w:p w:rsidR="00661B73" w:rsidRDefault="00B93041">
      <w:pPr>
        <w:spacing w:line="264" w:lineRule="auto"/>
      </w:pPr>
      <w:r>
        <w:t xml:space="preserve">If </w:t>
      </w:r>
      <w:r w:rsidR="00661B73">
        <w:t>the individual isn’t</w:t>
      </w:r>
      <w:r>
        <w:t xml:space="preserve"> comfortable in having </w:t>
      </w:r>
      <w:r w:rsidR="00661B73">
        <w:t xml:space="preserve">a </w:t>
      </w:r>
      <w:r>
        <w:t xml:space="preserve">discussion </w:t>
      </w:r>
      <w:r w:rsidR="00661B73">
        <w:t xml:space="preserve">with their manager regarding their wellbeing, they should contact Human Resources for further advice: </w:t>
      </w:r>
      <w:hyperlink r:id="rId10" w:history="1">
        <w:r w:rsidR="00661B73" w:rsidRPr="0064660E">
          <w:rPr>
            <w:rStyle w:val="Hyperlink"/>
          </w:rPr>
          <w:t>operationalHR@torbay.gov.uk</w:t>
        </w:r>
      </w:hyperlink>
      <w:r w:rsidR="00661B73">
        <w:t xml:space="preserve">  The Council’s Wellbeing Supporters can also be contacted for an initial discussion or for signposting to mental health support, further details can be found </w:t>
      </w:r>
      <w:hyperlink r:id="rId11" w:history="1">
        <w:r w:rsidR="00661B73" w:rsidRPr="00661B73">
          <w:rPr>
            <w:rStyle w:val="Hyperlink"/>
          </w:rPr>
          <w:t>here</w:t>
        </w:r>
      </w:hyperlink>
      <w:r w:rsidR="00661B73">
        <w:t>.</w:t>
      </w:r>
    </w:p>
    <w:p w:rsidR="000C453C" w:rsidRDefault="00B93041">
      <w:pPr>
        <w:spacing w:line="264" w:lineRule="auto"/>
      </w:pPr>
      <w:r>
        <w:t xml:space="preserve">  </w:t>
      </w:r>
      <w:r w:rsidR="000C453C">
        <w:br w:type="page"/>
      </w:r>
    </w:p>
    <w:tbl>
      <w:tblPr>
        <w:tblStyle w:val="GridTable2-Accent1"/>
        <w:tblW w:w="0" w:type="auto"/>
        <w:tblCellMar>
          <w:top w:w="113" w:type="dxa"/>
          <w:bottom w:w="113" w:type="dxa"/>
        </w:tblCellMar>
        <w:tblLook w:val="04A0" w:firstRow="1" w:lastRow="0" w:firstColumn="1" w:lastColumn="0" w:noHBand="0" w:noVBand="1"/>
      </w:tblPr>
      <w:tblGrid>
        <w:gridCol w:w="10456"/>
      </w:tblGrid>
      <w:tr w:rsidR="000C453C" w:rsidRPr="000C453C" w:rsidTr="000C4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0C453C" w:rsidRPr="000C453C" w:rsidRDefault="000C453C" w:rsidP="00392F3C">
            <w:r w:rsidRPr="000C453C">
              <w:lastRenderedPageBreak/>
              <w:t>Date risk assessment completed:</w:t>
            </w:r>
            <w:r w:rsidRPr="000C453C">
              <w:tab/>
              <w:t xml:space="preserve"> </w:t>
            </w:r>
          </w:p>
        </w:tc>
      </w:tr>
      <w:tr w:rsidR="000C453C" w:rsidRPr="000C453C" w:rsidTr="000C4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0C453C" w:rsidRPr="000C453C" w:rsidRDefault="000C453C" w:rsidP="00392F3C">
            <w:r w:rsidRPr="000C453C">
              <w:t>Risk assessment completed by:</w:t>
            </w:r>
            <w:r w:rsidRPr="000C453C">
              <w:tab/>
            </w:r>
          </w:p>
        </w:tc>
      </w:tr>
      <w:tr w:rsidR="000C453C" w:rsidRPr="000C453C" w:rsidTr="000C453C">
        <w:tc>
          <w:tcPr>
            <w:cnfStyle w:val="001000000000" w:firstRow="0" w:lastRow="0" w:firstColumn="1" w:lastColumn="0" w:oddVBand="0" w:evenVBand="0" w:oddHBand="0" w:evenHBand="0" w:firstRowFirstColumn="0" w:firstRowLastColumn="0" w:lastRowFirstColumn="0" w:lastRowLastColumn="0"/>
            <w:tcW w:w="10456" w:type="dxa"/>
          </w:tcPr>
          <w:p w:rsidR="000C453C" w:rsidRPr="000C453C" w:rsidRDefault="000C453C" w:rsidP="00392F3C">
            <w:r w:rsidRPr="000C453C">
              <w:t>Line Manager:</w:t>
            </w:r>
            <w:r w:rsidRPr="000C453C">
              <w:tab/>
            </w:r>
          </w:p>
        </w:tc>
      </w:tr>
      <w:tr w:rsidR="000C453C" w:rsidRPr="000C453C" w:rsidTr="000C4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0C453C" w:rsidRPr="000C453C" w:rsidRDefault="000C453C" w:rsidP="00392F3C">
            <w:r w:rsidRPr="000C453C">
              <w:t>Employee:</w:t>
            </w:r>
            <w:r w:rsidRPr="000C453C">
              <w:tab/>
            </w:r>
          </w:p>
        </w:tc>
      </w:tr>
      <w:tr w:rsidR="000C453C" w:rsidRPr="000C453C" w:rsidTr="000C453C">
        <w:tc>
          <w:tcPr>
            <w:cnfStyle w:val="001000000000" w:firstRow="0" w:lastRow="0" w:firstColumn="1" w:lastColumn="0" w:oddVBand="0" w:evenVBand="0" w:oddHBand="0" w:evenHBand="0" w:firstRowFirstColumn="0" w:firstRowLastColumn="0" w:lastRowFirstColumn="0" w:lastRowLastColumn="0"/>
            <w:tcW w:w="10456" w:type="dxa"/>
          </w:tcPr>
          <w:p w:rsidR="000C453C" w:rsidRPr="000C453C" w:rsidRDefault="000C453C" w:rsidP="00392F3C">
            <w:r w:rsidRPr="000C453C">
              <w:t>Service area:</w:t>
            </w:r>
            <w:r w:rsidRPr="000C453C">
              <w:tab/>
            </w:r>
          </w:p>
        </w:tc>
      </w:tr>
      <w:tr w:rsidR="000C453C" w:rsidRPr="000C453C" w:rsidTr="000C4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0C453C" w:rsidRPr="000C453C" w:rsidRDefault="000C453C" w:rsidP="00392F3C">
            <w:r w:rsidRPr="000C453C">
              <w:t>Job role</w:t>
            </w:r>
            <w:r w:rsidR="006A729E">
              <w:t>:</w:t>
            </w:r>
            <w:r w:rsidRPr="000C453C">
              <w:tab/>
            </w:r>
          </w:p>
        </w:tc>
      </w:tr>
      <w:tr w:rsidR="006A729E" w:rsidRPr="000C453C" w:rsidTr="000C453C">
        <w:tc>
          <w:tcPr>
            <w:cnfStyle w:val="001000000000" w:firstRow="0" w:lastRow="0" w:firstColumn="1" w:lastColumn="0" w:oddVBand="0" w:evenVBand="0" w:oddHBand="0" w:evenHBand="0" w:firstRowFirstColumn="0" w:firstRowLastColumn="0" w:lastRowFirstColumn="0" w:lastRowLastColumn="0"/>
            <w:tcW w:w="10456" w:type="dxa"/>
          </w:tcPr>
          <w:p w:rsidR="006A729E" w:rsidRPr="000C453C" w:rsidRDefault="006A729E" w:rsidP="00392F3C">
            <w:r>
              <w:t>Work location:</w:t>
            </w:r>
          </w:p>
        </w:tc>
      </w:tr>
      <w:tr w:rsidR="006A729E" w:rsidRPr="000C453C" w:rsidTr="000C4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A729E" w:rsidRDefault="006A729E" w:rsidP="006A729E">
            <w:r>
              <w:t>Shift pattern/working days:</w:t>
            </w:r>
          </w:p>
        </w:tc>
      </w:tr>
      <w:tr w:rsidR="006A729E" w:rsidRPr="000C453C" w:rsidTr="000C453C">
        <w:tc>
          <w:tcPr>
            <w:cnfStyle w:val="001000000000" w:firstRow="0" w:lastRow="0" w:firstColumn="1" w:lastColumn="0" w:oddVBand="0" w:evenVBand="0" w:oddHBand="0" w:evenHBand="0" w:firstRowFirstColumn="0" w:firstRowLastColumn="0" w:lastRowFirstColumn="0" w:lastRowLastColumn="0"/>
            <w:tcW w:w="10456" w:type="dxa"/>
          </w:tcPr>
          <w:p w:rsidR="006A729E" w:rsidRDefault="006A729E" w:rsidP="006A729E">
            <w:r>
              <w:t>Review date (where applicable):</w:t>
            </w:r>
          </w:p>
        </w:tc>
      </w:tr>
    </w:tbl>
    <w:p w:rsidR="000C453C" w:rsidRDefault="000C453C" w:rsidP="000C453C"/>
    <w:tbl>
      <w:tblPr>
        <w:tblStyle w:val="TableGrid"/>
        <w:tblW w:w="0" w:type="auto"/>
        <w:tblLook w:val="04A0" w:firstRow="1" w:lastRow="0" w:firstColumn="1" w:lastColumn="0" w:noHBand="0" w:noVBand="1"/>
      </w:tblPr>
      <w:tblGrid>
        <w:gridCol w:w="8364"/>
        <w:gridCol w:w="2092"/>
      </w:tblGrid>
      <w:tr w:rsidR="000C453C" w:rsidTr="00845BB8">
        <w:tc>
          <w:tcPr>
            <w:tcW w:w="8364" w:type="dxa"/>
            <w:tcBorders>
              <w:top w:val="nil"/>
              <w:left w:val="nil"/>
              <w:bottom w:val="nil"/>
              <w:right w:val="single" w:sz="4" w:space="0" w:color="808080" w:themeColor="background1" w:themeShade="80"/>
            </w:tcBorders>
          </w:tcPr>
          <w:p w:rsidR="000C453C" w:rsidRDefault="000C453C" w:rsidP="000C453C">
            <w:r>
              <w:t>Total number of individual risk factors (identified from ‘Box 1’)</w:t>
            </w:r>
          </w:p>
          <w:p w:rsidR="000C453C" w:rsidRDefault="000C453C" w:rsidP="000C453C">
            <w:r>
              <w:t>of the Staff Risk Assessment Tool</w:t>
            </w:r>
          </w:p>
        </w:tc>
        <w:tc>
          <w:tcPr>
            <w:tcW w:w="2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C453C" w:rsidRDefault="000C453C" w:rsidP="000C453C"/>
        </w:tc>
      </w:tr>
    </w:tbl>
    <w:p w:rsidR="000C453C" w:rsidRDefault="000C453C" w:rsidP="000C453C">
      <w:r>
        <w:t>Individual Risk Category (highlight)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4"/>
        <w:gridCol w:w="2614"/>
        <w:gridCol w:w="2614"/>
        <w:gridCol w:w="2614"/>
      </w:tblGrid>
      <w:tr w:rsidR="000C453C" w:rsidTr="00845BB8">
        <w:tc>
          <w:tcPr>
            <w:tcW w:w="2614" w:type="dxa"/>
          </w:tcPr>
          <w:p w:rsidR="000C453C" w:rsidRDefault="000C453C" w:rsidP="000C453C">
            <w:pPr>
              <w:jc w:val="center"/>
            </w:pPr>
            <w:r>
              <w:t>Higher</w:t>
            </w:r>
          </w:p>
        </w:tc>
        <w:tc>
          <w:tcPr>
            <w:tcW w:w="2614" w:type="dxa"/>
          </w:tcPr>
          <w:p w:rsidR="000C453C" w:rsidRDefault="000C453C" w:rsidP="000C453C">
            <w:pPr>
              <w:jc w:val="center"/>
            </w:pPr>
            <w:r>
              <w:t>Medium High</w:t>
            </w:r>
          </w:p>
        </w:tc>
        <w:tc>
          <w:tcPr>
            <w:tcW w:w="2614" w:type="dxa"/>
          </w:tcPr>
          <w:p w:rsidR="000C453C" w:rsidRDefault="000C453C" w:rsidP="000C453C">
            <w:pPr>
              <w:jc w:val="center"/>
            </w:pPr>
            <w:r>
              <w:t>Medium Low</w:t>
            </w:r>
          </w:p>
        </w:tc>
        <w:tc>
          <w:tcPr>
            <w:tcW w:w="2614" w:type="dxa"/>
          </w:tcPr>
          <w:p w:rsidR="000C453C" w:rsidRDefault="000C453C" w:rsidP="000C453C">
            <w:pPr>
              <w:jc w:val="center"/>
            </w:pPr>
            <w:r>
              <w:t>Lower</w:t>
            </w:r>
          </w:p>
        </w:tc>
      </w:tr>
    </w:tbl>
    <w:p w:rsidR="000C453C" w:rsidRDefault="000C453C" w:rsidP="000C453C"/>
    <w:p w:rsidR="000C453C" w:rsidRDefault="000C453C" w:rsidP="000C453C">
      <w:r>
        <w:t>NB further medical advice may be sought from Occupational Health if the conditions are complex, high risk, or if employee prefers to speak to OH over a manager.</w:t>
      </w:r>
    </w:p>
    <w:p w:rsidR="000C453C" w:rsidRDefault="000C453C" w:rsidP="000C453C"/>
    <w:p w:rsidR="000C453C" w:rsidRDefault="000C453C" w:rsidP="000C453C">
      <w:r>
        <w:t>Highest Workplace Risk Category (highlight)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1"/>
        <w:gridCol w:w="1161"/>
        <w:gridCol w:w="1162"/>
        <w:gridCol w:w="1162"/>
        <w:gridCol w:w="1162"/>
        <w:gridCol w:w="1162"/>
        <w:gridCol w:w="1162"/>
        <w:gridCol w:w="1162"/>
        <w:gridCol w:w="1162"/>
      </w:tblGrid>
      <w:tr w:rsidR="000C453C" w:rsidTr="00845BB8">
        <w:tc>
          <w:tcPr>
            <w:tcW w:w="1161" w:type="dxa"/>
          </w:tcPr>
          <w:p w:rsidR="000C453C" w:rsidRDefault="000C453C" w:rsidP="000C453C">
            <w:pPr>
              <w:jc w:val="center"/>
            </w:pPr>
            <w:r>
              <w:t>1</w:t>
            </w:r>
          </w:p>
        </w:tc>
        <w:tc>
          <w:tcPr>
            <w:tcW w:w="1161" w:type="dxa"/>
          </w:tcPr>
          <w:p w:rsidR="000C453C" w:rsidRDefault="000C453C" w:rsidP="000C453C">
            <w:pPr>
              <w:jc w:val="center"/>
            </w:pPr>
            <w:r>
              <w:t>2</w:t>
            </w:r>
          </w:p>
        </w:tc>
        <w:tc>
          <w:tcPr>
            <w:tcW w:w="1162" w:type="dxa"/>
          </w:tcPr>
          <w:p w:rsidR="000C453C" w:rsidRDefault="000C453C" w:rsidP="000C453C">
            <w:pPr>
              <w:jc w:val="center"/>
            </w:pPr>
            <w:r>
              <w:t>3</w:t>
            </w:r>
          </w:p>
        </w:tc>
        <w:tc>
          <w:tcPr>
            <w:tcW w:w="1162" w:type="dxa"/>
          </w:tcPr>
          <w:p w:rsidR="000C453C" w:rsidRDefault="000C453C" w:rsidP="000C453C">
            <w:pPr>
              <w:jc w:val="center"/>
            </w:pPr>
            <w:r>
              <w:t>4</w:t>
            </w:r>
          </w:p>
        </w:tc>
        <w:tc>
          <w:tcPr>
            <w:tcW w:w="1162" w:type="dxa"/>
          </w:tcPr>
          <w:p w:rsidR="000C453C" w:rsidRDefault="000C453C" w:rsidP="000C453C">
            <w:pPr>
              <w:jc w:val="center"/>
            </w:pPr>
            <w:r>
              <w:t>5</w:t>
            </w:r>
          </w:p>
        </w:tc>
        <w:tc>
          <w:tcPr>
            <w:tcW w:w="1162" w:type="dxa"/>
          </w:tcPr>
          <w:p w:rsidR="000C453C" w:rsidRDefault="000C453C" w:rsidP="000C453C">
            <w:pPr>
              <w:jc w:val="center"/>
            </w:pPr>
            <w:r>
              <w:t>6</w:t>
            </w:r>
          </w:p>
        </w:tc>
        <w:tc>
          <w:tcPr>
            <w:tcW w:w="1162" w:type="dxa"/>
          </w:tcPr>
          <w:p w:rsidR="000C453C" w:rsidRDefault="000C453C" w:rsidP="000C453C">
            <w:pPr>
              <w:jc w:val="center"/>
            </w:pPr>
            <w:r>
              <w:t>7</w:t>
            </w:r>
          </w:p>
        </w:tc>
        <w:tc>
          <w:tcPr>
            <w:tcW w:w="1162" w:type="dxa"/>
          </w:tcPr>
          <w:p w:rsidR="000C453C" w:rsidRDefault="000C453C" w:rsidP="000C453C">
            <w:pPr>
              <w:jc w:val="center"/>
            </w:pPr>
            <w:r>
              <w:t>8</w:t>
            </w:r>
          </w:p>
        </w:tc>
        <w:tc>
          <w:tcPr>
            <w:tcW w:w="1162" w:type="dxa"/>
          </w:tcPr>
          <w:p w:rsidR="000C453C" w:rsidRDefault="000C453C" w:rsidP="000C453C">
            <w:pPr>
              <w:jc w:val="center"/>
            </w:pPr>
            <w:r>
              <w:t>9</w:t>
            </w:r>
          </w:p>
        </w:tc>
      </w:tr>
    </w:tbl>
    <w:p w:rsidR="000C453C" w:rsidRDefault="000C453C" w:rsidP="000C453C"/>
    <w:p w:rsidR="000C453C" w:rsidRDefault="000C453C" w:rsidP="000C453C"/>
    <w:p w:rsidR="000C453C" w:rsidRDefault="000C453C" w:rsidP="000C453C">
      <w:r>
        <w:t>Final Risk Assessment rating (highlight)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5"/>
        <w:gridCol w:w="3485"/>
        <w:gridCol w:w="3486"/>
      </w:tblGrid>
      <w:tr w:rsidR="000C453C" w:rsidTr="00845BB8">
        <w:tc>
          <w:tcPr>
            <w:tcW w:w="3485" w:type="dxa"/>
          </w:tcPr>
          <w:p w:rsidR="000C453C" w:rsidRDefault="000C453C" w:rsidP="000C453C">
            <w:pPr>
              <w:jc w:val="center"/>
            </w:pPr>
            <w:r>
              <w:t>Red</w:t>
            </w:r>
          </w:p>
        </w:tc>
        <w:tc>
          <w:tcPr>
            <w:tcW w:w="3485" w:type="dxa"/>
          </w:tcPr>
          <w:p w:rsidR="000C453C" w:rsidRDefault="000C453C" w:rsidP="000C453C">
            <w:pPr>
              <w:jc w:val="center"/>
            </w:pPr>
            <w:r>
              <w:t>Amber</w:t>
            </w:r>
          </w:p>
        </w:tc>
        <w:tc>
          <w:tcPr>
            <w:tcW w:w="3486" w:type="dxa"/>
          </w:tcPr>
          <w:p w:rsidR="000C453C" w:rsidRDefault="000C453C" w:rsidP="000C453C">
            <w:pPr>
              <w:jc w:val="center"/>
            </w:pPr>
            <w:r>
              <w:t>Green</w:t>
            </w:r>
          </w:p>
        </w:tc>
      </w:tr>
    </w:tbl>
    <w:p w:rsidR="000C453C" w:rsidRDefault="000C453C" w:rsidP="000C453C"/>
    <w:p w:rsidR="000C453C" w:rsidRDefault="000C453C">
      <w:pPr>
        <w:spacing w:line="264" w:lineRule="auto"/>
      </w:pPr>
      <w:r>
        <w:br w:type="page"/>
      </w:r>
    </w:p>
    <w:p w:rsidR="000C453C" w:rsidRDefault="000C453C" w:rsidP="000C453C">
      <w:r>
        <w:lastRenderedPageBreak/>
        <w:t xml:space="preserve">Where a staff member has an </w:t>
      </w:r>
      <w:r w:rsidRPr="000C453C">
        <w:rPr>
          <w:b/>
          <w:color w:val="FF6600"/>
        </w:rPr>
        <w:t>amber</w:t>
      </w:r>
      <w:r w:rsidRPr="000C453C">
        <w:rPr>
          <w:b/>
          <w:color w:val="FF0000"/>
        </w:rPr>
        <w:t>/red</w:t>
      </w:r>
      <w:r w:rsidRPr="000C453C">
        <w:rPr>
          <w:color w:val="FF0000"/>
        </w:rPr>
        <w:t xml:space="preserve"> </w:t>
      </w:r>
      <w:r>
        <w:t>matrix assessment colour identified through the Staff Risk Assessment Tool, work place adaptations/adjustments should be discussed and implemented.  For further advice or guidance in relation to any of these adjustments, ple</w:t>
      </w:r>
      <w:r w:rsidR="00255C41">
        <w:t>ase contact Human Resources (</w:t>
      </w:r>
      <w:r>
        <w:t xml:space="preserve">OperationalHR@torbay.gov.uk) </w:t>
      </w:r>
      <w:r w:rsidR="00255C41">
        <w:t>or Health and Safety</w:t>
      </w:r>
      <w:r>
        <w:t xml:space="preserve">.  </w:t>
      </w:r>
    </w:p>
    <w:p w:rsidR="000C453C" w:rsidRDefault="000C453C" w:rsidP="00845BB8">
      <w:pPr>
        <w:pStyle w:val="Boldtext"/>
      </w:pPr>
      <w:r w:rsidRPr="00845BB8">
        <w:t>Review and record in space below adaptions suggested/implemented for individual staff member:-</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456"/>
      </w:tblGrid>
      <w:tr w:rsidR="00845BB8" w:rsidTr="00845BB8">
        <w:trPr>
          <w:trHeight w:val="2333"/>
        </w:trPr>
        <w:tc>
          <w:tcPr>
            <w:tcW w:w="10456" w:type="dxa"/>
          </w:tcPr>
          <w:p w:rsidR="00845BB8" w:rsidRDefault="00845BB8" w:rsidP="00845BB8"/>
        </w:tc>
      </w:tr>
    </w:tbl>
    <w:p w:rsidR="000C453C" w:rsidRPr="00845BB8" w:rsidRDefault="000C453C" w:rsidP="00845BB8"/>
    <w:p w:rsidR="000C453C" w:rsidRDefault="000C453C" w:rsidP="000C453C">
      <w:r>
        <w:t>Based on the adjustments listed above please now review the original Assessment Matrix Score from the Staff Risk Assessment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5"/>
        <w:gridCol w:w="3485"/>
        <w:gridCol w:w="3486"/>
      </w:tblGrid>
      <w:tr w:rsidR="00845BB8" w:rsidTr="00845BB8">
        <w:tc>
          <w:tcPr>
            <w:tcW w:w="3485" w:type="dxa"/>
          </w:tcPr>
          <w:p w:rsidR="00845BB8" w:rsidRDefault="00845BB8" w:rsidP="004235E8">
            <w:pPr>
              <w:jc w:val="center"/>
            </w:pPr>
            <w:r>
              <w:t>Red</w:t>
            </w:r>
          </w:p>
        </w:tc>
        <w:tc>
          <w:tcPr>
            <w:tcW w:w="3485" w:type="dxa"/>
          </w:tcPr>
          <w:p w:rsidR="00845BB8" w:rsidRDefault="00845BB8" w:rsidP="004235E8">
            <w:pPr>
              <w:jc w:val="center"/>
            </w:pPr>
            <w:r>
              <w:t>Amber</w:t>
            </w:r>
          </w:p>
        </w:tc>
        <w:tc>
          <w:tcPr>
            <w:tcW w:w="3486" w:type="dxa"/>
          </w:tcPr>
          <w:p w:rsidR="00845BB8" w:rsidRDefault="00845BB8" w:rsidP="004235E8">
            <w:pPr>
              <w:jc w:val="center"/>
            </w:pPr>
            <w:r>
              <w:t>Green</w:t>
            </w:r>
          </w:p>
        </w:tc>
      </w:tr>
    </w:tbl>
    <w:p w:rsidR="000C453C" w:rsidRDefault="000C453C" w:rsidP="000C453C"/>
    <w:p w:rsidR="000C453C" w:rsidRDefault="00845BB8" w:rsidP="000C453C">
      <w:r>
        <w:t xml:space="preserve">If still showing as </w:t>
      </w:r>
      <w:r w:rsidRPr="00845BB8">
        <w:rPr>
          <w:b/>
          <w:color w:val="FF0000"/>
        </w:rPr>
        <w:t>red</w:t>
      </w:r>
      <w:r>
        <w:t xml:space="preserve"> or </w:t>
      </w:r>
      <w:r w:rsidRPr="00845BB8">
        <w:rPr>
          <w:b/>
          <w:color w:val="FF6600"/>
        </w:rPr>
        <w:t>a</w:t>
      </w:r>
      <w:r w:rsidR="000C453C" w:rsidRPr="00845BB8">
        <w:rPr>
          <w:b/>
          <w:color w:val="FF6600"/>
        </w:rPr>
        <w:t>mber</w:t>
      </w:r>
      <w:r w:rsidR="000C453C">
        <w:t>, please refer to Human Resources or Health and Safety for further advice.</w:t>
      </w:r>
    </w:p>
    <w:p w:rsidR="000C453C" w:rsidRDefault="000C453C" w:rsidP="000C453C">
      <w:r>
        <w:t>Issues or concerns raised by employee:-</w:t>
      </w:r>
    </w:p>
    <w:p w:rsidR="000C453C" w:rsidRDefault="000C453C" w:rsidP="000C453C">
      <w:r>
        <w:t>(Employee to complete)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456"/>
      </w:tblGrid>
      <w:tr w:rsidR="00845BB8" w:rsidTr="00845BB8">
        <w:trPr>
          <w:trHeight w:val="2166"/>
        </w:trPr>
        <w:tc>
          <w:tcPr>
            <w:tcW w:w="10456" w:type="dxa"/>
          </w:tcPr>
          <w:p w:rsidR="00845BB8" w:rsidRDefault="00845BB8" w:rsidP="000C453C"/>
        </w:tc>
      </w:tr>
    </w:tbl>
    <w:p w:rsidR="000C453C" w:rsidRDefault="000C453C" w:rsidP="000C453C"/>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8"/>
        <w:gridCol w:w="6208"/>
      </w:tblGrid>
      <w:tr w:rsidR="00845BB8" w:rsidRPr="00845BB8" w:rsidTr="00845BB8">
        <w:tc>
          <w:tcPr>
            <w:tcW w:w="4248" w:type="dxa"/>
          </w:tcPr>
          <w:p w:rsidR="00845BB8" w:rsidRPr="00845BB8" w:rsidRDefault="00845BB8" w:rsidP="006044C1">
            <w:r w:rsidRPr="00845BB8">
              <w:t>Date of review:</w:t>
            </w:r>
          </w:p>
        </w:tc>
        <w:tc>
          <w:tcPr>
            <w:tcW w:w="6208" w:type="dxa"/>
          </w:tcPr>
          <w:p w:rsidR="00845BB8" w:rsidRPr="00845BB8" w:rsidRDefault="00845BB8" w:rsidP="006044C1">
            <w:r w:rsidRPr="00845BB8">
              <w:t xml:space="preserve">   </w:t>
            </w:r>
          </w:p>
        </w:tc>
      </w:tr>
      <w:tr w:rsidR="00845BB8" w:rsidRPr="00845BB8" w:rsidTr="00845BB8">
        <w:tc>
          <w:tcPr>
            <w:tcW w:w="4248" w:type="dxa"/>
          </w:tcPr>
          <w:p w:rsidR="00845BB8" w:rsidRPr="00845BB8" w:rsidRDefault="00845BB8" w:rsidP="006044C1">
            <w:r w:rsidRPr="00845BB8">
              <w:t>Line Manager Signature (print name):</w:t>
            </w:r>
          </w:p>
        </w:tc>
        <w:tc>
          <w:tcPr>
            <w:tcW w:w="6208" w:type="dxa"/>
          </w:tcPr>
          <w:p w:rsidR="00845BB8" w:rsidRPr="00845BB8" w:rsidRDefault="00845BB8" w:rsidP="006044C1">
            <w:r w:rsidRPr="00845BB8">
              <w:tab/>
            </w:r>
          </w:p>
        </w:tc>
      </w:tr>
      <w:tr w:rsidR="00845BB8" w:rsidRPr="00E65E6E" w:rsidTr="00845BB8">
        <w:tc>
          <w:tcPr>
            <w:tcW w:w="4248" w:type="dxa"/>
          </w:tcPr>
          <w:p w:rsidR="00845BB8" w:rsidRPr="00845BB8" w:rsidRDefault="00845BB8" w:rsidP="006044C1">
            <w:r w:rsidRPr="00845BB8">
              <w:t>Employee Signature (print name):</w:t>
            </w:r>
          </w:p>
        </w:tc>
        <w:tc>
          <w:tcPr>
            <w:tcW w:w="6208" w:type="dxa"/>
          </w:tcPr>
          <w:p w:rsidR="00845BB8" w:rsidRPr="00E65E6E" w:rsidRDefault="00845BB8" w:rsidP="006044C1"/>
        </w:tc>
      </w:tr>
    </w:tbl>
    <w:p w:rsidR="000C453C" w:rsidRDefault="000C453C" w:rsidP="00845BB8"/>
    <w:p w:rsidR="00CC1FDF" w:rsidRPr="00CC1FDF" w:rsidRDefault="00CC1FDF" w:rsidP="00845BB8">
      <w:pPr>
        <w:rPr>
          <w:b/>
        </w:rPr>
      </w:pPr>
      <w:r w:rsidRPr="00CC1FDF">
        <w:rPr>
          <w:b/>
        </w:rPr>
        <w:t xml:space="preserve">Once complete, please return this form to </w:t>
      </w:r>
      <w:hyperlink r:id="rId12" w:history="1">
        <w:r w:rsidR="007C6963" w:rsidRPr="00F42852">
          <w:rPr>
            <w:rStyle w:val="Hyperlink"/>
            <w:b/>
          </w:rPr>
          <w:t>nick.hollins@torbay.gov.uk</w:t>
        </w:r>
      </w:hyperlink>
      <w:r w:rsidR="007C6963">
        <w:rPr>
          <w:b/>
        </w:rPr>
        <w:t xml:space="preserve"> who will co-ordinate sending all responses to Human Resources.</w:t>
      </w:r>
      <w:bookmarkStart w:id="0" w:name="_GoBack"/>
      <w:bookmarkEnd w:id="0"/>
    </w:p>
    <w:sectPr w:rsidR="00CC1FDF" w:rsidRPr="00CC1FDF" w:rsidSect="00B30DE4">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4D" w:rsidRDefault="009B3B4D" w:rsidP="008952DF">
      <w:r>
        <w:separator/>
      </w:r>
    </w:p>
    <w:p w:rsidR="009B3B4D" w:rsidRDefault="009B3B4D"/>
  </w:endnote>
  <w:endnote w:type="continuationSeparator" w:id="0">
    <w:p w:rsidR="009B3B4D" w:rsidRDefault="009B3B4D" w:rsidP="008952DF">
      <w:r>
        <w:continuationSeparator/>
      </w:r>
    </w:p>
    <w:p w:rsidR="009B3B4D" w:rsidRDefault="009B3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E" w:rsidRDefault="003E72CE">
    <w:pPr>
      <w:spacing w:after="0" w:line="240" w:lineRule="auto"/>
    </w:pPr>
  </w:p>
  <w:p w:rsidR="003E72CE" w:rsidRDefault="003E72CE"/>
  <w:p w:rsidR="003E72CE" w:rsidRDefault="003E72CE"/>
  <w:p w:rsidR="003E72CE" w:rsidRDefault="003E72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06294"/>
      <w:docPartObj>
        <w:docPartGallery w:val="Page Numbers (Bottom of Page)"/>
        <w:docPartUnique/>
      </w:docPartObj>
    </w:sdtPr>
    <w:sdtEndPr>
      <w:rPr>
        <w:noProof/>
      </w:rPr>
    </w:sdtEndPr>
    <w:sdtContent>
      <w:p w:rsidR="003E72CE" w:rsidRDefault="003E72CE" w:rsidP="00236AE7">
        <w:pPr>
          <w:pStyle w:val="Footer"/>
          <w:pBdr>
            <w:top w:val="single" w:sz="36" w:space="4" w:color="002F6C" w:themeColor="text1"/>
          </w:pBdr>
          <w:jc w:val="center"/>
        </w:pPr>
        <w:r>
          <w:fldChar w:fldCharType="begin"/>
        </w:r>
        <w:r>
          <w:instrText xml:space="preserve"> PAGE   \* MERGEFORMAT </w:instrText>
        </w:r>
        <w:r>
          <w:fldChar w:fldCharType="separate"/>
        </w:r>
        <w:r w:rsidR="007C696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3E72CE" w:rsidRDefault="003E72CE" w:rsidP="00236AE7">
        <w:pPr>
          <w:pStyle w:val="Footer"/>
          <w:pBdr>
            <w:top w:val="single" w:sz="36" w:space="4" w:color="002F6C" w:themeColor="text1"/>
          </w:pBdr>
          <w:jc w:val="center"/>
        </w:pPr>
        <w:r>
          <w:fldChar w:fldCharType="begin"/>
        </w:r>
        <w:r>
          <w:instrText xml:space="preserve"> PAGE   \* MERGEFORMAT </w:instrText>
        </w:r>
        <w:r>
          <w:fldChar w:fldCharType="separate"/>
        </w:r>
        <w:r w:rsidR="007C696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4D" w:rsidRDefault="009B3B4D" w:rsidP="008952DF">
      <w:r>
        <w:separator/>
      </w:r>
    </w:p>
    <w:p w:rsidR="009B3B4D" w:rsidRDefault="009B3B4D"/>
  </w:footnote>
  <w:footnote w:type="continuationSeparator" w:id="0">
    <w:p w:rsidR="009B3B4D" w:rsidRDefault="009B3B4D" w:rsidP="008952DF">
      <w:r>
        <w:continuationSeparator/>
      </w:r>
    </w:p>
    <w:p w:rsidR="009B3B4D" w:rsidRDefault="009B3B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E" w:rsidRDefault="003E72CE">
    <w:pPr>
      <w:spacing w:after="0" w:line="240" w:lineRule="auto"/>
    </w:pPr>
  </w:p>
  <w:p w:rsidR="003E72CE" w:rsidRDefault="003E72CE"/>
  <w:p w:rsidR="003E72CE" w:rsidRDefault="003E72CE"/>
  <w:p w:rsidR="003E72CE" w:rsidRDefault="003E72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E" w:rsidRDefault="003E72CE">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text" w:tblpY="1"/>
      <w:tblOverlap w:val="never"/>
      <w:tblW w:w="5000" w:type="pct"/>
      <w:tblBorders>
        <w:top w:val="none" w:sz="0" w:space="0" w:color="auto"/>
        <w:left w:val="none" w:sz="0" w:space="0" w:color="auto"/>
        <w:bottom w:val="single" w:sz="24" w:space="0" w:color="00A74A"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3E72CE" w:rsidRPr="008952DF" w:rsidTr="005B0A6D">
      <w:trPr>
        <w:trHeight w:val="711"/>
      </w:trPr>
      <w:tc>
        <w:tcPr>
          <w:tcW w:w="6669" w:type="dxa"/>
        </w:tcPr>
        <w:p w:rsidR="003E72CE" w:rsidRPr="008952DF" w:rsidRDefault="003E72CE" w:rsidP="005B0A6D"/>
      </w:tc>
      <w:tc>
        <w:tcPr>
          <w:tcW w:w="3797" w:type="dxa"/>
        </w:tcPr>
        <w:p w:rsidR="003E72CE" w:rsidRPr="008952DF" w:rsidRDefault="003E72CE" w:rsidP="005B0A6D">
          <w:pPr>
            <w:jc w:val="right"/>
          </w:pPr>
          <w:r w:rsidRPr="008952DF">
            <w:rPr>
              <w:noProof/>
              <w:lang w:eastAsia="en-GB"/>
            </w:rPr>
            <w:drawing>
              <wp:inline distT="0" distB="0" distL="0" distR="0" wp14:anchorId="7DD16823" wp14:editId="6594F887">
                <wp:extent cx="2159993" cy="3368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3" cy="336880"/>
                        </a:xfrm>
                        <a:prstGeom prst="rect">
                          <a:avLst/>
                        </a:prstGeom>
                      </pic:spPr>
                    </pic:pic>
                  </a:graphicData>
                </a:graphic>
              </wp:inline>
            </w:drawing>
          </w:r>
        </w:p>
      </w:tc>
    </w:tr>
    <w:tr w:rsidR="00CC10AF" w:rsidRPr="008952DF" w:rsidTr="005B0A6D">
      <w:trPr>
        <w:trHeight w:val="711"/>
      </w:trPr>
      <w:tc>
        <w:tcPr>
          <w:tcW w:w="10466" w:type="dxa"/>
          <w:gridSpan w:val="2"/>
          <w:tcBorders>
            <w:bottom w:val="nil"/>
          </w:tcBorders>
          <w:shd w:val="clear" w:color="auto" w:fill="002F6C" w:themeFill="text1"/>
          <w:tcMar>
            <w:left w:w="170" w:type="dxa"/>
            <w:right w:w="170" w:type="dxa"/>
          </w:tcMar>
        </w:tcPr>
        <w:p w:rsidR="00CC10AF" w:rsidRPr="008952DF" w:rsidRDefault="00B93041" w:rsidP="005B0A6D">
          <w:pPr>
            <w:pStyle w:val="Title"/>
            <w:rPr>
              <w:noProof/>
              <w:lang w:eastAsia="en-GB"/>
            </w:rPr>
          </w:pPr>
          <w:r>
            <w:t xml:space="preserve">Individual </w:t>
          </w:r>
          <w:r w:rsidR="005B0A6D" w:rsidRPr="005B0A6D">
            <w:t>COVID Risk Assessment</w:t>
          </w:r>
          <w:r w:rsidR="00A42E1A">
            <w:t xml:space="preserve"> Proforma</w:t>
          </w:r>
        </w:p>
      </w:tc>
    </w:tr>
    <w:tr w:rsidR="005B0A6D" w:rsidRPr="008952DF" w:rsidTr="00845BB8">
      <w:trPr>
        <w:trHeight w:val="562"/>
      </w:trPr>
      <w:tc>
        <w:tcPr>
          <w:tcW w:w="10466" w:type="dxa"/>
          <w:gridSpan w:val="2"/>
          <w:tcBorders>
            <w:bottom w:val="nil"/>
          </w:tcBorders>
          <w:shd w:val="clear" w:color="auto" w:fill="002F6C" w:themeFill="text1"/>
          <w:tcMar>
            <w:left w:w="170" w:type="dxa"/>
            <w:right w:w="170" w:type="dxa"/>
          </w:tcMar>
        </w:tcPr>
        <w:p w:rsidR="005B0A6D" w:rsidRPr="005B0A6D" w:rsidRDefault="005B0A6D" w:rsidP="005B0A6D">
          <w:pPr>
            <w:rPr>
              <w:noProof/>
              <w:sz w:val="32"/>
              <w:szCs w:val="32"/>
              <w:lang w:eastAsia="en-GB"/>
            </w:rPr>
          </w:pPr>
        </w:p>
      </w:tc>
    </w:tr>
  </w:tbl>
  <w:p w:rsidR="003E72CE" w:rsidRDefault="003E72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0A968C16"/>
    <w:lvl w:ilvl="0" w:tplc="79AC4C28">
      <w:start w:val="1"/>
      <w:numFmt w:val="bullet"/>
      <w:lvlText w:val=""/>
      <w:lvlJc w:val="left"/>
      <w:pPr>
        <w:ind w:left="360" w:hanging="360"/>
      </w:pPr>
      <w:rPr>
        <w:rFonts w:ascii="Wingdings" w:hAnsi="Wingdings" w:hint="default"/>
        <w:color w:val="006AF8"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B1508D"/>
    <w:multiLevelType w:val="hybridMultilevel"/>
    <w:tmpl w:val="2230F466"/>
    <w:lvl w:ilvl="0" w:tplc="B248F9E4">
      <w:start w:val="1"/>
      <w:numFmt w:val="bullet"/>
      <w:lvlText w:val=""/>
      <w:lvlJc w:val="left"/>
      <w:pPr>
        <w:ind w:left="360" w:hanging="360"/>
      </w:pPr>
      <w:rPr>
        <w:rFonts w:ascii="Wingdings" w:hAnsi="Wingdings" w:hint="default"/>
        <w:color w:val="DB3EB1"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2A4BDF"/>
    <w:multiLevelType w:val="hybridMultilevel"/>
    <w:tmpl w:val="C6264D7C"/>
    <w:lvl w:ilvl="0" w:tplc="A792FEB6">
      <w:start w:val="1"/>
      <w:numFmt w:val="bullet"/>
      <w:lvlText w:val=""/>
      <w:lvlJc w:val="left"/>
      <w:pPr>
        <w:ind w:left="360" w:hanging="360"/>
      </w:pPr>
      <w:rPr>
        <w:rFonts w:ascii="Wingdings" w:hAnsi="Wingdings" w:hint="default"/>
        <w:color w:val="00A74A"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80812"/>
    <w:multiLevelType w:val="hybridMultilevel"/>
    <w:tmpl w:val="B3344D44"/>
    <w:lvl w:ilvl="0" w:tplc="CAE0A96E">
      <w:start w:val="1"/>
      <w:numFmt w:val="bullet"/>
      <w:lvlText w:val=""/>
      <w:lvlJc w:val="left"/>
      <w:pPr>
        <w:ind w:left="3600" w:hanging="360"/>
      </w:pPr>
      <w:rPr>
        <w:rFonts w:ascii="Symbol" w:hAnsi="Symbol" w:hint="default"/>
        <w:color w:val="DB3EB1"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411DA"/>
    <w:multiLevelType w:val="hybridMultilevel"/>
    <w:tmpl w:val="35C65AA6"/>
    <w:lvl w:ilvl="0" w:tplc="664CD724">
      <w:start w:val="1"/>
      <w:numFmt w:val="bullet"/>
      <w:pStyle w:val="squarebullets"/>
      <w:lvlText w:val=""/>
      <w:lvlJc w:val="left"/>
      <w:pPr>
        <w:ind w:left="360" w:hanging="360"/>
      </w:pPr>
      <w:rPr>
        <w:rFonts w:ascii="Wingdings" w:hAnsi="Wingdings" w:hint="default"/>
        <w:color w:val="002F6C"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9"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0074A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12"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2"/>
  </w:num>
  <w:num w:numId="4">
    <w:abstractNumId w:val="6"/>
  </w:num>
  <w:num w:numId="5">
    <w:abstractNumId w:val="9"/>
  </w:num>
  <w:num w:numId="6">
    <w:abstractNumId w:val="3"/>
  </w:num>
  <w:num w:numId="7">
    <w:abstractNumId w:val="11"/>
  </w:num>
  <w:num w:numId="8">
    <w:abstractNumId w:val="8"/>
  </w:num>
  <w:num w:numId="9">
    <w:abstractNumId w:val="0"/>
  </w:num>
  <w:num w:numId="10">
    <w:abstractNumId w:val="5"/>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6D"/>
    <w:rsid w:val="00010F69"/>
    <w:rsid w:val="0002446C"/>
    <w:rsid w:val="00095FA1"/>
    <w:rsid w:val="00097171"/>
    <w:rsid w:val="000C453C"/>
    <w:rsid w:val="001D2598"/>
    <w:rsid w:val="00236AE7"/>
    <w:rsid w:val="00255C41"/>
    <w:rsid w:val="0025623B"/>
    <w:rsid w:val="00282693"/>
    <w:rsid w:val="002827D2"/>
    <w:rsid w:val="00304F37"/>
    <w:rsid w:val="00317C6E"/>
    <w:rsid w:val="00324433"/>
    <w:rsid w:val="0037406A"/>
    <w:rsid w:val="0039378D"/>
    <w:rsid w:val="003A4FC8"/>
    <w:rsid w:val="003E72CE"/>
    <w:rsid w:val="00492E76"/>
    <w:rsid w:val="00535E8E"/>
    <w:rsid w:val="005B0A6D"/>
    <w:rsid w:val="005E2D99"/>
    <w:rsid w:val="00661B73"/>
    <w:rsid w:val="006A729E"/>
    <w:rsid w:val="00726EA3"/>
    <w:rsid w:val="00740539"/>
    <w:rsid w:val="007C339D"/>
    <w:rsid w:val="007C6963"/>
    <w:rsid w:val="00845BB8"/>
    <w:rsid w:val="008952DF"/>
    <w:rsid w:val="00922CB4"/>
    <w:rsid w:val="00994F8F"/>
    <w:rsid w:val="009B3B4D"/>
    <w:rsid w:val="009B41EF"/>
    <w:rsid w:val="009B7227"/>
    <w:rsid w:val="00A42E1A"/>
    <w:rsid w:val="00A90C15"/>
    <w:rsid w:val="00B30DE4"/>
    <w:rsid w:val="00B377FC"/>
    <w:rsid w:val="00B93041"/>
    <w:rsid w:val="00BD41A7"/>
    <w:rsid w:val="00C00AB0"/>
    <w:rsid w:val="00C20906"/>
    <w:rsid w:val="00C520E4"/>
    <w:rsid w:val="00CC10AF"/>
    <w:rsid w:val="00CC1FDF"/>
    <w:rsid w:val="00D04B17"/>
    <w:rsid w:val="00D209BA"/>
    <w:rsid w:val="00DC169F"/>
    <w:rsid w:val="00E078E6"/>
    <w:rsid w:val="00E65E6E"/>
    <w:rsid w:val="00E8218D"/>
    <w:rsid w:val="00EB6BD0"/>
    <w:rsid w:val="00F228DC"/>
    <w:rsid w:val="00F87B8D"/>
    <w:rsid w:val="00FC4920"/>
    <w:rsid w:val="00FD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EAB4D-8EE1-43BF-A1FC-08857510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locked="0"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B8"/>
    <w:pPr>
      <w:spacing w:line="312" w:lineRule="auto"/>
    </w:pPr>
    <w:rPr>
      <w:sz w:val="24"/>
    </w:rPr>
  </w:style>
  <w:style w:type="paragraph" w:styleId="Heading1">
    <w:name w:val="heading 1"/>
    <w:basedOn w:val="Normal"/>
    <w:next w:val="Normal"/>
    <w:link w:val="Heading1Char"/>
    <w:uiPriority w:val="9"/>
    <w:qFormat/>
    <w:rsid w:val="00236AE7"/>
    <w:pPr>
      <w:keepNext/>
      <w:keepLines/>
      <w:pBdr>
        <w:bottom w:val="single" w:sz="4" w:space="1" w:color="002F6C" w:themeColor="text1"/>
      </w:pBdr>
      <w:spacing w:before="360" w:after="240" w:line="276" w:lineRule="auto"/>
      <w:outlineLvl w:val="0"/>
    </w:pPr>
    <w:rPr>
      <w:rFonts w:asciiTheme="majorHAnsi" w:eastAsiaTheme="majorEastAsia" w:hAnsiTheme="majorHAnsi" w:cstheme="majorBidi"/>
      <w:color w:val="002F6C" w:themeColor="text1"/>
      <w:sz w:val="40"/>
      <w:szCs w:val="36"/>
    </w:rPr>
  </w:style>
  <w:style w:type="paragraph" w:styleId="Heading2">
    <w:name w:val="heading 2"/>
    <w:basedOn w:val="Normal"/>
    <w:next w:val="Normal"/>
    <w:link w:val="Heading2Char"/>
    <w:uiPriority w:val="9"/>
    <w:qFormat/>
    <w:rsid w:val="00236AE7"/>
    <w:pPr>
      <w:keepNext/>
      <w:keepLines/>
      <w:spacing w:before="240" w:line="276" w:lineRule="auto"/>
      <w:outlineLvl w:val="1"/>
    </w:pPr>
    <w:rPr>
      <w:rFonts w:asciiTheme="majorHAnsi" w:eastAsiaTheme="majorEastAsia" w:hAnsiTheme="majorHAnsi" w:cstheme="majorBidi"/>
      <w:color w:val="002F6C" w:themeColor="text1"/>
      <w:sz w:val="36"/>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006AF8"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006AF8"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006AF8"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006AF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7B8D"/>
    <w:pPr>
      <w:ind w:left="720"/>
      <w:contextualSpacing/>
    </w:pPr>
  </w:style>
  <w:style w:type="paragraph" w:customStyle="1" w:styleId="squarebullets">
    <w:name w:val="square bullets"/>
    <w:basedOn w:val="ListParagraph"/>
    <w:qFormat/>
    <w:rsid w:val="00236AE7"/>
    <w:pPr>
      <w:numPr>
        <w:numId w:val="13"/>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236AE7"/>
    <w:rPr>
      <w:rFonts w:asciiTheme="majorHAnsi" w:eastAsiaTheme="majorEastAsia" w:hAnsiTheme="majorHAnsi" w:cstheme="majorBidi"/>
      <w:color w:val="002F6C" w:themeColor="text1"/>
      <w:sz w:val="40"/>
      <w:szCs w:val="36"/>
    </w:rPr>
  </w:style>
  <w:style w:type="character" w:customStyle="1" w:styleId="Heading2Char">
    <w:name w:val="Heading 2 Char"/>
    <w:basedOn w:val="DefaultParagraphFont"/>
    <w:link w:val="Heading2"/>
    <w:uiPriority w:val="9"/>
    <w:rsid w:val="00236AE7"/>
    <w:rPr>
      <w:rFonts w:asciiTheme="majorHAnsi" w:eastAsiaTheme="majorEastAsia" w:hAnsiTheme="majorHAnsi" w:cstheme="majorBidi"/>
      <w:color w:val="002F6C" w:themeColor="text1"/>
      <w:sz w:val="36"/>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006AF8"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006AF8"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006AF8"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006AF8"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005AD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236AE7"/>
    <w:pPr>
      <w:pBdr>
        <w:left w:val="single" w:sz="36" w:space="12" w:color="002F6C" w:themeColor="text1"/>
      </w:pBdr>
      <w:spacing w:before="240" w:after="240" w:line="252" w:lineRule="auto"/>
      <w:ind w:left="340" w:right="862"/>
    </w:pPr>
    <w:rPr>
      <w:iCs/>
    </w:rPr>
  </w:style>
  <w:style w:type="character" w:customStyle="1" w:styleId="QuoteChar">
    <w:name w:val="Quote Char"/>
    <w:basedOn w:val="DefaultParagraphFont"/>
    <w:link w:val="Quote"/>
    <w:uiPriority w:val="29"/>
    <w:rsid w:val="00236AE7"/>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358CFF" w:themeColor="text1" w:themeTint="80"/>
        <w:bottom w:val="single" w:sz="4" w:space="0" w:color="358CFF" w:themeColor="text1" w:themeTint="80"/>
      </w:tblBorders>
      <w:tblCellMar>
        <w:top w:w="113" w:type="dxa"/>
        <w:bottom w:w="113" w:type="dxa"/>
      </w:tblCellMar>
    </w:tblPr>
    <w:tblStylePr w:type="firstRow">
      <w:rPr>
        <w:b/>
        <w:bCs/>
      </w:rPr>
      <w:tblPr/>
      <w:tcPr>
        <w:tcBorders>
          <w:bottom w:val="single" w:sz="4" w:space="0" w:color="358CFF" w:themeColor="text1" w:themeTint="80"/>
        </w:tcBorders>
      </w:tcPr>
    </w:tblStylePr>
    <w:tblStylePr w:type="lastRow">
      <w:rPr>
        <w:b/>
        <w:bCs/>
      </w:rPr>
      <w:tblPr/>
      <w:tcPr>
        <w:tcBorders>
          <w:top w:val="single" w:sz="4" w:space="0" w:color="358CFF" w:themeColor="text1" w:themeTint="80"/>
        </w:tcBorders>
      </w:tcPr>
    </w:tblStylePr>
    <w:tblStylePr w:type="firstCol">
      <w:rPr>
        <w:b/>
        <w:bCs/>
      </w:rPr>
    </w:tblStylePr>
    <w:tblStylePr w:type="lastCol">
      <w:rPr>
        <w:b/>
        <w:bCs/>
      </w:rPr>
    </w:tblStylePr>
    <w:tblStylePr w:type="band1Vert">
      <w:tblPr/>
      <w:tcPr>
        <w:tcBorders>
          <w:left w:val="single" w:sz="4" w:space="0" w:color="358CFF" w:themeColor="text1" w:themeTint="80"/>
          <w:right w:val="single" w:sz="4" w:space="0" w:color="358CFF" w:themeColor="text1" w:themeTint="80"/>
        </w:tcBorders>
      </w:tcPr>
    </w:tblStylePr>
    <w:tblStylePr w:type="band2Vert">
      <w:tblPr/>
      <w:tcPr>
        <w:tcBorders>
          <w:left w:val="single" w:sz="4" w:space="0" w:color="358CFF" w:themeColor="text1" w:themeTint="80"/>
          <w:right w:val="single" w:sz="4" w:space="0" w:color="358CFF" w:themeColor="text1" w:themeTint="80"/>
        </w:tcBorders>
      </w:tcPr>
    </w:tblStylePr>
    <w:tblStylePr w:type="band1Horz">
      <w:tblPr/>
      <w:tcPr>
        <w:tcBorders>
          <w:top w:val="single" w:sz="4" w:space="0" w:color="358CFF" w:themeColor="text1" w:themeTint="80"/>
          <w:bottom w:val="single" w:sz="4" w:space="0" w:color="358CF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insideV w:val="single" w:sz="4" w:space="0" w:color="0D75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1FF" w:themeFill="text1" w:themeFillTint="33"/>
      </w:tcPr>
    </w:tblStylePr>
    <w:tblStylePr w:type="band1Horz">
      <w:tblPr/>
      <w:tcPr>
        <w:shd w:val="clear" w:color="auto" w:fill="AED1FF" w:themeFill="text1" w:themeFillTint="33"/>
      </w:tcPr>
    </w:tblStylePr>
    <w:tblStylePr w:type="neCell">
      <w:tblPr/>
      <w:tcPr>
        <w:tcBorders>
          <w:bottom w:val="single" w:sz="4" w:space="0" w:color="0D75FF" w:themeColor="text1" w:themeTint="99"/>
        </w:tcBorders>
      </w:tcPr>
    </w:tblStylePr>
    <w:tblStylePr w:type="nwCell">
      <w:tblPr/>
      <w:tcPr>
        <w:tcBorders>
          <w:bottom w:val="single" w:sz="4" w:space="0" w:color="0D75FF" w:themeColor="text1" w:themeTint="99"/>
        </w:tcBorders>
      </w:tcPr>
    </w:tblStylePr>
    <w:tblStylePr w:type="seCell">
      <w:tblPr/>
      <w:tcPr>
        <w:tcBorders>
          <w:top w:val="single" w:sz="4" w:space="0" w:color="0D75FF" w:themeColor="text1" w:themeTint="99"/>
        </w:tcBorders>
      </w:tcPr>
    </w:tblStylePr>
    <w:tblStylePr w:type="swCell">
      <w:tblPr/>
      <w:tcPr>
        <w:tcBorders>
          <w:top w:val="single" w:sz="4" w:space="0" w:color="0D75FF"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CC10AF"/>
    <w:pPr>
      <w:spacing w:after="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CC10AF"/>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locked/>
    <w:rsid w:val="00CC10AF"/>
    <w:pPr>
      <w:numPr>
        <w:ilvl w:val="1"/>
      </w:numPr>
      <w:spacing w:after="160"/>
    </w:pPr>
    <w:rPr>
      <w:color w:val="FFFFFF" w:themeColor="background1"/>
      <w:spacing w:val="15"/>
      <w:sz w:val="22"/>
      <w:szCs w:val="22"/>
    </w:rPr>
  </w:style>
  <w:style w:type="character" w:customStyle="1" w:styleId="SubtitleChar">
    <w:name w:val="Subtitle Char"/>
    <w:basedOn w:val="DefaultParagraphFont"/>
    <w:link w:val="Subtitle"/>
    <w:uiPriority w:val="11"/>
    <w:rsid w:val="00CC10AF"/>
    <w:rPr>
      <w:color w:val="FFFFFF" w:themeColor="background1"/>
      <w:spacing w:val="15"/>
      <w:sz w:val="22"/>
      <w:szCs w:val="22"/>
    </w:rPr>
  </w:style>
  <w:style w:type="character" w:styleId="Hyperlink">
    <w:name w:val="Hyperlink"/>
    <w:basedOn w:val="DefaultParagraphFont"/>
    <w:uiPriority w:val="99"/>
    <w:rsid w:val="001D2598"/>
    <w:rPr>
      <w:color w:val="000000" w:themeColor="text2"/>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282693"/>
    <w:pPr>
      <w:pBdr>
        <w:bottom w:val="single" w:sz="4" w:space="1" w:color="009CDE" w:themeColor="accent1"/>
      </w:pBdr>
      <w:spacing w:after="240"/>
    </w:pPr>
    <w:rPr>
      <w:color w:val="009CDE" w:themeColor="accent1"/>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ListTable4-Accent3">
    <w:name w:val="List Table 4 Accent 3"/>
    <w:basedOn w:val="TableNormal"/>
    <w:uiPriority w:val="49"/>
    <w:locked/>
    <w:rsid w:val="00D209BA"/>
    <w:pPr>
      <w:spacing w:after="0" w:line="240" w:lineRule="auto"/>
    </w:pPr>
    <w:tblPr>
      <w:tblStyleRowBandSize w:val="1"/>
      <w:tblStyleColBandSize w:val="1"/>
      <w:tblBorders>
        <w:top w:val="single" w:sz="4" w:space="0" w:color="31FF8B" w:themeColor="accent3" w:themeTint="99"/>
        <w:left w:val="single" w:sz="4" w:space="0" w:color="31FF8B" w:themeColor="accent3" w:themeTint="99"/>
        <w:bottom w:val="single" w:sz="4" w:space="0" w:color="31FF8B" w:themeColor="accent3" w:themeTint="99"/>
        <w:right w:val="single" w:sz="4" w:space="0" w:color="31FF8B" w:themeColor="accent3" w:themeTint="99"/>
        <w:insideH w:val="single" w:sz="4" w:space="0" w:color="31FF8B" w:themeColor="accent3" w:themeTint="99"/>
      </w:tblBorders>
      <w:tblCellMar>
        <w:top w:w="57" w:type="dxa"/>
        <w:bottom w:w="57" w:type="dxa"/>
      </w:tblCellMar>
    </w:tblPr>
    <w:tblStylePr w:type="firstRow">
      <w:rPr>
        <w:b/>
        <w:bCs/>
        <w:color w:val="FFFFFF" w:themeColor="background1"/>
      </w:rPr>
      <w:tblPr/>
      <w:tcPr>
        <w:tcBorders>
          <w:top w:val="single" w:sz="4" w:space="0" w:color="00A74A" w:themeColor="accent3"/>
          <w:left w:val="single" w:sz="4" w:space="0" w:color="00A74A" w:themeColor="accent3"/>
          <w:bottom w:val="single" w:sz="4" w:space="0" w:color="00A74A" w:themeColor="accent3"/>
          <w:right w:val="single" w:sz="4" w:space="0" w:color="00A74A" w:themeColor="accent3"/>
          <w:insideH w:val="nil"/>
        </w:tcBorders>
        <w:shd w:val="clear" w:color="auto" w:fill="00A74A" w:themeFill="accent3"/>
      </w:tcPr>
    </w:tblStylePr>
    <w:tblStylePr w:type="lastRow">
      <w:rPr>
        <w:b/>
        <w:bCs/>
      </w:rPr>
      <w:tblPr/>
      <w:tcPr>
        <w:tcBorders>
          <w:top w:val="double" w:sz="4" w:space="0" w:color="31FF8B" w:themeColor="accent3" w:themeTint="99"/>
        </w:tcBorders>
      </w:tcPr>
    </w:tblStylePr>
    <w:tblStylePr w:type="firstCol">
      <w:rPr>
        <w:b/>
        <w:bCs/>
      </w:rPr>
    </w:tblStylePr>
    <w:tblStylePr w:type="lastCol">
      <w:rPr>
        <w:b/>
        <w:bCs/>
      </w:rPr>
    </w:tblStylePr>
    <w:tblStylePr w:type="band1Vert">
      <w:tblPr/>
      <w:tcPr>
        <w:shd w:val="clear" w:color="auto" w:fill="BAFFD8" w:themeFill="accent3" w:themeFillTint="33"/>
      </w:tcPr>
    </w:tblStylePr>
    <w:tblStylePr w:type="band1Horz">
      <w:tblPr/>
      <w:tcPr>
        <w:shd w:val="clear" w:color="auto" w:fill="BAFFD8"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styleId="ListTable4-Accent6">
    <w:name w:val="List Table 4 Accent 6"/>
    <w:basedOn w:val="TableNormal"/>
    <w:uiPriority w:val="49"/>
    <w:locked/>
    <w:rsid w:val="00095FA1"/>
    <w:pPr>
      <w:spacing w:after="0" w:line="240" w:lineRule="auto"/>
    </w:pPr>
    <w:tblPr>
      <w:tblStyleRowBandSize w:val="1"/>
      <w:tblStyleColBandSize w:val="1"/>
      <w:tblBorders>
        <w:top w:val="single" w:sz="4" w:space="0" w:color="E98BCF" w:themeColor="accent6" w:themeTint="99"/>
        <w:left w:val="single" w:sz="4" w:space="0" w:color="E98BCF" w:themeColor="accent6" w:themeTint="99"/>
        <w:bottom w:val="single" w:sz="4" w:space="0" w:color="E98BCF" w:themeColor="accent6" w:themeTint="99"/>
        <w:right w:val="single" w:sz="4" w:space="0" w:color="E98BCF" w:themeColor="accent6" w:themeTint="99"/>
        <w:insideH w:val="single" w:sz="4" w:space="0" w:color="E98BCF" w:themeColor="accent6" w:themeTint="99"/>
      </w:tblBorders>
      <w:tblCellMar>
        <w:top w:w="57" w:type="dxa"/>
        <w:bottom w:w="57" w:type="dxa"/>
      </w:tblCellMar>
    </w:tblPr>
    <w:tblStylePr w:type="firstRow">
      <w:rPr>
        <w:b/>
        <w:bCs/>
        <w:color w:val="FFFFFF" w:themeColor="background1"/>
      </w:rPr>
      <w:tblPr/>
      <w:tcPr>
        <w:tcBorders>
          <w:top w:val="single" w:sz="4" w:space="0" w:color="DB3EB1" w:themeColor="accent6"/>
          <w:left w:val="single" w:sz="4" w:space="0" w:color="DB3EB1" w:themeColor="accent6"/>
          <w:bottom w:val="single" w:sz="4" w:space="0" w:color="DB3EB1" w:themeColor="accent6"/>
          <w:right w:val="single" w:sz="4" w:space="0" w:color="DB3EB1" w:themeColor="accent6"/>
          <w:insideH w:val="nil"/>
        </w:tcBorders>
        <w:shd w:val="clear" w:color="auto" w:fill="DB3EB1" w:themeFill="accent6"/>
      </w:tcPr>
    </w:tblStylePr>
    <w:tblStylePr w:type="lastRow">
      <w:rPr>
        <w:b/>
        <w:bCs/>
      </w:rPr>
      <w:tblPr/>
      <w:tcPr>
        <w:tcBorders>
          <w:top w:val="double" w:sz="4" w:space="0" w:color="E98BCF" w:themeColor="accent6" w:themeTint="99"/>
        </w:tcBorders>
      </w:tcPr>
    </w:tblStylePr>
    <w:tblStylePr w:type="firstCol">
      <w:rPr>
        <w:b/>
        <w:bCs/>
      </w:rPr>
    </w:tblStylePr>
    <w:tblStylePr w:type="lastCol">
      <w:rPr>
        <w:b/>
        <w:bCs/>
      </w:rPr>
    </w:tblStylePr>
    <w:tblStylePr w:type="band1Vert">
      <w:tblPr/>
      <w:tcPr>
        <w:shd w:val="clear" w:color="auto" w:fill="F7D8EF" w:themeFill="accent6" w:themeFillTint="33"/>
      </w:tcPr>
    </w:tblStylePr>
    <w:tblStylePr w:type="band1Horz">
      <w:tblPr/>
      <w:tcPr>
        <w:shd w:val="clear" w:color="auto" w:fill="F7D8EF" w:themeFill="accent6" w:themeFillTint="33"/>
      </w:tcPr>
    </w:tblStylePr>
  </w:style>
  <w:style w:type="character" w:styleId="FollowedHyperlink">
    <w:name w:val="FollowedHyperlink"/>
    <w:basedOn w:val="DefaultParagraphFont"/>
    <w:uiPriority w:val="99"/>
    <w:rsid w:val="001D2598"/>
    <w:rPr>
      <w:color w:val="000000" w:themeColor="text2"/>
      <w:u w:val="single"/>
    </w:rPr>
  </w:style>
  <w:style w:type="table" w:styleId="GridTable1Light-Accent6">
    <w:name w:val="Grid Table 1 Light Accent 6"/>
    <w:basedOn w:val="TableNormal"/>
    <w:uiPriority w:val="46"/>
    <w:locked/>
    <w:rsid w:val="001D2598"/>
    <w:pPr>
      <w:spacing w:after="0" w:line="240" w:lineRule="auto"/>
    </w:pPr>
    <w:tblPr>
      <w:tblStyleRowBandSize w:val="1"/>
      <w:tblStyleColBandSize w:val="1"/>
      <w:tblBorders>
        <w:top w:val="single" w:sz="4" w:space="0" w:color="F0B1DF" w:themeColor="accent6" w:themeTint="66"/>
        <w:left w:val="single" w:sz="4" w:space="0" w:color="F0B1DF" w:themeColor="accent6" w:themeTint="66"/>
        <w:bottom w:val="single" w:sz="4" w:space="0" w:color="F0B1DF" w:themeColor="accent6" w:themeTint="66"/>
        <w:right w:val="single" w:sz="4" w:space="0" w:color="F0B1DF" w:themeColor="accent6" w:themeTint="66"/>
        <w:insideH w:val="single" w:sz="4" w:space="0" w:color="F0B1DF" w:themeColor="accent6" w:themeTint="66"/>
        <w:insideV w:val="single" w:sz="4" w:space="0" w:color="F0B1DF" w:themeColor="accent6" w:themeTint="66"/>
      </w:tblBorders>
    </w:tblPr>
    <w:tblStylePr w:type="firstRow">
      <w:rPr>
        <w:b/>
        <w:bCs/>
      </w:rPr>
      <w:tblPr/>
      <w:tcPr>
        <w:tcBorders>
          <w:bottom w:val="single" w:sz="12" w:space="0" w:color="E98BCF" w:themeColor="accent6" w:themeTint="99"/>
        </w:tcBorders>
      </w:tcPr>
    </w:tblStylePr>
    <w:tblStylePr w:type="lastRow">
      <w:rPr>
        <w:b/>
        <w:bCs/>
      </w:rPr>
      <w:tblPr/>
      <w:tcPr>
        <w:tcBorders>
          <w:top w:val="double" w:sz="2" w:space="0" w:color="E98BCF"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D209BA"/>
    <w:pPr>
      <w:spacing w:after="0" w:line="240" w:lineRule="auto"/>
    </w:pPr>
    <w:tblPr>
      <w:tblStyleRowBandSize w:val="1"/>
      <w:tblStyleColBandSize w:val="1"/>
      <w:tblBorders>
        <w:top w:val="single" w:sz="4" w:space="0" w:color="75FFB1" w:themeColor="accent3" w:themeTint="66"/>
        <w:left w:val="single" w:sz="4" w:space="0" w:color="75FFB1" w:themeColor="accent3" w:themeTint="66"/>
        <w:bottom w:val="single" w:sz="4" w:space="0" w:color="75FFB1" w:themeColor="accent3" w:themeTint="66"/>
        <w:right w:val="single" w:sz="4" w:space="0" w:color="75FFB1" w:themeColor="accent3" w:themeTint="66"/>
        <w:insideH w:val="single" w:sz="4" w:space="0" w:color="75FFB1" w:themeColor="accent3" w:themeTint="66"/>
        <w:insideV w:val="single" w:sz="4" w:space="0" w:color="75FFB1" w:themeColor="accent3" w:themeTint="66"/>
      </w:tblBorders>
      <w:tblCellMar>
        <w:top w:w="57" w:type="dxa"/>
        <w:bottom w:w="57" w:type="dxa"/>
      </w:tblCellMar>
    </w:tblPr>
    <w:tblStylePr w:type="firstRow">
      <w:rPr>
        <w:b/>
        <w:bCs/>
      </w:rPr>
      <w:tblPr/>
      <w:tcPr>
        <w:tcBorders>
          <w:bottom w:val="single" w:sz="12" w:space="0" w:color="31FF8B" w:themeColor="accent3" w:themeTint="99"/>
        </w:tcBorders>
      </w:tcPr>
    </w:tblStylePr>
    <w:tblStylePr w:type="lastRow">
      <w:rPr>
        <w:b/>
        <w:bCs/>
      </w:rPr>
      <w:tblPr/>
      <w:tcPr>
        <w:tcBorders>
          <w:top w:val="double" w:sz="2" w:space="0" w:color="31FF8B"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2693"/>
    <w:pPr>
      <w:spacing w:after="0" w:line="240" w:lineRule="auto"/>
    </w:pPr>
    <w:tblPr>
      <w:tblStyleRowBandSize w:val="1"/>
      <w:tblStyleColBandSize w:val="1"/>
      <w:tblBorders>
        <w:top w:val="single" w:sz="4" w:space="0" w:color="8BDCFF" w:themeColor="accent1" w:themeTint="66"/>
        <w:left w:val="single" w:sz="4" w:space="0" w:color="8BDCFF" w:themeColor="accent1" w:themeTint="66"/>
        <w:bottom w:val="single" w:sz="4" w:space="0" w:color="8BDCFF" w:themeColor="accent1" w:themeTint="66"/>
        <w:right w:val="single" w:sz="4" w:space="0" w:color="8BDCFF" w:themeColor="accent1" w:themeTint="66"/>
        <w:insideH w:val="single" w:sz="4" w:space="0" w:color="8BDCFF" w:themeColor="accent1" w:themeTint="66"/>
        <w:insideV w:val="single" w:sz="4" w:space="0" w:color="8BDCFF" w:themeColor="accent1" w:themeTint="66"/>
      </w:tblBorders>
      <w:tblCellMar>
        <w:top w:w="57" w:type="dxa"/>
        <w:bottom w:w="57" w:type="dxa"/>
      </w:tblCellMar>
    </w:tblPr>
    <w:tblStylePr w:type="firstRow">
      <w:rPr>
        <w:b/>
        <w:bCs/>
      </w:rPr>
      <w:tblPr/>
      <w:tcPr>
        <w:tcBorders>
          <w:bottom w:val="single" w:sz="12" w:space="0" w:color="52CBFF" w:themeColor="accent1" w:themeTint="99"/>
        </w:tcBorders>
      </w:tcPr>
    </w:tblStylePr>
    <w:tblStylePr w:type="lastRow">
      <w:rPr>
        <w:b/>
        <w:bCs/>
      </w:rPr>
      <w:tblPr/>
      <w:tcPr>
        <w:tcBorders>
          <w:top w:val="double" w:sz="2" w:space="0" w:color="52CBFF"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282693"/>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tblBorders>
      <w:tblCellMar>
        <w:top w:w="57" w:type="dxa"/>
        <w:bottom w:w="57" w:type="dxa"/>
      </w:tblCellMar>
    </w:tblPr>
    <w:tblStylePr w:type="firstRow">
      <w:rPr>
        <w:b/>
        <w:bCs/>
        <w:color w:val="FFFFFF" w:themeColor="background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tcBorders>
        <w:shd w:val="clear" w:color="auto" w:fill="009CDE" w:themeFill="accent1"/>
      </w:tcPr>
    </w:tblStylePr>
    <w:tblStylePr w:type="lastRow">
      <w:rPr>
        <w:b/>
        <w:bCs/>
      </w:rPr>
      <w:tblPr/>
      <w:tcPr>
        <w:tcBorders>
          <w:top w:val="doub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GridTable2-Accent1">
    <w:name w:val="Grid Table 2 Accent 1"/>
    <w:basedOn w:val="TableNormal"/>
    <w:uiPriority w:val="47"/>
    <w:locked/>
    <w:rsid w:val="000C453C"/>
    <w:pPr>
      <w:spacing w:after="0" w:line="240" w:lineRule="auto"/>
    </w:pPr>
    <w:tblPr>
      <w:tblStyleRowBandSize w:val="1"/>
      <w:tblStyleColBandSize w:val="1"/>
      <w:tblBorders>
        <w:top w:val="single" w:sz="2" w:space="0" w:color="52CBFF" w:themeColor="accent1" w:themeTint="99"/>
        <w:bottom w:val="single" w:sz="2" w:space="0" w:color="52CBFF" w:themeColor="accent1" w:themeTint="99"/>
        <w:insideH w:val="single" w:sz="2" w:space="0" w:color="52CBFF" w:themeColor="accent1" w:themeTint="99"/>
        <w:insideV w:val="single" w:sz="2" w:space="0" w:color="52CBFF" w:themeColor="accent1" w:themeTint="99"/>
      </w:tblBorders>
    </w:tblPr>
    <w:tblStylePr w:type="firstRow">
      <w:rPr>
        <w:b/>
        <w:bCs/>
      </w:rPr>
      <w:tblPr/>
      <w:tcPr>
        <w:tcBorders>
          <w:top w:val="nil"/>
          <w:bottom w:val="single" w:sz="12" w:space="0" w:color="52CBFF" w:themeColor="accent1" w:themeTint="99"/>
          <w:insideH w:val="nil"/>
          <w:insideV w:val="nil"/>
        </w:tcBorders>
        <w:shd w:val="clear" w:color="auto" w:fill="FFFFFF" w:themeFill="background1"/>
      </w:tcPr>
    </w:tblStylePr>
    <w:tblStylePr w:type="lastRow">
      <w:rPr>
        <w:b/>
        <w:bCs/>
      </w:rPr>
      <w:tblPr/>
      <w:tcPr>
        <w:tcBorders>
          <w:top w:val="double" w:sz="2" w:space="0" w:color="52C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ght/information/coronavirus/your-wellbe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hollins@torbay.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ght/information/hr/wellbeing/wellbeing-suppor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perationalHR@torba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ight/information/coronavirus/managers-informati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2020">
      <a:dk1>
        <a:srgbClr val="002F6C"/>
      </a:dk1>
      <a:lt1>
        <a:sysClr val="window" lastClr="FFFFFF"/>
      </a:lt1>
      <a:dk2>
        <a:srgbClr val="000000"/>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6025-27FB-4E19-9417-413F4EF3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Hollins, Nick</cp:lastModifiedBy>
  <cp:revision>3</cp:revision>
  <dcterms:created xsi:type="dcterms:W3CDTF">2020-06-24T16:10:00Z</dcterms:created>
  <dcterms:modified xsi:type="dcterms:W3CDTF">2020-07-08T14:44:00Z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-1843998139</vt:i4>
  </property>
  <property fmtid="{D5CDD505-2E9C-101B-9397-08002B2CF9AE}" pid="3" name="_NewReviewCycle">
    <vt:lpwstr/>
  </property>
  <property fmtid="{D5CDD505-2E9C-101B-9397-08002B2CF9AE}" pid="4" name="_EmailSubject">
    <vt:lpwstr>Info for Tri-x</vt:lpwstr>
  </property>
  <property fmtid="{D5CDD505-2E9C-101B-9397-08002B2CF9AE}" pid="5" name="_AuthorEmail">
    <vt:lpwstr>Nick.Hollins@torbay.gov.uk</vt:lpwstr>
  </property>
  <property fmtid="{D5CDD505-2E9C-101B-9397-08002B2CF9AE}" pid="6" name="_AuthorEmailDisplayName">
    <vt:lpwstr>Hollins, Nick</vt:lpwstr>
  </property>
</Properties>
</file>