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66" w:rsidRPr="006F6D5E" w:rsidRDefault="00FC7266" w:rsidP="006F6D5E">
      <w:pPr>
        <w:rPr>
          <w:rFonts w:ascii="Calibri" w:eastAsia="Times New Roman" w:hAnsi="Calibri" w:cs="Calibri"/>
          <w:b/>
          <w:color w:val="1F497D"/>
          <w:sz w:val="128"/>
        </w:rPr>
      </w:pPr>
      <w:r>
        <w:rPr>
          <w:rFonts w:ascii="Calibri" w:eastAsia="Times New Roman" w:hAnsi="Calibri" w:cs="Calibri"/>
          <w:b/>
          <w:color w:val="1F497D"/>
          <w:sz w:val="128"/>
        </w:rPr>
        <w:t xml:space="preserve">       </w:t>
      </w:r>
    </w:p>
    <w:p w:rsidR="0077719B" w:rsidRPr="008F3E34" w:rsidRDefault="006F6D5E" w:rsidP="008F3E34">
      <w:pPr>
        <w:spacing w:line="240" w:lineRule="auto"/>
        <w:jc w:val="center"/>
        <w:rPr>
          <w:rFonts w:ascii="Calibri" w:eastAsia="Times New Roman" w:hAnsi="Calibri" w:cs="Calibri"/>
          <w:sz w:val="82"/>
        </w:rPr>
      </w:pPr>
      <w:r>
        <w:rPr>
          <w:rFonts w:ascii="Calibri" w:eastAsia="Times New Roman" w:hAnsi="Calibri" w:cs="Calibri"/>
          <w:b/>
          <w:sz w:val="114"/>
        </w:rPr>
        <w:t xml:space="preserve">STRATEGIC </w:t>
      </w:r>
      <w:r w:rsidR="0056451B">
        <w:rPr>
          <w:rFonts w:ascii="Calibri" w:eastAsia="Times New Roman" w:hAnsi="Calibri" w:cs="Calibri"/>
          <w:b/>
          <w:sz w:val="114"/>
        </w:rPr>
        <w:t>APPROACH FOR</w:t>
      </w:r>
    </w:p>
    <w:p w:rsidR="00EE317C" w:rsidRDefault="00FF29F6" w:rsidP="00EE317C">
      <w:pPr>
        <w:spacing w:line="240" w:lineRule="auto"/>
        <w:jc w:val="center"/>
        <w:rPr>
          <w:rFonts w:ascii="Calibri" w:eastAsia="Times New Roman" w:hAnsi="Calibri" w:cs="Calibri"/>
          <w:sz w:val="70"/>
        </w:rPr>
      </w:pPr>
      <w:r>
        <w:rPr>
          <w:rFonts w:ascii="Calibri" w:eastAsia="Times New Roman" w:hAnsi="Calibri" w:cs="Calibri"/>
          <w:sz w:val="70"/>
        </w:rPr>
        <w:t>Young People</w:t>
      </w:r>
    </w:p>
    <w:p w:rsidR="008F3E34" w:rsidRDefault="00EE317C" w:rsidP="00EE317C">
      <w:pPr>
        <w:spacing w:line="240" w:lineRule="auto"/>
        <w:jc w:val="center"/>
        <w:rPr>
          <w:rFonts w:ascii="Calibri" w:eastAsia="Times New Roman" w:hAnsi="Calibri" w:cs="Calibri"/>
          <w:sz w:val="68"/>
        </w:rPr>
      </w:pPr>
      <w:r>
        <w:rPr>
          <w:rFonts w:ascii="Calibri" w:eastAsia="Times New Roman" w:hAnsi="Calibri" w:cs="Calibri"/>
          <w:sz w:val="70"/>
        </w:rPr>
        <w:t>(including Care Leavers)</w:t>
      </w:r>
      <w:r>
        <w:rPr>
          <w:rFonts w:ascii="Calibri" w:eastAsia="Times New Roman" w:hAnsi="Calibri" w:cs="Calibri"/>
          <w:sz w:val="68"/>
        </w:rPr>
        <w:t xml:space="preserve"> </w:t>
      </w:r>
      <w:r w:rsidR="008F3E34">
        <w:rPr>
          <w:rFonts w:ascii="Calibri" w:eastAsia="Times New Roman" w:hAnsi="Calibri" w:cs="Calibri"/>
          <w:sz w:val="68"/>
        </w:rPr>
        <w:t xml:space="preserve">at </w:t>
      </w:r>
    </w:p>
    <w:p w:rsidR="008F3E34" w:rsidRPr="008F3E34" w:rsidRDefault="008F3E34" w:rsidP="008F3E34">
      <w:pPr>
        <w:spacing w:line="240" w:lineRule="auto"/>
        <w:jc w:val="center"/>
        <w:rPr>
          <w:rFonts w:ascii="Calibri" w:eastAsia="Times New Roman" w:hAnsi="Calibri" w:cs="Calibri"/>
          <w:b/>
          <w:noProof/>
          <w:color w:val="1F497D"/>
          <w:sz w:val="52"/>
          <w:lang w:eastAsia="en-GB"/>
        </w:rPr>
      </w:pPr>
      <w:r w:rsidRPr="008F3E34">
        <w:rPr>
          <w:rFonts w:ascii="Calibri" w:eastAsia="Times New Roman" w:hAnsi="Calibri" w:cs="Calibri"/>
          <w:b/>
          <w:sz w:val="114"/>
        </w:rPr>
        <w:t>RISK</w:t>
      </w:r>
    </w:p>
    <w:p w:rsidR="00EC639E" w:rsidRPr="006F6D5E" w:rsidRDefault="0077719B">
      <w:pPr>
        <w:rPr>
          <w:rFonts w:ascii="Calibri" w:eastAsia="Times New Roman" w:hAnsi="Calibri" w:cs="Calibri"/>
          <w:color w:val="1F497D"/>
          <w:sz w:val="44"/>
        </w:rPr>
      </w:pPr>
      <w:r>
        <w:rPr>
          <w:rFonts w:ascii="Calibri" w:eastAsia="Times New Roman" w:hAnsi="Calibri" w:cs="Calibri"/>
          <w:noProof/>
          <w:color w:val="1F497D"/>
          <w:lang w:eastAsia="en-GB"/>
        </w:rPr>
        <w:drawing>
          <wp:anchor distT="0" distB="0" distL="114300" distR="114300" simplePos="0" relativeHeight="251658240" behindDoc="1" locked="0" layoutInCell="1" allowOverlap="1" wp14:anchorId="526AE36B" wp14:editId="69A36060">
            <wp:simplePos x="0" y="0"/>
            <wp:positionH relativeFrom="column">
              <wp:posOffset>2068195</wp:posOffset>
            </wp:positionH>
            <wp:positionV relativeFrom="paragraph">
              <wp:posOffset>1238250</wp:posOffset>
            </wp:positionV>
            <wp:extent cx="2152650" cy="633095"/>
            <wp:effectExtent l="0" t="0" r="0" b="0"/>
            <wp:wrapTight wrapText="bothSides">
              <wp:wrapPolygon edited="0">
                <wp:start x="0" y="0"/>
                <wp:lineTo x="0" y="20798"/>
                <wp:lineTo x="21409" y="20798"/>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633095"/>
                    </a:xfrm>
                    <a:prstGeom prst="rect">
                      <a:avLst/>
                    </a:prstGeom>
                    <a:noFill/>
                  </pic:spPr>
                </pic:pic>
              </a:graphicData>
            </a:graphic>
            <wp14:sizeRelH relativeFrom="margin">
              <wp14:pctWidth>0</wp14:pctWidth>
            </wp14:sizeRelH>
            <wp14:sizeRelV relativeFrom="margin">
              <wp14:pctHeight>0</wp14:pctHeight>
            </wp14:sizeRelV>
          </wp:anchor>
        </w:drawing>
      </w:r>
      <w:r w:rsidR="00EC639E">
        <w:rPr>
          <w:rFonts w:ascii="Calibri" w:eastAsia="Times New Roman" w:hAnsi="Calibri" w:cs="Calibri"/>
          <w:color w:val="1F497D"/>
        </w:rPr>
        <w:br w:type="page"/>
      </w:r>
    </w:p>
    <w:p w:rsidR="00EC639E" w:rsidRPr="004E1297" w:rsidRDefault="00EC639E" w:rsidP="004E1297">
      <w:pPr>
        <w:pStyle w:val="ListParagraph"/>
        <w:numPr>
          <w:ilvl w:val="0"/>
          <w:numId w:val="1"/>
        </w:numPr>
        <w:spacing w:after="100" w:afterAutospacing="1" w:line="240" w:lineRule="auto"/>
        <w:rPr>
          <w:rFonts w:eastAsia="Times New Roman" w:cstheme="minorHAnsi"/>
          <w:b/>
          <w:sz w:val="28"/>
        </w:rPr>
      </w:pPr>
      <w:r w:rsidRPr="004E1297">
        <w:rPr>
          <w:rFonts w:eastAsia="Times New Roman" w:cstheme="minorHAnsi"/>
          <w:b/>
          <w:sz w:val="28"/>
        </w:rPr>
        <w:lastRenderedPageBreak/>
        <w:t>Introduction</w:t>
      </w:r>
    </w:p>
    <w:p w:rsidR="00FC7266" w:rsidRPr="004E1297" w:rsidRDefault="00FC7266" w:rsidP="004E1297">
      <w:pPr>
        <w:pStyle w:val="ListParagraph"/>
        <w:spacing w:after="100" w:afterAutospacing="1" w:line="240" w:lineRule="auto"/>
        <w:ind w:left="1080"/>
        <w:rPr>
          <w:rFonts w:eastAsia="Times New Roman" w:cstheme="minorHAnsi"/>
        </w:rPr>
      </w:pPr>
    </w:p>
    <w:p w:rsidR="00FC7266" w:rsidRPr="004E1297" w:rsidRDefault="00FC7266" w:rsidP="004E1297">
      <w:pPr>
        <w:pStyle w:val="ListParagraph"/>
        <w:spacing w:after="100" w:afterAutospacing="1" w:line="240" w:lineRule="auto"/>
        <w:ind w:left="1080"/>
        <w:rPr>
          <w:rFonts w:eastAsia="Times New Roman" w:cstheme="minorHAnsi"/>
        </w:rPr>
      </w:pPr>
      <w:r w:rsidRPr="004E1297">
        <w:rPr>
          <w:rFonts w:eastAsia="Times New Roman" w:cstheme="minorHAnsi"/>
        </w:rPr>
        <w:t xml:space="preserve">The purpose of this strategy is to ensure that there is a co-ordinated </w:t>
      </w:r>
      <w:r w:rsidR="00811C78" w:rsidRPr="004E1297">
        <w:rPr>
          <w:rFonts w:eastAsia="Times New Roman" w:cstheme="minorHAnsi"/>
        </w:rPr>
        <w:t xml:space="preserve">and consistent </w:t>
      </w:r>
      <w:r w:rsidRPr="004E1297">
        <w:rPr>
          <w:rFonts w:eastAsia="Times New Roman" w:cstheme="minorHAnsi"/>
        </w:rPr>
        <w:t xml:space="preserve">approach </w:t>
      </w:r>
      <w:r w:rsidR="00C817FD" w:rsidRPr="004E1297">
        <w:rPr>
          <w:rFonts w:eastAsia="Times New Roman" w:cstheme="minorHAnsi"/>
        </w:rPr>
        <w:t xml:space="preserve">when considering </w:t>
      </w:r>
      <w:r w:rsidR="00811C78" w:rsidRPr="004E1297">
        <w:rPr>
          <w:rFonts w:eastAsia="Times New Roman" w:cstheme="minorHAnsi"/>
        </w:rPr>
        <w:t xml:space="preserve">and responding to </w:t>
      </w:r>
      <w:r w:rsidR="00C817FD" w:rsidRPr="004E1297">
        <w:rPr>
          <w:rFonts w:eastAsia="Times New Roman" w:cstheme="minorHAnsi"/>
        </w:rPr>
        <w:t xml:space="preserve">the level of vulnerability of an individual </w:t>
      </w:r>
      <w:r w:rsidR="00DF332A">
        <w:rPr>
          <w:rFonts w:eastAsia="Times New Roman" w:cstheme="minorHAnsi"/>
        </w:rPr>
        <w:t>child</w:t>
      </w:r>
      <w:r w:rsidR="00FB1A15" w:rsidRPr="004E1297">
        <w:rPr>
          <w:rFonts w:eastAsia="Times New Roman" w:cstheme="minorHAnsi"/>
        </w:rPr>
        <w:t xml:space="preserve"> who </w:t>
      </w:r>
      <w:r w:rsidR="00C817FD" w:rsidRPr="004E1297">
        <w:rPr>
          <w:rFonts w:eastAsia="Times New Roman" w:cstheme="minorHAnsi"/>
        </w:rPr>
        <w:t xml:space="preserve">is deemed to be at high or </w:t>
      </w:r>
      <w:r w:rsidR="00BD25A6">
        <w:rPr>
          <w:rFonts w:eastAsia="Times New Roman" w:cstheme="minorHAnsi"/>
        </w:rPr>
        <w:t>severe</w:t>
      </w:r>
      <w:r w:rsidR="00C817FD" w:rsidRPr="004E1297">
        <w:rPr>
          <w:rFonts w:eastAsia="Times New Roman" w:cstheme="minorHAnsi"/>
        </w:rPr>
        <w:t xml:space="preserve"> risk</w:t>
      </w:r>
      <w:r w:rsidR="006F6D5E" w:rsidRPr="004E1297">
        <w:rPr>
          <w:rFonts w:eastAsia="Times New Roman" w:cstheme="minorHAnsi"/>
        </w:rPr>
        <w:t xml:space="preserve"> of harm. </w:t>
      </w:r>
    </w:p>
    <w:p w:rsidR="002A6963" w:rsidRPr="004E1297" w:rsidRDefault="002A6963" w:rsidP="004E1297">
      <w:pPr>
        <w:pStyle w:val="ListParagraph"/>
        <w:spacing w:after="100" w:afterAutospacing="1" w:line="240" w:lineRule="auto"/>
        <w:ind w:left="1080"/>
        <w:rPr>
          <w:rFonts w:eastAsia="Times New Roman" w:cstheme="minorHAnsi"/>
        </w:rPr>
      </w:pPr>
    </w:p>
    <w:p w:rsidR="009F2745" w:rsidRDefault="009F2745" w:rsidP="004E1297">
      <w:pPr>
        <w:pStyle w:val="ListParagraph"/>
        <w:spacing w:after="100" w:afterAutospacing="1" w:line="240" w:lineRule="auto"/>
        <w:ind w:left="1080"/>
        <w:rPr>
          <w:rFonts w:eastAsia="Times New Roman" w:cstheme="minorHAnsi"/>
        </w:rPr>
      </w:pPr>
      <w:r>
        <w:rPr>
          <w:rFonts w:eastAsia="Times New Roman" w:cstheme="minorHAnsi"/>
        </w:rPr>
        <w:t>This strategy recognises that any person aged up to 18yrs is a child. However the purpose of this strategy is to consider how risk is managed for children who are at the age and stage of development coincident with adolescence</w:t>
      </w:r>
      <w:r w:rsidR="00B42755">
        <w:rPr>
          <w:rFonts w:eastAsia="Times New Roman" w:cstheme="minorHAnsi"/>
        </w:rPr>
        <w:t xml:space="preserve"> and in recognition that c</w:t>
      </w:r>
      <w:r w:rsidR="00FF29F6">
        <w:rPr>
          <w:rFonts w:eastAsia="Times New Roman" w:cstheme="minorHAnsi"/>
        </w:rPr>
        <w:t xml:space="preserve">hildren and young adults with additional vulnerabilities require additional guidance </w:t>
      </w:r>
      <w:r>
        <w:rPr>
          <w:rFonts w:eastAsia="Times New Roman" w:cstheme="minorHAnsi"/>
        </w:rPr>
        <w:t xml:space="preserve">to ensure it maintains the recognition that adolescents are children </w:t>
      </w:r>
      <w:r w:rsidR="00DF332A">
        <w:rPr>
          <w:rFonts w:eastAsia="Times New Roman" w:cstheme="minorHAnsi"/>
        </w:rPr>
        <w:t>and</w:t>
      </w:r>
      <w:r>
        <w:rPr>
          <w:rFonts w:eastAsia="Times New Roman" w:cstheme="minorHAnsi"/>
        </w:rPr>
        <w:t xml:space="preserve"> that they have additional needs because of their age</w:t>
      </w:r>
      <w:r w:rsidR="00DF332A">
        <w:rPr>
          <w:rFonts w:eastAsia="Times New Roman" w:cstheme="minorHAnsi"/>
        </w:rPr>
        <w:t xml:space="preserve"> and stage of development</w:t>
      </w:r>
      <w:r>
        <w:rPr>
          <w:rFonts w:eastAsia="Times New Roman" w:cstheme="minorHAnsi"/>
        </w:rPr>
        <w:t>.</w:t>
      </w:r>
    </w:p>
    <w:p w:rsidR="009F2745" w:rsidRDefault="009F2745" w:rsidP="004E1297">
      <w:pPr>
        <w:pStyle w:val="ListParagraph"/>
        <w:spacing w:after="100" w:afterAutospacing="1" w:line="240" w:lineRule="auto"/>
        <w:ind w:left="1080"/>
        <w:rPr>
          <w:rFonts w:eastAsia="Times New Roman" w:cstheme="minorHAnsi"/>
        </w:rPr>
      </w:pPr>
    </w:p>
    <w:p w:rsidR="009F2745" w:rsidRDefault="00D858D8" w:rsidP="004E1297">
      <w:pPr>
        <w:pStyle w:val="ListParagraph"/>
        <w:spacing w:after="100" w:afterAutospacing="1" w:line="240" w:lineRule="auto"/>
        <w:ind w:left="1080"/>
        <w:rPr>
          <w:rFonts w:eastAsia="Times New Roman" w:cstheme="minorHAnsi"/>
        </w:rPr>
      </w:pPr>
      <w:r>
        <w:rPr>
          <w:rFonts w:eastAsia="Times New Roman" w:cstheme="minorHAnsi"/>
        </w:rPr>
        <w:t>Young people</w:t>
      </w:r>
      <w:r w:rsidR="009F2745">
        <w:rPr>
          <w:rFonts w:eastAsia="Times New Roman" w:cstheme="minorHAnsi"/>
        </w:rPr>
        <w:t xml:space="preserve"> </w:t>
      </w:r>
      <w:r w:rsidR="00DF332A">
        <w:rPr>
          <w:rFonts w:eastAsia="Times New Roman" w:cstheme="minorHAnsi"/>
        </w:rPr>
        <w:t xml:space="preserve">need </w:t>
      </w:r>
      <w:r w:rsidR="009F2745">
        <w:rPr>
          <w:rFonts w:eastAsia="Times New Roman" w:cstheme="minorHAnsi"/>
        </w:rPr>
        <w:t>to be treated equally</w:t>
      </w:r>
      <w:r w:rsidR="00DF332A">
        <w:rPr>
          <w:rFonts w:eastAsia="Times New Roman" w:cstheme="minorHAnsi"/>
        </w:rPr>
        <w:t xml:space="preserve">, with respect and dignity irrespective of their ethnicity, religion, culture, gender identity, sexual orientation or care status. Any professional contact or response to need </w:t>
      </w:r>
      <w:r w:rsidR="00C467BC">
        <w:rPr>
          <w:rFonts w:eastAsia="Times New Roman" w:cstheme="minorHAnsi"/>
        </w:rPr>
        <w:t>and risk must take into account</w:t>
      </w:r>
      <w:r w:rsidR="00DF332A">
        <w:rPr>
          <w:rFonts w:eastAsia="Times New Roman" w:cstheme="minorHAnsi"/>
        </w:rPr>
        <w:t xml:space="preserve"> the</w:t>
      </w:r>
      <w:r>
        <w:rPr>
          <w:rFonts w:eastAsia="Times New Roman" w:cstheme="minorHAnsi"/>
        </w:rPr>
        <w:t xml:space="preserve"> young person’s</w:t>
      </w:r>
      <w:r w:rsidR="00DF332A">
        <w:rPr>
          <w:rFonts w:eastAsia="Times New Roman" w:cstheme="minorHAnsi"/>
        </w:rPr>
        <w:t xml:space="preserve"> context</w:t>
      </w:r>
      <w:r w:rsidR="00C467BC">
        <w:rPr>
          <w:rFonts w:eastAsia="Times New Roman" w:cstheme="minorHAnsi"/>
        </w:rPr>
        <w:t>, their individuality</w:t>
      </w:r>
      <w:r w:rsidR="00683A8E">
        <w:rPr>
          <w:rFonts w:eastAsia="Times New Roman" w:cstheme="minorHAnsi"/>
        </w:rPr>
        <w:t xml:space="preserve"> and own perception of</w:t>
      </w:r>
      <w:r w:rsidR="00DF332A">
        <w:rPr>
          <w:rFonts w:eastAsia="Times New Roman" w:cstheme="minorHAnsi"/>
        </w:rPr>
        <w:t xml:space="preserve"> their circumstance. It must be recognised that factors exist which increase</w:t>
      </w:r>
      <w:r>
        <w:rPr>
          <w:rFonts w:eastAsia="Times New Roman" w:cstheme="minorHAnsi"/>
        </w:rPr>
        <w:t xml:space="preserve"> a young person</w:t>
      </w:r>
      <w:r w:rsidR="00DF332A">
        <w:rPr>
          <w:rFonts w:eastAsia="Times New Roman" w:cstheme="minorHAnsi"/>
        </w:rPr>
        <w:t xml:space="preserve">’s vulnerability for example </w:t>
      </w:r>
      <w:r w:rsidR="00683A8E">
        <w:rPr>
          <w:rFonts w:eastAsia="Times New Roman" w:cstheme="minorHAnsi"/>
        </w:rPr>
        <w:t xml:space="preserve">if they have a </w:t>
      </w:r>
      <w:r w:rsidR="00DF332A">
        <w:rPr>
          <w:rFonts w:eastAsia="Times New Roman" w:cstheme="minorHAnsi"/>
        </w:rPr>
        <w:t>learning or physical disability, experience of living with adversity</w:t>
      </w:r>
      <w:r w:rsidR="00683A8E">
        <w:rPr>
          <w:rFonts w:eastAsia="Times New Roman" w:cstheme="minorHAnsi"/>
        </w:rPr>
        <w:t xml:space="preserve"> and past trauma</w:t>
      </w:r>
      <w:r w:rsidR="00DF332A">
        <w:rPr>
          <w:rFonts w:eastAsia="Times New Roman" w:cstheme="minorHAnsi"/>
        </w:rPr>
        <w:t>, being brought up in the ‘care system’</w:t>
      </w:r>
      <w:r w:rsidR="00683A8E">
        <w:rPr>
          <w:rFonts w:eastAsia="Times New Roman" w:cstheme="minorHAnsi"/>
        </w:rPr>
        <w:t>, living</w:t>
      </w:r>
      <w:r w:rsidR="00DF332A">
        <w:rPr>
          <w:rFonts w:eastAsia="Times New Roman" w:cstheme="minorHAnsi"/>
        </w:rPr>
        <w:t xml:space="preserve"> away from parents, </w:t>
      </w:r>
      <w:r w:rsidR="00683A8E">
        <w:rPr>
          <w:rFonts w:eastAsia="Times New Roman" w:cstheme="minorHAnsi"/>
        </w:rPr>
        <w:t>experience of being a ca</w:t>
      </w:r>
      <w:r w:rsidR="00DF332A">
        <w:rPr>
          <w:rFonts w:eastAsia="Times New Roman" w:cstheme="minorHAnsi"/>
        </w:rPr>
        <w:t>rer throughout their child</w:t>
      </w:r>
      <w:r w:rsidR="00683A8E">
        <w:rPr>
          <w:rFonts w:eastAsia="Times New Roman" w:cstheme="minorHAnsi"/>
        </w:rPr>
        <w:t>hood, emotional and / or behavioural needs.</w:t>
      </w:r>
    </w:p>
    <w:p w:rsidR="009F2745" w:rsidRDefault="009F2745" w:rsidP="004E1297">
      <w:pPr>
        <w:pStyle w:val="ListParagraph"/>
        <w:spacing w:after="100" w:afterAutospacing="1" w:line="240" w:lineRule="auto"/>
        <w:ind w:left="1080"/>
        <w:rPr>
          <w:rFonts w:eastAsia="Times New Roman" w:cstheme="minorHAnsi"/>
        </w:rPr>
      </w:pPr>
    </w:p>
    <w:p w:rsidR="002A6963" w:rsidRPr="004E1297" w:rsidRDefault="002A6963" w:rsidP="004E1297">
      <w:pPr>
        <w:pStyle w:val="ListParagraph"/>
        <w:spacing w:after="100" w:afterAutospacing="1" w:line="240" w:lineRule="auto"/>
        <w:ind w:left="1080"/>
        <w:rPr>
          <w:rFonts w:eastAsia="Times New Roman" w:cstheme="minorHAnsi"/>
        </w:rPr>
      </w:pPr>
      <w:r w:rsidRPr="004E1297">
        <w:rPr>
          <w:rFonts w:eastAsia="Times New Roman" w:cstheme="minorHAnsi"/>
        </w:rPr>
        <w:t xml:space="preserve">For </w:t>
      </w:r>
      <w:r w:rsidR="00D858D8">
        <w:rPr>
          <w:rFonts w:eastAsia="Times New Roman" w:cstheme="minorHAnsi"/>
        </w:rPr>
        <w:t>young people</w:t>
      </w:r>
      <w:r w:rsidRPr="004E1297">
        <w:rPr>
          <w:rFonts w:eastAsia="Times New Roman" w:cstheme="minorHAnsi"/>
        </w:rPr>
        <w:t xml:space="preserve"> risk is normal and natural, but for some, the risks that they face or take and the harms that can come with these, are not good.  In fact, some of these harms are greater than those experienced by younger children (RiP, 2014).</w:t>
      </w:r>
    </w:p>
    <w:p w:rsidR="002A6963" w:rsidRPr="004E1297" w:rsidRDefault="002A6963" w:rsidP="004E1297">
      <w:pPr>
        <w:pStyle w:val="ListParagraph"/>
        <w:spacing w:after="100" w:afterAutospacing="1" w:line="240" w:lineRule="auto"/>
        <w:ind w:left="1080"/>
        <w:rPr>
          <w:rFonts w:eastAsia="Times New Roman" w:cstheme="minorHAnsi"/>
        </w:rPr>
      </w:pPr>
    </w:p>
    <w:p w:rsidR="002A6963" w:rsidRPr="004E1297" w:rsidRDefault="00D858D8" w:rsidP="004E1297">
      <w:pPr>
        <w:pStyle w:val="ListParagraph"/>
        <w:spacing w:after="100" w:afterAutospacing="1" w:line="240" w:lineRule="auto"/>
        <w:ind w:left="1080"/>
        <w:rPr>
          <w:rFonts w:eastAsia="Times New Roman" w:cstheme="minorHAnsi"/>
        </w:rPr>
      </w:pPr>
      <w:r>
        <w:rPr>
          <w:rFonts w:eastAsia="Times New Roman" w:cstheme="minorHAnsi"/>
        </w:rPr>
        <w:t>A young person</w:t>
      </w:r>
      <w:r w:rsidR="002A6963" w:rsidRPr="004E1297">
        <w:rPr>
          <w:rFonts w:eastAsia="Times New Roman" w:cstheme="minorHAnsi"/>
        </w:rPr>
        <w:t>’s risk can take three forms:</w:t>
      </w:r>
    </w:p>
    <w:p w:rsidR="002A6963" w:rsidRPr="004E1297" w:rsidRDefault="002A6963" w:rsidP="004E1297">
      <w:pPr>
        <w:pStyle w:val="ListParagraph"/>
        <w:spacing w:after="100" w:afterAutospacing="1" w:line="240" w:lineRule="auto"/>
        <w:ind w:left="1080"/>
        <w:rPr>
          <w:rFonts w:eastAsia="Times New Roman" w:cstheme="minorHAnsi"/>
        </w:rPr>
      </w:pPr>
      <w:r w:rsidRPr="004E1297">
        <w:rPr>
          <w:rFonts w:eastAsia="Times New Roman" w:cstheme="minorHAnsi"/>
        </w:rPr>
        <w:t>a)</w:t>
      </w:r>
      <w:r w:rsidRPr="004E1297">
        <w:rPr>
          <w:rFonts w:eastAsia="Times New Roman" w:cstheme="minorHAnsi"/>
        </w:rPr>
        <w:tab/>
        <w:t xml:space="preserve">Risks from their families.  </w:t>
      </w:r>
    </w:p>
    <w:p w:rsidR="002A6963" w:rsidRPr="004E1297" w:rsidRDefault="002A6963" w:rsidP="004E1297">
      <w:pPr>
        <w:pStyle w:val="ListParagraph"/>
        <w:spacing w:after="100" w:afterAutospacing="1" w:line="240" w:lineRule="auto"/>
        <w:ind w:left="1080"/>
        <w:rPr>
          <w:rFonts w:eastAsia="Times New Roman" w:cstheme="minorHAnsi"/>
        </w:rPr>
      </w:pPr>
      <w:r w:rsidRPr="004E1297">
        <w:rPr>
          <w:rFonts w:eastAsia="Times New Roman" w:cstheme="minorHAnsi"/>
        </w:rPr>
        <w:t>b)</w:t>
      </w:r>
      <w:r w:rsidRPr="004E1297">
        <w:rPr>
          <w:rFonts w:eastAsia="Times New Roman" w:cstheme="minorHAnsi"/>
        </w:rPr>
        <w:tab/>
        <w:t>Risks to themselves (from themselves and/or others in their wider network).</w:t>
      </w:r>
    </w:p>
    <w:p w:rsidR="002A6963" w:rsidRDefault="002A6963" w:rsidP="004E1297">
      <w:pPr>
        <w:pStyle w:val="ListParagraph"/>
        <w:spacing w:after="100" w:afterAutospacing="1" w:line="240" w:lineRule="auto"/>
        <w:ind w:left="1080"/>
        <w:rPr>
          <w:rFonts w:eastAsia="Times New Roman" w:cstheme="minorHAnsi"/>
        </w:rPr>
      </w:pPr>
      <w:r w:rsidRPr="004E1297">
        <w:rPr>
          <w:rFonts w:eastAsia="Times New Roman" w:cstheme="minorHAnsi"/>
        </w:rPr>
        <w:t>c)</w:t>
      </w:r>
      <w:r w:rsidRPr="004E1297">
        <w:rPr>
          <w:rFonts w:eastAsia="Times New Roman" w:cstheme="minorHAnsi"/>
        </w:rPr>
        <w:tab/>
        <w:t>Risks that they may pose to others (e.g. through offending, harmful sexual behaviours</w:t>
      </w:r>
      <w:r w:rsidR="003155E1" w:rsidRPr="004E1297">
        <w:rPr>
          <w:rFonts w:eastAsia="Times New Roman" w:cstheme="minorHAnsi"/>
        </w:rPr>
        <w:t xml:space="preserve">, abusive relationships, etc.) </w:t>
      </w:r>
    </w:p>
    <w:p w:rsidR="004E1297" w:rsidRPr="004E1297" w:rsidRDefault="004E1297" w:rsidP="004E1297">
      <w:pPr>
        <w:pStyle w:val="ListParagraph"/>
        <w:spacing w:after="100" w:afterAutospacing="1" w:line="240" w:lineRule="auto"/>
        <w:ind w:left="1080"/>
        <w:rPr>
          <w:rFonts w:eastAsia="Times New Roman" w:cstheme="minorHAnsi"/>
        </w:rPr>
      </w:pPr>
    </w:p>
    <w:p w:rsidR="00FC7266" w:rsidRPr="004E1297" w:rsidRDefault="00D858D8" w:rsidP="004E1297">
      <w:pPr>
        <w:pStyle w:val="ListParagraph"/>
        <w:spacing w:after="100" w:afterAutospacing="1" w:line="240" w:lineRule="auto"/>
        <w:ind w:left="1080"/>
        <w:rPr>
          <w:rFonts w:eastAsia="Times New Roman" w:cstheme="minorHAnsi"/>
        </w:rPr>
      </w:pPr>
      <w:r>
        <w:rPr>
          <w:rFonts w:eastAsia="Times New Roman" w:cstheme="minorHAnsi"/>
        </w:rPr>
        <w:t>This guidance</w:t>
      </w:r>
      <w:r w:rsidR="00FC7266" w:rsidRPr="004E1297">
        <w:rPr>
          <w:rFonts w:eastAsia="Times New Roman" w:cstheme="minorHAnsi"/>
        </w:rPr>
        <w:t xml:space="preserve"> starts from the understanding that risks to</w:t>
      </w:r>
      <w:r w:rsidR="00C817FD" w:rsidRPr="004E1297">
        <w:rPr>
          <w:rFonts w:eastAsia="Times New Roman" w:cstheme="minorHAnsi"/>
        </w:rPr>
        <w:t xml:space="preserve"> children </w:t>
      </w:r>
      <w:r w:rsidR="00683A8E">
        <w:rPr>
          <w:rFonts w:eastAsia="Times New Roman" w:cstheme="minorHAnsi"/>
        </w:rPr>
        <w:t>exist and the requirement</w:t>
      </w:r>
      <w:r w:rsidR="00C817FD" w:rsidRPr="004E1297">
        <w:rPr>
          <w:rFonts w:eastAsia="Times New Roman" w:cstheme="minorHAnsi"/>
        </w:rPr>
        <w:t xml:space="preserve"> of </w:t>
      </w:r>
      <w:r w:rsidR="00FC7266" w:rsidRPr="004E1297">
        <w:rPr>
          <w:rFonts w:eastAsia="Times New Roman" w:cstheme="minorHAnsi"/>
        </w:rPr>
        <w:t>partner</w:t>
      </w:r>
      <w:r w:rsidR="00C817FD" w:rsidRPr="004E1297">
        <w:rPr>
          <w:rFonts w:eastAsia="Times New Roman" w:cstheme="minorHAnsi"/>
        </w:rPr>
        <w:t xml:space="preserve"> agencie</w:t>
      </w:r>
      <w:r w:rsidR="00FC7266" w:rsidRPr="004E1297">
        <w:rPr>
          <w:rFonts w:eastAsia="Times New Roman" w:cstheme="minorHAnsi"/>
        </w:rPr>
        <w:t xml:space="preserve">s is to understand and manage that risk effectively. Risk management does not mean risk taking, which exposes </w:t>
      </w:r>
      <w:r>
        <w:rPr>
          <w:rFonts w:eastAsia="Times New Roman" w:cstheme="minorHAnsi"/>
        </w:rPr>
        <w:t>young people</w:t>
      </w:r>
      <w:r w:rsidR="00E37A13" w:rsidRPr="004E1297">
        <w:rPr>
          <w:rFonts w:eastAsia="Times New Roman" w:cstheme="minorHAnsi"/>
        </w:rPr>
        <w:t xml:space="preserve"> </w:t>
      </w:r>
      <w:r w:rsidR="00FC7266" w:rsidRPr="004E1297">
        <w:rPr>
          <w:rFonts w:eastAsia="Times New Roman" w:cstheme="minorHAnsi"/>
        </w:rPr>
        <w:t>to avoidable injury and harm</w:t>
      </w:r>
      <w:r w:rsidR="00CE2992">
        <w:rPr>
          <w:rFonts w:eastAsia="Times New Roman" w:cstheme="minorHAnsi"/>
        </w:rPr>
        <w:t xml:space="preserve"> whilst developing resilience;</w:t>
      </w:r>
      <w:r w:rsidR="00FC7266" w:rsidRPr="004E1297">
        <w:rPr>
          <w:rFonts w:eastAsia="Times New Roman" w:cstheme="minorHAnsi"/>
        </w:rPr>
        <w:t xml:space="preserve"> nor does it mean risk aversion which can lead to an overly interventionist role in the lives of </w:t>
      </w:r>
      <w:r>
        <w:rPr>
          <w:rFonts w:eastAsia="Times New Roman" w:cstheme="minorHAnsi"/>
        </w:rPr>
        <w:t>young people</w:t>
      </w:r>
      <w:r w:rsidR="004358A8" w:rsidRPr="004E1297">
        <w:rPr>
          <w:rFonts w:eastAsia="Times New Roman" w:cstheme="minorHAnsi"/>
        </w:rPr>
        <w:t xml:space="preserve"> </w:t>
      </w:r>
      <w:r w:rsidR="00FC7266" w:rsidRPr="004E1297">
        <w:rPr>
          <w:rFonts w:eastAsia="Times New Roman" w:cstheme="minorHAnsi"/>
        </w:rPr>
        <w:t xml:space="preserve">and their families. Risk management means understanding and analysing the risks </w:t>
      </w:r>
      <w:r w:rsidR="00683A8E">
        <w:rPr>
          <w:rFonts w:eastAsia="Times New Roman" w:cstheme="minorHAnsi"/>
        </w:rPr>
        <w:t>older children</w:t>
      </w:r>
      <w:r w:rsidR="00E37A13" w:rsidRPr="004E1297">
        <w:rPr>
          <w:rFonts w:eastAsia="Times New Roman" w:cstheme="minorHAnsi"/>
        </w:rPr>
        <w:t xml:space="preserve"> </w:t>
      </w:r>
      <w:r w:rsidR="00FC7266" w:rsidRPr="004E1297">
        <w:rPr>
          <w:rFonts w:eastAsia="Times New Roman" w:cstheme="minorHAnsi"/>
        </w:rPr>
        <w:t xml:space="preserve">face and actively managing them to reduce their impact. </w:t>
      </w:r>
      <w:r w:rsidR="004358A8" w:rsidRPr="004E1297">
        <w:rPr>
          <w:rFonts w:eastAsia="Times New Roman" w:cstheme="minorHAnsi"/>
        </w:rPr>
        <w:t xml:space="preserve"> </w:t>
      </w:r>
    </w:p>
    <w:p w:rsidR="002A6963" w:rsidRPr="004E1297" w:rsidRDefault="002A6963" w:rsidP="004E1297">
      <w:pPr>
        <w:pStyle w:val="ListParagraph"/>
        <w:spacing w:after="100" w:afterAutospacing="1" w:line="240" w:lineRule="auto"/>
        <w:ind w:left="1080"/>
        <w:rPr>
          <w:rFonts w:eastAsia="Times New Roman" w:cstheme="minorHAnsi"/>
        </w:rPr>
      </w:pPr>
    </w:p>
    <w:p w:rsidR="00683A8E" w:rsidRDefault="002A6963" w:rsidP="00683A8E">
      <w:pPr>
        <w:pStyle w:val="ListParagraph"/>
        <w:spacing w:after="100" w:afterAutospacing="1" w:line="240" w:lineRule="auto"/>
        <w:ind w:left="1080"/>
        <w:rPr>
          <w:rFonts w:eastAsia="Times New Roman" w:cstheme="minorHAnsi"/>
        </w:rPr>
      </w:pPr>
      <w:r w:rsidRPr="004E1297">
        <w:rPr>
          <w:rFonts w:eastAsia="Times New Roman" w:cstheme="minorHAnsi"/>
        </w:rPr>
        <w:t>T</w:t>
      </w:r>
      <w:r w:rsidR="007F259E" w:rsidRPr="004E1297">
        <w:rPr>
          <w:rFonts w:eastAsia="Times New Roman" w:cstheme="minorHAnsi"/>
        </w:rPr>
        <w:t xml:space="preserve">his </w:t>
      </w:r>
      <w:r w:rsidR="00D858D8">
        <w:rPr>
          <w:rFonts w:eastAsia="Times New Roman" w:cstheme="minorHAnsi"/>
        </w:rPr>
        <w:t>guidance</w:t>
      </w:r>
      <w:r w:rsidR="007F259E" w:rsidRPr="004E1297">
        <w:rPr>
          <w:rFonts w:eastAsia="Times New Roman" w:cstheme="minorHAnsi"/>
        </w:rPr>
        <w:t xml:space="preserve"> </w:t>
      </w:r>
      <w:r w:rsidR="003155E1" w:rsidRPr="004E1297">
        <w:rPr>
          <w:rFonts w:eastAsia="Times New Roman" w:cstheme="minorHAnsi"/>
        </w:rPr>
        <w:t xml:space="preserve">raises the current dilemmas in practice that exist, explores the complexity of safeguarding and </w:t>
      </w:r>
      <w:r w:rsidR="00683A8E" w:rsidRPr="009177A5">
        <w:rPr>
          <w:rFonts w:eastAsia="Times New Roman" w:cstheme="minorHAnsi"/>
        </w:rPr>
        <w:t>young people</w:t>
      </w:r>
      <w:r w:rsidR="00683A8E">
        <w:rPr>
          <w:rFonts w:eastAsia="Times New Roman" w:cstheme="minorHAnsi"/>
        </w:rPr>
        <w:t xml:space="preserve"> as a specific group</w:t>
      </w:r>
      <w:r w:rsidR="003155E1" w:rsidRPr="004E1297">
        <w:rPr>
          <w:rFonts w:eastAsia="Times New Roman" w:cstheme="minorHAnsi"/>
        </w:rPr>
        <w:t xml:space="preserve"> and highlights the added dimensions to working with and managing risk</w:t>
      </w:r>
      <w:r w:rsidR="00BD58FD" w:rsidRPr="004E1297">
        <w:rPr>
          <w:rFonts w:eastAsia="Times New Roman" w:cstheme="minorHAnsi"/>
        </w:rPr>
        <w:t xml:space="preserve"> with </w:t>
      </w:r>
      <w:r w:rsidR="00683A8E">
        <w:rPr>
          <w:rFonts w:eastAsia="Times New Roman" w:cstheme="minorHAnsi"/>
        </w:rPr>
        <w:t>them</w:t>
      </w:r>
      <w:r w:rsidR="00BD58FD" w:rsidRPr="004E1297">
        <w:rPr>
          <w:rFonts w:eastAsia="Times New Roman" w:cstheme="minorHAnsi"/>
        </w:rPr>
        <w:t>.</w:t>
      </w:r>
      <w:r w:rsidR="00683A8E">
        <w:rPr>
          <w:rFonts w:eastAsia="Times New Roman" w:cstheme="minorHAnsi"/>
        </w:rPr>
        <w:t xml:space="preserve"> It concludes by setting out the way agencies within Gloucestershire will respond to ensure older children are protected and safeguarded as best they can be.</w:t>
      </w:r>
    </w:p>
    <w:p w:rsidR="00683A8E" w:rsidRDefault="00683A8E" w:rsidP="00683A8E">
      <w:pPr>
        <w:pStyle w:val="ListParagraph"/>
        <w:spacing w:after="100" w:afterAutospacing="1" w:line="240" w:lineRule="auto"/>
        <w:ind w:left="1080"/>
        <w:rPr>
          <w:rFonts w:eastAsia="Times New Roman" w:cstheme="minorHAnsi"/>
        </w:rPr>
      </w:pPr>
    </w:p>
    <w:p w:rsidR="007F259E" w:rsidRDefault="007F259E" w:rsidP="004E1297">
      <w:pPr>
        <w:pStyle w:val="ListParagraph"/>
        <w:spacing w:after="100" w:afterAutospacing="1" w:line="240" w:lineRule="auto"/>
        <w:ind w:left="1080"/>
        <w:rPr>
          <w:rFonts w:eastAsia="Times New Roman" w:cstheme="minorHAnsi"/>
        </w:rPr>
      </w:pPr>
    </w:p>
    <w:p w:rsidR="00B140F7" w:rsidRPr="004E1297" w:rsidRDefault="00B140F7" w:rsidP="004E1297">
      <w:pPr>
        <w:pStyle w:val="ListParagraph"/>
        <w:spacing w:after="100" w:afterAutospacing="1" w:line="240" w:lineRule="auto"/>
        <w:ind w:left="1080"/>
        <w:rPr>
          <w:rFonts w:eastAsia="Times New Roman" w:cstheme="minorHAnsi"/>
        </w:rPr>
      </w:pPr>
    </w:p>
    <w:p w:rsidR="007F259E" w:rsidRPr="004E1297" w:rsidRDefault="007F259E" w:rsidP="004E1297">
      <w:pPr>
        <w:pStyle w:val="ListParagraph"/>
        <w:spacing w:after="100" w:afterAutospacing="1" w:line="240" w:lineRule="auto"/>
        <w:ind w:left="1080"/>
        <w:rPr>
          <w:rFonts w:eastAsia="Times New Roman" w:cstheme="minorHAnsi"/>
        </w:rPr>
      </w:pPr>
      <w:r w:rsidRPr="004E1297">
        <w:rPr>
          <w:rFonts w:eastAsia="Times New Roman" w:cstheme="minorHAnsi"/>
        </w:rPr>
        <w:t xml:space="preserve"> </w:t>
      </w:r>
    </w:p>
    <w:p w:rsidR="00D52993" w:rsidRPr="004E1297" w:rsidRDefault="00D52993" w:rsidP="004E1297">
      <w:pPr>
        <w:pStyle w:val="ListParagraph"/>
        <w:numPr>
          <w:ilvl w:val="0"/>
          <w:numId w:val="1"/>
        </w:numPr>
        <w:spacing w:after="100" w:afterAutospacing="1" w:line="240" w:lineRule="auto"/>
        <w:rPr>
          <w:rFonts w:eastAsia="Times New Roman" w:cstheme="minorHAnsi"/>
          <w:b/>
          <w:sz w:val="28"/>
        </w:rPr>
      </w:pPr>
      <w:r w:rsidRPr="004E1297">
        <w:rPr>
          <w:rFonts w:eastAsia="Times New Roman" w:cstheme="minorHAnsi"/>
          <w:b/>
          <w:sz w:val="28"/>
        </w:rPr>
        <w:t>Current dilemmas in practice</w:t>
      </w:r>
    </w:p>
    <w:p w:rsidR="00D52993" w:rsidRPr="004E1297" w:rsidRDefault="00D52993" w:rsidP="004E1297">
      <w:pPr>
        <w:pStyle w:val="ListParagraph"/>
        <w:spacing w:after="100" w:afterAutospacing="1" w:line="240" w:lineRule="auto"/>
        <w:ind w:left="1080"/>
        <w:rPr>
          <w:rFonts w:eastAsia="Times New Roman" w:cstheme="minorHAnsi"/>
        </w:rPr>
      </w:pPr>
    </w:p>
    <w:p w:rsidR="00E15448" w:rsidRDefault="00E24873" w:rsidP="00E15448">
      <w:pPr>
        <w:pStyle w:val="ListParagraph"/>
        <w:spacing w:after="100" w:afterAutospacing="1" w:line="240" w:lineRule="auto"/>
        <w:ind w:left="1080"/>
        <w:rPr>
          <w:rFonts w:eastAsia="Times New Roman" w:cstheme="minorHAnsi"/>
        </w:rPr>
      </w:pPr>
      <w:r w:rsidRPr="004E1297">
        <w:rPr>
          <w:rFonts w:eastAsia="Times New Roman" w:cstheme="minorHAnsi"/>
        </w:rPr>
        <w:t xml:space="preserve">As identified in the RiP paper ‘That Difficult Age’ (2014) </w:t>
      </w:r>
      <w:r w:rsidR="006F46A2">
        <w:rPr>
          <w:rStyle w:val="FootnoteReference"/>
          <w:rFonts w:eastAsia="Times New Roman" w:cstheme="minorHAnsi"/>
        </w:rPr>
        <w:footnoteReference w:id="1"/>
      </w:r>
      <w:r w:rsidR="00E15448">
        <w:rPr>
          <w:rFonts w:eastAsia="Times New Roman" w:cstheme="minorHAnsi"/>
        </w:rPr>
        <w:t xml:space="preserve"> </w:t>
      </w:r>
      <w:r w:rsidRPr="004E1297">
        <w:rPr>
          <w:rFonts w:eastAsia="Times New Roman" w:cstheme="minorHAnsi"/>
        </w:rPr>
        <w:t>the c</w:t>
      </w:r>
      <w:r w:rsidR="006F46A2">
        <w:rPr>
          <w:rFonts w:eastAsia="Times New Roman" w:cstheme="minorHAnsi"/>
        </w:rPr>
        <w:t>urrent child protection process</w:t>
      </w:r>
      <w:r w:rsidR="00E15448">
        <w:rPr>
          <w:rFonts w:eastAsia="Times New Roman" w:cstheme="minorHAnsi"/>
        </w:rPr>
        <w:t xml:space="preserve"> </w:t>
      </w:r>
      <w:r w:rsidR="006F46A2">
        <w:rPr>
          <w:rFonts w:eastAsia="Times New Roman" w:cstheme="minorHAnsi"/>
        </w:rPr>
        <w:t>does not fit easily with</w:t>
      </w:r>
      <w:r w:rsidRPr="004E1297">
        <w:rPr>
          <w:rFonts w:eastAsia="Times New Roman" w:cstheme="minorHAnsi"/>
        </w:rPr>
        <w:t xml:space="preserve"> the risks experienced, and engagement challenges p</w:t>
      </w:r>
      <w:r w:rsidR="00683A8E">
        <w:rPr>
          <w:rFonts w:eastAsia="Times New Roman" w:cstheme="minorHAnsi"/>
        </w:rPr>
        <w:t>osed, by vulnerable older children</w:t>
      </w:r>
      <w:r w:rsidRPr="004E1297">
        <w:rPr>
          <w:rFonts w:eastAsia="Times New Roman" w:cstheme="minorHAnsi"/>
        </w:rPr>
        <w:t xml:space="preserve">.  This has been felt in Gloucestershire with enduring confusion about which is the best risk management process/forum for </w:t>
      </w:r>
      <w:r w:rsidR="00D858D8">
        <w:rPr>
          <w:rFonts w:eastAsia="Times New Roman" w:cstheme="minorHAnsi"/>
        </w:rPr>
        <w:t>young people</w:t>
      </w:r>
      <w:r w:rsidR="00683A8E">
        <w:rPr>
          <w:rFonts w:eastAsia="Times New Roman" w:cstheme="minorHAnsi"/>
        </w:rPr>
        <w:t xml:space="preserve">. </w:t>
      </w:r>
    </w:p>
    <w:p w:rsidR="00E15448" w:rsidRDefault="00E15448" w:rsidP="00E15448">
      <w:pPr>
        <w:pStyle w:val="ListParagraph"/>
        <w:spacing w:after="100" w:afterAutospacing="1" w:line="240" w:lineRule="auto"/>
        <w:ind w:left="1080"/>
        <w:rPr>
          <w:rFonts w:eastAsia="Times New Roman" w:cstheme="minorHAnsi"/>
        </w:rPr>
      </w:pPr>
    </w:p>
    <w:p w:rsidR="006F46A2" w:rsidRDefault="00E15448" w:rsidP="006F46A2">
      <w:pPr>
        <w:pStyle w:val="ListParagraph"/>
        <w:spacing w:after="100" w:afterAutospacing="1" w:line="240" w:lineRule="auto"/>
        <w:ind w:left="1080"/>
        <w:rPr>
          <w:rFonts w:eastAsia="Times New Roman" w:cstheme="minorHAnsi"/>
        </w:rPr>
      </w:pPr>
      <w:r>
        <w:rPr>
          <w:rFonts w:eastAsia="Times New Roman" w:cstheme="minorHAnsi"/>
        </w:rPr>
        <w:t xml:space="preserve">Historically vulnerabilities have been considered in silos for example Children who go Missing, Child Sexual Exploitation, </w:t>
      </w:r>
      <w:r w:rsidR="00CE2992">
        <w:rPr>
          <w:rFonts w:eastAsia="Times New Roman" w:cstheme="minorHAnsi"/>
        </w:rPr>
        <w:t xml:space="preserve">substance misuse, emotional and mental ill health, </w:t>
      </w:r>
      <w:r>
        <w:rPr>
          <w:rFonts w:eastAsia="Times New Roman" w:cstheme="minorHAnsi"/>
        </w:rPr>
        <w:t xml:space="preserve">radicalisation, children at risk of trafficking, domestic abuse. This resulted in </w:t>
      </w:r>
      <w:r w:rsidR="00D858D8">
        <w:rPr>
          <w:rFonts w:eastAsia="Times New Roman" w:cstheme="minorHAnsi"/>
        </w:rPr>
        <w:t>young people</w:t>
      </w:r>
      <w:r>
        <w:rPr>
          <w:rFonts w:eastAsia="Times New Roman" w:cstheme="minorHAnsi"/>
        </w:rPr>
        <w:t xml:space="preserve"> and their families being at risk of receiving multiple processes, different responses and inconsistency of approach. The impact of this is that </w:t>
      </w:r>
      <w:r w:rsidR="00D858D8">
        <w:rPr>
          <w:rFonts w:eastAsia="Times New Roman" w:cstheme="minorHAnsi"/>
        </w:rPr>
        <w:t>young people</w:t>
      </w:r>
      <w:r>
        <w:rPr>
          <w:rFonts w:eastAsia="Times New Roman" w:cstheme="minorHAnsi"/>
        </w:rPr>
        <w:t xml:space="preserve"> may not have been robustly and consistently safeguarded. </w:t>
      </w:r>
      <w:r w:rsidRPr="00E15448">
        <w:rPr>
          <w:rFonts w:eastAsia="Times New Roman" w:cstheme="minorHAnsi"/>
        </w:rPr>
        <w:t xml:space="preserve">This strategy </w:t>
      </w:r>
      <w:r>
        <w:rPr>
          <w:rFonts w:eastAsia="Times New Roman" w:cstheme="minorHAnsi"/>
        </w:rPr>
        <w:t xml:space="preserve">sets out to </w:t>
      </w:r>
      <w:r w:rsidRPr="00E15448">
        <w:rPr>
          <w:rFonts w:eastAsia="Times New Roman" w:cstheme="minorHAnsi"/>
        </w:rPr>
        <w:t xml:space="preserve">consider </w:t>
      </w:r>
      <w:r>
        <w:rPr>
          <w:rFonts w:eastAsia="Times New Roman" w:cstheme="minorHAnsi"/>
        </w:rPr>
        <w:t xml:space="preserve">the context of </w:t>
      </w:r>
      <w:r w:rsidR="00B140F7">
        <w:rPr>
          <w:rFonts w:eastAsia="Times New Roman" w:cstheme="minorHAnsi"/>
        </w:rPr>
        <w:t>each</w:t>
      </w:r>
      <w:r>
        <w:rPr>
          <w:rFonts w:eastAsia="Times New Roman" w:cstheme="minorHAnsi"/>
        </w:rPr>
        <w:t xml:space="preserve"> individual</w:t>
      </w:r>
      <w:r w:rsidR="00B140F7">
        <w:rPr>
          <w:rFonts w:eastAsia="Times New Roman" w:cstheme="minorHAnsi"/>
        </w:rPr>
        <w:t>,</w:t>
      </w:r>
      <w:r>
        <w:rPr>
          <w:rFonts w:eastAsia="Times New Roman" w:cstheme="minorHAnsi"/>
        </w:rPr>
        <w:t xml:space="preserve"> and </w:t>
      </w:r>
      <w:r w:rsidRPr="00E15448">
        <w:rPr>
          <w:rFonts w:eastAsia="Times New Roman" w:cstheme="minorHAnsi"/>
        </w:rPr>
        <w:t xml:space="preserve">all elements of </w:t>
      </w:r>
      <w:r w:rsidR="00CE2992">
        <w:rPr>
          <w:rFonts w:eastAsia="Times New Roman" w:cstheme="minorHAnsi"/>
        </w:rPr>
        <w:t xml:space="preserve">harm </w:t>
      </w:r>
      <w:r>
        <w:rPr>
          <w:rFonts w:eastAsia="Times New Roman" w:cstheme="minorHAnsi"/>
        </w:rPr>
        <w:t>irrespective of where they come from,</w:t>
      </w:r>
      <w:r w:rsidRPr="00E15448">
        <w:rPr>
          <w:rFonts w:eastAsia="Times New Roman" w:cstheme="minorHAnsi"/>
        </w:rPr>
        <w:t xml:space="preserve"> </w:t>
      </w:r>
      <w:r w:rsidR="00B140F7">
        <w:rPr>
          <w:rFonts w:eastAsia="Times New Roman" w:cstheme="minorHAnsi"/>
        </w:rPr>
        <w:t xml:space="preserve">that </w:t>
      </w:r>
      <w:r w:rsidRPr="00E15448">
        <w:rPr>
          <w:rFonts w:eastAsia="Times New Roman" w:cstheme="minorHAnsi"/>
        </w:rPr>
        <w:t xml:space="preserve">an older child experiences to ensure that they remain central to the thinking and planning and the </w:t>
      </w:r>
      <w:r w:rsidR="00B140F7">
        <w:rPr>
          <w:rFonts w:eastAsia="Times New Roman" w:cstheme="minorHAnsi"/>
        </w:rPr>
        <w:t>statutory ‘</w:t>
      </w:r>
      <w:r w:rsidRPr="00E15448">
        <w:rPr>
          <w:rFonts w:eastAsia="Times New Roman" w:cstheme="minorHAnsi"/>
        </w:rPr>
        <w:t>system</w:t>
      </w:r>
      <w:r w:rsidR="00B140F7">
        <w:rPr>
          <w:rFonts w:eastAsia="Times New Roman" w:cstheme="minorHAnsi"/>
        </w:rPr>
        <w:t>’ and response</w:t>
      </w:r>
      <w:r w:rsidRPr="00E15448">
        <w:rPr>
          <w:rFonts w:eastAsia="Times New Roman" w:cstheme="minorHAnsi"/>
        </w:rPr>
        <w:t xml:space="preserve"> adapts around their needs rather than</w:t>
      </w:r>
      <w:r>
        <w:rPr>
          <w:rFonts w:eastAsia="Times New Roman" w:cstheme="minorHAnsi"/>
        </w:rPr>
        <w:t xml:space="preserve"> the other way round.</w:t>
      </w:r>
    </w:p>
    <w:p w:rsidR="006F46A2" w:rsidRDefault="006F46A2" w:rsidP="006F46A2">
      <w:pPr>
        <w:pStyle w:val="ListParagraph"/>
        <w:spacing w:after="100" w:afterAutospacing="1" w:line="240" w:lineRule="auto"/>
        <w:ind w:left="1080"/>
        <w:rPr>
          <w:rFonts w:eastAsia="Times New Roman" w:cstheme="minorHAnsi"/>
        </w:rPr>
      </w:pPr>
    </w:p>
    <w:p w:rsidR="00E33536" w:rsidRPr="006F46A2" w:rsidRDefault="00683A8E" w:rsidP="006F46A2">
      <w:pPr>
        <w:pStyle w:val="ListParagraph"/>
        <w:spacing w:after="100" w:afterAutospacing="1" w:line="240" w:lineRule="auto"/>
        <w:ind w:left="1080"/>
        <w:rPr>
          <w:rFonts w:eastAsia="Times New Roman" w:cstheme="minorHAnsi"/>
        </w:rPr>
      </w:pPr>
      <w:r>
        <w:rPr>
          <w:rFonts w:eastAsia="Times New Roman" w:cstheme="minorHAnsi"/>
        </w:rPr>
        <w:t>Working Together 2018</w:t>
      </w:r>
      <w:r w:rsidR="006F46A2">
        <w:rPr>
          <w:rStyle w:val="FootnoteReference"/>
          <w:rFonts w:eastAsia="Times New Roman" w:cstheme="minorHAnsi"/>
        </w:rPr>
        <w:footnoteReference w:id="2"/>
      </w:r>
      <w:r>
        <w:rPr>
          <w:rFonts w:eastAsia="Times New Roman" w:cstheme="minorHAnsi"/>
        </w:rPr>
        <w:t xml:space="preserve"> </w:t>
      </w:r>
      <w:r w:rsidR="006F46A2">
        <w:rPr>
          <w:rFonts w:eastAsia="Times New Roman" w:cstheme="minorHAnsi"/>
        </w:rPr>
        <w:t>p</w:t>
      </w:r>
      <w:r w:rsidR="006F46A2" w:rsidRPr="006F46A2">
        <w:rPr>
          <w:rFonts w:eastAsia="Times New Roman" w:cstheme="minorHAnsi"/>
        </w:rPr>
        <w:t xml:space="preserve">rovides clear </w:t>
      </w:r>
      <w:r w:rsidR="006F46A2">
        <w:rPr>
          <w:rFonts w:eastAsia="Times New Roman" w:cstheme="minorHAnsi"/>
        </w:rPr>
        <w:t xml:space="preserve">guidance </w:t>
      </w:r>
      <w:r w:rsidR="006F46A2" w:rsidRPr="006F46A2">
        <w:rPr>
          <w:rFonts w:eastAsia="Times New Roman" w:cstheme="minorHAnsi"/>
        </w:rPr>
        <w:t>about the child protection process</w:t>
      </w:r>
      <w:r w:rsidR="006F46A2">
        <w:rPr>
          <w:rFonts w:eastAsia="Times New Roman" w:cstheme="minorHAnsi"/>
        </w:rPr>
        <w:t xml:space="preserve"> however the local issue is more </w:t>
      </w:r>
      <w:r w:rsidRPr="006F46A2">
        <w:rPr>
          <w:rFonts w:eastAsia="Times New Roman" w:cstheme="minorHAnsi"/>
        </w:rPr>
        <w:t xml:space="preserve">about how this is interpreted </w:t>
      </w:r>
      <w:r w:rsidR="006F46A2">
        <w:rPr>
          <w:rFonts w:eastAsia="Times New Roman" w:cstheme="minorHAnsi"/>
        </w:rPr>
        <w:t xml:space="preserve">in relation to </w:t>
      </w:r>
      <w:r w:rsidR="00D858D8">
        <w:rPr>
          <w:rFonts w:eastAsia="Times New Roman" w:cstheme="minorHAnsi"/>
        </w:rPr>
        <w:t>young people</w:t>
      </w:r>
      <w:r w:rsidR="006F46A2">
        <w:rPr>
          <w:rFonts w:eastAsia="Times New Roman" w:cstheme="minorHAnsi"/>
        </w:rPr>
        <w:t xml:space="preserve"> when risk is external to their family home </w:t>
      </w:r>
      <w:r w:rsidRPr="006F46A2">
        <w:rPr>
          <w:rFonts w:eastAsia="Times New Roman" w:cstheme="minorHAnsi"/>
        </w:rPr>
        <w:t xml:space="preserve">and how agencies </w:t>
      </w:r>
      <w:r w:rsidR="006F46A2">
        <w:rPr>
          <w:rFonts w:eastAsia="Times New Roman" w:cstheme="minorHAnsi"/>
        </w:rPr>
        <w:t>do or don’t adapt the traditional responses accordingly</w:t>
      </w:r>
      <w:r w:rsidRPr="006F46A2">
        <w:rPr>
          <w:rFonts w:eastAsia="Times New Roman" w:cstheme="minorHAnsi"/>
        </w:rPr>
        <w:t>.</w:t>
      </w:r>
    </w:p>
    <w:p w:rsidR="00E33536" w:rsidRPr="004E1297" w:rsidRDefault="00E33536" w:rsidP="004E1297">
      <w:pPr>
        <w:pStyle w:val="ListParagraph"/>
        <w:spacing w:after="100" w:afterAutospacing="1" w:line="240" w:lineRule="auto"/>
        <w:ind w:left="1080"/>
        <w:rPr>
          <w:rFonts w:eastAsia="Times New Roman" w:cstheme="minorHAnsi"/>
        </w:rPr>
      </w:pPr>
    </w:p>
    <w:p w:rsidR="00E33536" w:rsidRDefault="00683A8E" w:rsidP="00B140F7">
      <w:pPr>
        <w:pStyle w:val="ListParagraph"/>
        <w:spacing w:after="100" w:afterAutospacing="1" w:line="240" w:lineRule="auto"/>
        <w:ind w:left="1080"/>
        <w:rPr>
          <w:rFonts w:eastAsia="Times New Roman" w:cstheme="minorHAnsi"/>
        </w:rPr>
      </w:pPr>
      <w:r>
        <w:rPr>
          <w:rFonts w:eastAsia="Times New Roman" w:cstheme="minorHAnsi"/>
        </w:rPr>
        <w:t xml:space="preserve">The </w:t>
      </w:r>
      <w:r w:rsidR="00B140F7">
        <w:rPr>
          <w:rFonts w:eastAsia="Times New Roman" w:cstheme="minorHAnsi"/>
        </w:rPr>
        <w:t>s</w:t>
      </w:r>
      <w:r w:rsidR="00E24873" w:rsidRPr="004E1297">
        <w:rPr>
          <w:rFonts w:eastAsia="Times New Roman" w:cstheme="minorHAnsi"/>
        </w:rPr>
        <w:t xml:space="preserve">tatutory guidance is notably unclear on safeguarding expectations for children in care and care leavers.  Nevertheless, some of the </w:t>
      </w:r>
      <w:r w:rsidR="00D858D8">
        <w:rPr>
          <w:rFonts w:eastAsia="Times New Roman" w:cstheme="minorHAnsi"/>
        </w:rPr>
        <w:t>young people</w:t>
      </w:r>
      <w:r w:rsidR="00B140F7">
        <w:rPr>
          <w:rFonts w:eastAsia="Times New Roman" w:cstheme="minorHAnsi"/>
        </w:rPr>
        <w:t xml:space="preserve"> at</w:t>
      </w:r>
      <w:r w:rsidR="00B140F7" w:rsidRPr="004E1297">
        <w:rPr>
          <w:rFonts w:eastAsia="Times New Roman" w:cstheme="minorHAnsi"/>
        </w:rPr>
        <w:t xml:space="preserve"> </w:t>
      </w:r>
      <w:r w:rsidR="00E24873" w:rsidRPr="004E1297">
        <w:rPr>
          <w:rFonts w:eastAsia="Times New Roman" w:cstheme="minorHAnsi"/>
        </w:rPr>
        <w:t xml:space="preserve">highest risk are to be </w:t>
      </w:r>
      <w:r w:rsidR="00BB3C9E">
        <w:rPr>
          <w:rFonts w:eastAsia="Times New Roman" w:cstheme="minorHAnsi"/>
        </w:rPr>
        <w:t>found in these cohorts.  There ha</w:t>
      </w:r>
      <w:r w:rsidR="00E24873" w:rsidRPr="004E1297">
        <w:rPr>
          <w:rFonts w:eastAsia="Times New Roman" w:cstheme="minorHAnsi"/>
        </w:rPr>
        <w:t xml:space="preserve">s not </w:t>
      </w:r>
      <w:r w:rsidR="00BB3C9E">
        <w:rPr>
          <w:rFonts w:eastAsia="Times New Roman" w:cstheme="minorHAnsi"/>
        </w:rPr>
        <w:t xml:space="preserve">been </w:t>
      </w:r>
      <w:r w:rsidR="00E24873" w:rsidRPr="004E1297">
        <w:rPr>
          <w:rFonts w:eastAsia="Times New Roman" w:cstheme="minorHAnsi"/>
        </w:rPr>
        <w:t>a nationally recognised framework of risk management for these groups resulting in a number of unsatisfactory and sometimes unsafe practices.</w:t>
      </w:r>
      <w:r w:rsidR="00BB3C9E">
        <w:rPr>
          <w:rFonts w:eastAsia="Times New Roman" w:cstheme="minorHAnsi"/>
        </w:rPr>
        <w:t xml:space="preserve"> Although the introduction of a contextual safeguarding framework is helping to address this (further information about contextual safeguarding appears later in the document).</w:t>
      </w:r>
    </w:p>
    <w:p w:rsidR="00B140F7" w:rsidRPr="00B140F7" w:rsidRDefault="00B140F7" w:rsidP="00B140F7">
      <w:pPr>
        <w:pStyle w:val="ListParagraph"/>
        <w:spacing w:after="100" w:afterAutospacing="1" w:line="240" w:lineRule="auto"/>
        <w:ind w:left="1080"/>
        <w:rPr>
          <w:rFonts w:eastAsia="Times New Roman" w:cstheme="minorHAnsi"/>
        </w:rPr>
      </w:pPr>
    </w:p>
    <w:p w:rsidR="0083726E" w:rsidRPr="004E1297" w:rsidRDefault="00E24873" w:rsidP="004E1297">
      <w:pPr>
        <w:pStyle w:val="ListParagraph"/>
        <w:spacing w:after="100" w:afterAutospacing="1" w:line="240" w:lineRule="auto"/>
        <w:ind w:left="1080"/>
        <w:rPr>
          <w:rFonts w:eastAsia="Times New Roman" w:cstheme="minorHAnsi"/>
        </w:rPr>
      </w:pPr>
      <w:r w:rsidRPr="004E1297">
        <w:rPr>
          <w:rFonts w:eastAsia="Times New Roman" w:cstheme="minorHAnsi"/>
        </w:rPr>
        <w:t xml:space="preserve">We do not yet have a sufficiently rigorous and reliable means across services of assessing and managing risk for vulnerable </w:t>
      </w:r>
      <w:r w:rsidR="00D858D8">
        <w:rPr>
          <w:rFonts w:eastAsia="Times New Roman" w:cstheme="minorHAnsi"/>
        </w:rPr>
        <w:t>young people</w:t>
      </w:r>
      <w:r w:rsidRPr="004E1297">
        <w:rPr>
          <w:rFonts w:eastAsia="Times New Roman" w:cstheme="minorHAnsi"/>
        </w:rPr>
        <w:t xml:space="preserve">.  This can lead to considerable differences in view that complicate safeguarding efforts.  </w:t>
      </w:r>
    </w:p>
    <w:p w:rsidR="001A1154" w:rsidRPr="004E1297" w:rsidRDefault="001A1154" w:rsidP="004E1297">
      <w:pPr>
        <w:pStyle w:val="ListParagraph"/>
        <w:spacing w:after="100" w:afterAutospacing="1" w:line="240" w:lineRule="auto"/>
        <w:rPr>
          <w:rFonts w:eastAsia="Times New Roman" w:cstheme="minorHAnsi"/>
        </w:rPr>
      </w:pPr>
    </w:p>
    <w:p w:rsidR="001A1154" w:rsidRPr="004E1297" w:rsidRDefault="001A1154" w:rsidP="004E1297">
      <w:pPr>
        <w:pStyle w:val="ListParagraph"/>
        <w:spacing w:after="100" w:afterAutospacing="1" w:line="240" w:lineRule="auto"/>
        <w:ind w:left="1485"/>
        <w:rPr>
          <w:rFonts w:eastAsia="Times New Roman" w:cstheme="minorHAnsi"/>
        </w:rPr>
      </w:pPr>
    </w:p>
    <w:p w:rsidR="00EC639E" w:rsidRPr="004E1297" w:rsidRDefault="00EC639E" w:rsidP="004E1297">
      <w:pPr>
        <w:pStyle w:val="ListParagraph"/>
        <w:numPr>
          <w:ilvl w:val="0"/>
          <w:numId w:val="1"/>
        </w:numPr>
        <w:spacing w:after="100" w:afterAutospacing="1" w:line="240" w:lineRule="auto"/>
        <w:rPr>
          <w:rFonts w:eastAsia="Times New Roman" w:cstheme="minorHAnsi"/>
          <w:b/>
          <w:sz w:val="28"/>
        </w:rPr>
      </w:pPr>
      <w:r w:rsidRPr="004E1297">
        <w:rPr>
          <w:rFonts w:eastAsia="Times New Roman" w:cstheme="minorHAnsi"/>
          <w:b/>
          <w:sz w:val="28"/>
        </w:rPr>
        <w:t>Risk Assessment</w:t>
      </w:r>
      <w:r w:rsidR="00D52993" w:rsidRPr="004E1297">
        <w:rPr>
          <w:rFonts w:eastAsia="Times New Roman" w:cstheme="minorHAnsi"/>
          <w:b/>
          <w:sz w:val="28"/>
        </w:rPr>
        <w:t xml:space="preserve"> and </w:t>
      </w:r>
      <w:r w:rsidR="009177A5">
        <w:rPr>
          <w:rFonts w:eastAsia="Times New Roman" w:cstheme="minorHAnsi"/>
          <w:b/>
          <w:sz w:val="28"/>
        </w:rPr>
        <w:t>young people</w:t>
      </w:r>
    </w:p>
    <w:p w:rsidR="00EC639E" w:rsidRPr="004E1297" w:rsidRDefault="00EC639E" w:rsidP="004E1297">
      <w:pPr>
        <w:pStyle w:val="ListParagraph"/>
        <w:spacing w:after="100" w:afterAutospacing="1" w:line="240" w:lineRule="auto"/>
        <w:ind w:left="1080"/>
        <w:rPr>
          <w:rFonts w:eastAsia="Times New Roman" w:cstheme="minorHAnsi"/>
        </w:rPr>
      </w:pPr>
    </w:p>
    <w:p w:rsidR="00F96BF0" w:rsidRPr="004E1297" w:rsidRDefault="00F96BF0" w:rsidP="004E1297">
      <w:pPr>
        <w:pStyle w:val="ListParagraph"/>
        <w:spacing w:after="100" w:afterAutospacing="1" w:line="240" w:lineRule="auto"/>
        <w:ind w:left="1080"/>
        <w:rPr>
          <w:rFonts w:eastAsia="Times New Roman" w:cstheme="minorHAnsi"/>
        </w:rPr>
      </w:pPr>
      <w:r w:rsidRPr="004E1297">
        <w:rPr>
          <w:rFonts w:eastAsia="Times New Roman" w:cstheme="minorHAnsi"/>
          <w:i/>
        </w:rPr>
        <w:t>Risk-taking Adolescents and Child Protection</w:t>
      </w:r>
      <w:r w:rsidRPr="004E1297">
        <w:rPr>
          <w:rFonts w:eastAsia="Times New Roman" w:cstheme="minorHAnsi"/>
        </w:rPr>
        <w:t xml:space="preserve"> (RiP 2014</w:t>
      </w:r>
      <w:r w:rsidRPr="004E1297">
        <w:rPr>
          <w:rStyle w:val="FootnoteReference"/>
          <w:rFonts w:eastAsia="Times New Roman" w:cstheme="minorHAnsi"/>
        </w:rPr>
        <w:footnoteReference w:id="3"/>
      </w:r>
      <w:r w:rsidRPr="004E1297">
        <w:rPr>
          <w:rFonts w:eastAsia="Times New Roman" w:cstheme="minorHAnsi"/>
        </w:rPr>
        <w:t>) is a strateg</w:t>
      </w:r>
      <w:r w:rsidR="00EF632D" w:rsidRPr="004E1297">
        <w:rPr>
          <w:rFonts w:eastAsia="Times New Roman" w:cstheme="minorHAnsi"/>
        </w:rPr>
        <w:t>ic briefing that looks at the “</w:t>
      </w:r>
      <w:r w:rsidRPr="004E1297">
        <w:rPr>
          <w:rFonts w:eastAsia="Times New Roman" w:cstheme="minorHAnsi"/>
        </w:rPr>
        <w:t>concept of ‘r</w:t>
      </w:r>
      <w:r w:rsidR="00EF632D" w:rsidRPr="004E1297">
        <w:rPr>
          <w:rFonts w:eastAsia="Times New Roman" w:cstheme="minorHAnsi"/>
        </w:rPr>
        <w:t>isk-taking’ and</w:t>
      </w:r>
      <w:r w:rsidRPr="004E1297">
        <w:rPr>
          <w:rFonts w:eastAsia="Times New Roman" w:cstheme="minorHAnsi"/>
        </w:rPr>
        <w:t xml:space="preserve"> outline</w:t>
      </w:r>
      <w:r w:rsidR="00EF632D" w:rsidRPr="004E1297">
        <w:rPr>
          <w:rFonts w:eastAsia="Times New Roman" w:cstheme="minorHAnsi"/>
        </w:rPr>
        <w:t>s</w:t>
      </w:r>
      <w:r w:rsidRPr="004E1297">
        <w:rPr>
          <w:rFonts w:eastAsia="Times New Roman" w:cstheme="minorHAnsi"/>
        </w:rPr>
        <w:t xml:space="preserve"> some recent research on developmental aspects of adolescence – in particular, emerging knowledge relating to the adolescent brain. It considers research and policy material on the impact of maltreatment on</w:t>
      </w:r>
    </w:p>
    <w:p w:rsidR="00B70342" w:rsidRPr="004E1297" w:rsidRDefault="00F96BF0" w:rsidP="004E1297">
      <w:pPr>
        <w:pStyle w:val="ListParagraph"/>
        <w:spacing w:after="100" w:afterAutospacing="1" w:line="240" w:lineRule="auto"/>
        <w:ind w:left="1080"/>
        <w:rPr>
          <w:rFonts w:eastAsia="Times New Roman" w:cstheme="minorHAnsi"/>
        </w:rPr>
      </w:pPr>
      <w:r w:rsidRPr="004E1297">
        <w:rPr>
          <w:rFonts w:eastAsia="Times New Roman" w:cstheme="minorHAnsi"/>
        </w:rPr>
        <w:lastRenderedPageBreak/>
        <w:t xml:space="preserve">adolescents, the effective safeguarding of </w:t>
      </w:r>
      <w:r w:rsidR="00B140F7">
        <w:rPr>
          <w:rFonts w:eastAsia="Times New Roman" w:cstheme="minorHAnsi"/>
        </w:rPr>
        <w:t>older children</w:t>
      </w:r>
      <w:r w:rsidRPr="004E1297">
        <w:rPr>
          <w:rFonts w:eastAsia="Times New Roman" w:cstheme="minorHAnsi"/>
        </w:rPr>
        <w:t xml:space="preserve"> (including messages from Serious Case Reviews), and managing risk and promoting resilience</w:t>
      </w:r>
      <w:r w:rsidR="00EF632D" w:rsidRPr="004E1297">
        <w:rPr>
          <w:rFonts w:eastAsia="Times New Roman" w:cstheme="minorHAnsi"/>
        </w:rPr>
        <w:t>”</w:t>
      </w:r>
      <w:r w:rsidRPr="004E1297">
        <w:rPr>
          <w:rFonts w:eastAsia="Times New Roman" w:cstheme="minorHAnsi"/>
        </w:rPr>
        <w:t xml:space="preserve"> (p 1). </w:t>
      </w:r>
      <w:r w:rsidR="0020350F" w:rsidRPr="004E1297">
        <w:rPr>
          <w:rFonts w:eastAsia="Times New Roman" w:cstheme="minorHAnsi"/>
        </w:rPr>
        <w:t>Key messages from this Strategic Briefing are added below</w:t>
      </w:r>
      <w:r w:rsidR="00EF632D" w:rsidRPr="004E1297">
        <w:rPr>
          <w:rFonts w:eastAsia="Times New Roman" w:cstheme="minorHAnsi"/>
        </w:rPr>
        <w:t xml:space="preserve"> </w:t>
      </w:r>
    </w:p>
    <w:p w:rsidR="004E7666" w:rsidRPr="004E1297" w:rsidRDefault="004E7666" w:rsidP="004E1297">
      <w:pPr>
        <w:pStyle w:val="ListParagraph"/>
        <w:spacing w:after="100" w:afterAutospacing="1" w:line="240" w:lineRule="auto"/>
        <w:ind w:left="1080"/>
        <w:rPr>
          <w:rFonts w:eastAsia="Times New Roman" w:cstheme="minorHAnsi"/>
        </w:rPr>
      </w:pPr>
    </w:p>
    <w:p w:rsidR="00F96BF0" w:rsidRPr="004E1297" w:rsidRDefault="00EF632D" w:rsidP="004E1297">
      <w:pPr>
        <w:pStyle w:val="ListParagraph"/>
        <w:spacing w:after="100" w:afterAutospacing="1" w:line="240" w:lineRule="auto"/>
        <w:ind w:left="1080"/>
        <w:rPr>
          <w:rFonts w:eastAsia="Times New Roman" w:cstheme="minorHAnsi"/>
        </w:rPr>
      </w:pPr>
      <w:r w:rsidRPr="004E1297">
        <w:rPr>
          <w:rFonts w:eastAsia="Times New Roman" w:cstheme="minorHAnsi"/>
          <w:b/>
        </w:rPr>
        <w:t>Risk-taking is a normal part of adolescent development</w:t>
      </w:r>
      <w:r w:rsidRPr="004E1297">
        <w:rPr>
          <w:rFonts w:eastAsia="Times New Roman" w:cstheme="minorHAnsi"/>
        </w:rPr>
        <w:t>. Most</w:t>
      </w:r>
      <w:r w:rsidR="009177A5">
        <w:rPr>
          <w:rFonts w:eastAsia="Times New Roman" w:cstheme="minorHAnsi"/>
        </w:rPr>
        <w:t xml:space="preserve"> young people</w:t>
      </w:r>
      <w:r w:rsidRPr="004E1297">
        <w:rPr>
          <w:rFonts w:eastAsia="Times New Roman" w:cstheme="minorHAnsi"/>
        </w:rPr>
        <w:t xml:space="preserve"> will experiment with the increased opportunities for risk that their growing independence allows. However, for </w:t>
      </w:r>
      <w:r w:rsidR="00D858D8">
        <w:rPr>
          <w:rFonts w:eastAsia="Times New Roman" w:cstheme="minorHAnsi"/>
        </w:rPr>
        <w:t>young people</w:t>
      </w:r>
      <w:r w:rsidRPr="004E1297">
        <w:rPr>
          <w:rFonts w:eastAsia="Times New Roman" w:cstheme="minorHAnsi"/>
        </w:rPr>
        <w:t xml:space="preserve"> whose lives have exposed them to risk factors – such as the ‘toxic’ confluence of neglect, maltreatment, parental substance misuse and parental mental health issues – there is increased likelihood that their own risk-taking may raise safeguarding concerns.</w:t>
      </w:r>
    </w:p>
    <w:p w:rsidR="00EF632D" w:rsidRPr="004E1297" w:rsidRDefault="00EF632D" w:rsidP="004E1297">
      <w:pPr>
        <w:pStyle w:val="ListParagraph"/>
        <w:spacing w:after="100" w:afterAutospacing="1" w:line="240" w:lineRule="auto"/>
        <w:ind w:left="1080"/>
        <w:rPr>
          <w:rFonts w:eastAsia="Times New Roman" w:cstheme="minorHAnsi"/>
        </w:rPr>
      </w:pPr>
    </w:p>
    <w:p w:rsidR="00EF632D" w:rsidRPr="00BB3C9E" w:rsidRDefault="00EF632D" w:rsidP="004E1297">
      <w:pPr>
        <w:pStyle w:val="ListParagraph"/>
        <w:spacing w:after="100" w:afterAutospacing="1" w:line="240" w:lineRule="auto"/>
        <w:ind w:left="1080"/>
        <w:rPr>
          <w:rFonts w:eastAsia="Times New Roman" w:cstheme="minorHAnsi"/>
          <w:i/>
        </w:rPr>
      </w:pPr>
      <w:r w:rsidRPr="004E1297">
        <w:rPr>
          <w:rFonts w:eastAsia="Times New Roman" w:cstheme="minorHAnsi"/>
          <w:b/>
        </w:rPr>
        <w:t>Maltreatment in the early years</w:t>
      </w:r>
      <w:r w:rsidRPr="004E1297">
        <w:rPr>
          <w:rFonts w:eastAsia="Times New Roman" w:cstheme="minorHAnsi"/>
        </w:rPr>
        <w:t xml:space="preserve"> can affect brain development </w:t>
      </w:r>
      <w:r w:rsidRPr="00BB3C9E">
        <w:rPr>
          <w:rFonts w:eastAsia="Times New Roman" w:cstheme="minorHAnsi"/>
          <w:i/>
        </w:rPr>
        <w:t>‘producing a brain that is</w:t>
      </w:r>
    </w:p>
    <w:p w:rsidR="00EF632D" w:rsidRPr="004E1297" w:rsidRDefault="00EF632D" w:rsidP="004E1297">
      <w:pPr>
        <w:pStyle w:val="ListParagraph"/>
        <w:spacing w:after="100" w:afterAutospacing="1" w:line="240" w:lineRule="auto"/>
        <w:ind w:left="1080"/>
        <w:rPr>
          <w:rFonts w:eastAsia="Times New Roman" w:cstheme="minorHAnsi"/>
        </w:rPr>
      </w:pPr>
      <w:r w:rsidRPr="00BB3C9E">
        <w:rPr>
          <w:rFonts w:eastAsia="Times New Roman" w:cstheme="minorHAnsi"/>
          <w:i/>
        </w:rPr>
        <w:t>focused on survival</w:t>
      </w:r>
      <w:r w:rsidRPr="004E1297">
        <w:rPr>
          <w:rFonts w:eastAsia="Times New Roman" w:cstheme="minorHAnsi"/>
        </w:rPr>
        <w:t xml:space="preserve">’ at the expense of the more advanced thinking that happens in the brain’s cortex (Child Welfare Information Gateway, 2009; Brown and Ward, 2013). This impulsivity may lead </w:t>
      </w:r>
      <w:r w:rsidR="00D858D8">
        <w:rPr>
          <w:rFonts w:eastAsia="Times New Roman" w:cstheme="minorHAnsi"/>
        </w:rPr>
        <w:t>young people</w:t>
      </w:r>
      <w:r w:rsidRPr="004E1297">
        <w:rPr>
          <w:rFonts w:eastAsia="Times New Roman" w:cstheme="minorHAnsi"/>
        </w:rPr>
        <w:t xml:space="preserve"> to </w:t>
      </w:r>
      <w:r w:rsidRPr="004E1297">
        <w:rPr>
          <w:rFonts w:eastAsia="Times New Roman" w:cstheme="minorHAnsi"/>
          <w:u w:val="single"/>
        </w:rPr>
        <w:t>increased risk-taking as they get older</w:t>
      </w:r>
      <w:r w:rsidRPr="004E1297">
        <w:rPr>
          <w:rFonts w:eastAsia="Times New Roman" w:cstheme="minorHAnsi"/>
        </w:rPr>
        <w:t>, while remaining in a home environment in which maltreatment has featured can increase opportunities to do so.</w:t>
      </w:r>
    </w:p>
    <w:p w:rsidR="00EF632D" w:rsidRPr="004E1297" w:rsidRDefault="00EF632D" w:rsidP="004E1297">
      <w:pPr>
        <w:pStyle w:val="ListParagraph"/>
        <w:spacing w:after="100" w:afterAutospacing="1" w:line="240" w:lineRule="auto"/>
        <w:ind w:left="1080"/>
        <w:rPr>
          <w:rFonts w:eastAsia="Times New Roman" w:cstheme="minorHAnsi"/>
        </w:rPr>
      </w:pPr>
    </w:p>
    <w:p w:rsidR="00EF632D" w:rsidRPr="004E1297" w:rsidRDefault="00EF632D" w:rsidP="004E1297">
      <w:pPr>
        <w:pStyle w:val="ListParagraph"/>
        <w:spacing w:after="100" w:afterAutospacing="1" w:line="240" w:lineRule="auto"/>
        <w:ind w:left="1080"/>
        <w:rPr>
          <w:rFonts w:eastAsia="Times New Roman" w:cstheme="minorHAnsi"/>
        </w:rPr>
      </w:pPr>
      <w:r w:rsidRPr="004E1297">
        <w:rPr>
          <w:rFonts w:eastAsia="Times New Roman" w:cstheme="minorHAnsi"/>
          <w:b/>
        </w:rPr>
        <w:t>Maltreatment experienced in adolescence</w:t>
      </w:r>
      <w:r w:rsidRPr="004E1297">
        <w:rPr>
          <w:rFonts w:eastAsia="Times New Roman" w:cstheme="minorHAnsi"/>
        </w:rPr>
        <w:t xml:space="preserve"> has a strong effect on later adjustment, including criminal behaviour and substance use. </w:t>
      </w:r>
      <w:r w:rsidR="009177A5">
        <w:rPr>
          <w:rFonts w:eastAsia="Times New Roman" w:cstheme="minorHAnsi"/>
        </w:rPr>
        <w:t>Young people’s</w:t>
      </w:r>
      <w:r w:rsidRPr="004E1297">
        <w:rPr>
          <w:rFonts w:eastAsia="Times New Roman" w:cstheme="minorHAnsi"/>
        </w:rPr>
        <w:t xml:space="preserve"> situations are often complicated by issues such as their own substance misuse, running away or being thrown out of home, as well as violence and conflict with parents, which make their case histories distinct and often more complex than those of younger children.</w:t>
      </w:r>
    </w:p>
    <w:p w:rsidR="00EF632D" w:rsidRPr="004E1297" w:rsidRDefault="00EF632D" w:rsidP="004E1297">
      <w:pPr>
        <w:pStyle w:val="ListParagraph"/>
        <w:spacing w:after="100" w:afterAutospacing="1" w:line="240" w:lineRule="auto"/>
        <w:ind w:left="1080"/>
        <w:rPr>
          <w:rFonts w:eastAsia="Times New Roman" w:cstheme="minorHAnsi"/>
        </w:rPr>
      </w:pPr>
    </w:p>
    <w:p w:rsidR="00EF632D" w:rsidRPr="004E1297" w:rsidRDefault="00EF632D" w:rsidP="004E1297">
      <w:pPr>
        <w:pStyle w:val="ListParagraph"/>
        <w:spacing w:after="100" w:afterAutospacing="1" w:line="240" w:lineRule="auto"/>
        <w:ind w:left="1080"/>
        <w:rPr>
          <w:rFonts w:eastAsia="Times New Roman" w:cstheme="minorHAnsi"/>
          <w:b/>
        </w:rPr>
      </w:pPr>
      <w:r w:rsidRPr="004E1297">
        <w:rPr>
          <w:rFonts w:eastAsia="Times New Roman" w:cstheme="minorHAnsi"/>
          <w:b/>
        </w:rPr>
        <w:t>Adolescent brain development</w:t>
      </w:r>
    </w:p>
    <w:p w:rsidR="00EF632D" w:rsidRPr="004E1297" w:rsidRDefault="00EF632D" w:rsidP="004E1297">
      <w:pPr>
        <w:pStyle w:val="ListParagraph"/>
        <w:spacing w:after="100" w:afterAutospacing="1" w:line="240" w:lineRule="auto"/>
        <w:ind w:left="1080"/>
        <w:rPr>
          <w:rFonts w:eastAsia="Times New Roman" w:cstheme="minorHAnsi"/>
        </w:rPr>
      </w:pPr>
      <w:r w:rsidRPr="004E1297">
        <w:rPr>
          <w:rFonts w:eastAsia="Times New Roman" w:cstheme="minorHAnsi"/>
        </w:rPr>
        <w:t>Adolescence is a period of huge developmental change. Practitioners have long been familiar with the hormonal changes and physical developments of puberty, but in recent years magnetic resonance imaging (MRI) has cast new light on the workings and development of the living brain, providing neurological evidence for why risky behaviours increase in adolescence. Research into brain development is too complex a body of literature to cover in detail here (references for research review articles are given below), but we can extract some key points:</w:t>
      </w:r>
    </w:p>
    <w:p w:rsidR="00EF632D" w:rsidRPr="004E1297" w:rsidRDefault="00EF632D" w:rsidP="004E1297">
      <w:pPr>
        <w:pStyle w:val="ListParagraph"/>
        <w:spacing w:after="100" w:afterAutospacing="1" w:line="240" w:lineRule="auto"/>
        <w:ind w:left="1080"/>
        <w:rPr>
          <w:rFonts w:eastAsia="Times New Roman" w:cstheme="minorHAnsi"/>
        </w:rPr>
      </w:pPr>
    </w:p>
    <w:p w:rsidR="00C31A37" w:rsidRPr="004E1297" w:rsidRDefault="00EF632D" w:rsidP="004E1297">
      <w:pPr>
        <w:pStyle w:val="ListParagraph"/>
        <w:numPr>
          <w:ilvl w:val="0"/>
          <w:numId w:val="13"/>
        </w:numPr>
        <w:spacing w:after="100" w:afterAutospacing="1" w:line="240" w:lineRule="auto"/>
        <w:rPr>
          <w:rFonts w:eastAsia="Times New Roman" w:cstheme="minorHAnsi"/>
        </w:rPr>
      </w:pPr>
      <w:r w:rsidRPr="004E1297">
        <w:rPr>
          <w:rFonts w:eastAsia="Times New Roman" w:cstheme="minorHAnsi"/>
        </w:rPr>
        <w:t>The brain lags behind the body in adolescent development, ‘especially in the areas that allow</w:t>
      </w:r>
      <w:r w:rsidR="00C31A37" w:rsidRPr="004E1297">
        <w:rPr>
          <w:rFonts w:eastAsia="Times New Roman" w:cstheme="minorHAnsi"/>
        </w:rPr>
        <w:t xml:space="preserve"> </w:t>
      </w:r>
      <w:r w:rsidRPr="004E1297">
        <w:rPr>
          <w:rFonts w:eastAsia="Times New Roman" w:cstheme="minorHAnsi"/>
        </w:rPr>
        <w:t>teenagers to reason and think logically’ (Child Welfare Information Gateway, 2009).</w:t>
      </w:r>
    </w:p>
    <w:p w:rsidR="00C31A37" w:rsidRPr="004E1297" w:rsidRDefault="00EF632D" w:rsidP="004E1297">
      <w:pPr>
        <w:pStyle w:val="ListParagraph"/>
        <w:numPr>
          <w:ilvl w:val="0"/>
          <w:numId w:val="13"/>
        </w:numPr>
        <w:spacing w:after="100" w:afterAutospacing="1" w:line="240" w:lineRule="auto"/>
        <w:rPr>
          <w:rFonts w:eastAsia="Times New Roman" w:cstheme="minorHAnsi"/>
        </w:rPr>
      </w:pPr>
      <w:r w:rsidRPr="004E1297">
        <w:rPr>
          <w:rFonts w:eastAsia="Times New Roman" w:cstheme="minorHAnsi"/>
        </w:rPr>
        <w:t>Increased dopamine release to subcortical reward centres encourages attraction to new and</w:t>
      </w:r>
      <w:r w:rsidR="00E33536" w:rsidRPr="004E1297">
        <w:rPr>
          <w:rFonts w:eastAsia="Times New Roman" w:cstheme="minorHAnsi"/>
        </w:rPr>
        <w:t xml:space="preserve"> </w:t>
      </w:r>
      <w:r w:rsidRPr="004E1297">
        <w:rPr>
          <w:rFonts w:eastAsia="Times New Roman" w:cstheme="minorHAnsi"/>
        </w:rPr>
        <w:t>immediately exciting experiences. This ‘sensation seeking’ behaviour is ‘strongly associated</w:t>
      </w:r>
      <w:r w:rsidR="00E33536" w:rsidRPr="004E1297">
        <w:rPr>
          <w:rFonts w:eastAsia="Times New Roman" w:cstheme="minorHAnsi"/>
        </w:rPr>
        <w:t xml:space="preserve"> </w:t>
      </w:r>
      <w:r w:rsidRPr="004E1297">
        <w:rPr>
          <w:rFonts w:eastAsia="Times New Roman" w:cstheme="minorHAnsi"/>
        </w:rPr>
        <w:t>with the initiation of a wide range of adolescent risk behaviours such as use of drugs’ (</w:t>
      </w:r>
      <w:proofErr w:type="spellStart"/>
      <w:r w:rsidRPr="004E1297">
        <w:rPr>
          <w:rFonts w:eastAsia="Times New Roman" w:cstheme="minorHAnsi"/>
        </w:rPr>
        <w:t>Romer</w:t>
      </w:r>
      <w:proofErr w:type="spellEnd"/>
      <w:r w:rsidRPr="004E1297">
        <w:rPr>
          <w:rFonts w:eastAsia="Times New Roman" w:cstheme="minorHAnsi"/>
        </w:rPr>
        <w:t xml:space="preserve"> et</w:t>
      </w:r>
      <w:r w:rsidR="00E33536" w:rsidRPr="004E1297">
        <w:rPr>
          <w:rFonts w:eastAsia="Times New Roman" w:cstheme="minorHAnsi"/>
        </w:rPr>
        <w:t xml:space="preserve"> </w:t>
      </w:r>
      <w:r w:rsidRPr="004E1297">
        <w:rPr>
          <w:rFonts w:eastAsia="Times New Roman" w:cstheme="minorHAnsi"/>
        </w:rPr>
        <w:t>al, 2010). Levels of sensation-seeking behaviour are greater in males than in females.</w:t>
      </w:r>
    </w:p>
    <w:p w:rsidR="00C31A37" w:rsidRPr="004E1297" w:rsidRDefault="00EF632D" w:rsidP="004E1297">
      <w:pPr>
        <w:pStyle w:val="ListParagraph"/>
        <w:numPr>
          <w:ilvl w:val="0"/>
          <w:numId w:val="13"/>
        </w:numPr>
        <w:spacing w:after="100" w:afterAutospacing="1" w:line="240" w:lineRule="auto"/>
        <w:rPr>
          <w:rFonts w:eastAsia="Times New Roman" w:cstheme="minorHAnsi"/>
        </w:rPr>
      </w:pPr>
      <w:r w:rsidRPr="004E1297">
        <w:rPr>
          <w:rFonts w:eastAsia="Times New Roman" w:cstheme="minorHAnsi"/>
        </w:rPr>
        <w:t>There is a period of growth in the limbic system of the brain, which governs emotional responses. ‘Teenagers</w:t>
      </w:r>
      <w:r w:rsidR="0020350F" w:rsidRPr="004E1297">
        <w:rPr>
          <w:rFonts w:eastAsia="Times New Roman" w:cstheme="minorHAnsi"/>
        </w:rPr>
        <w:t xml:space="preserve"> </w:t>
      </w:r>
      <w:r w:rsidRPr="004E1297">
        <w:rPr>
          <w:rFonts w:eastAsia="Times New Roman" w:cstheme="minorHAnsi"/>
        </w:rPr>
        <w:t>may rely on their more primitive limbic system in interpreting emotions and reacting – “gut reactions”, since they</w:t>
      </w:r>
      <w:r w:rsidR="0020350F" w:rsidRPr="004E1297">
        <w:rPr>
          <w:rFonts w:eastAsia="Times New Roman" w:cstheme="minorHAnsi"/>
        </w:rPr>
        <w:t xml:space="preserve"> </w:t>
      </w:r>
      <w:r w:rsidRPr="004E1297">
        <w:rPr>
          <w:rFonts w:eastAsia="Times New Roman" w:cstheme="minorHAnsi"/>
        </w:rPr>
        <w:t>lack the more mature cortex that can override the limbic response’ (Child Welfare Information Gateway, 2009).</w:t>
      </w:r>
    </w:p>
    <w:p w:rsidR="00C31A37" w:rsidRPr="004E1297" w:rsidRDefault="00EF632D" w:rsidP="004E1297">
      <w:pPr>
        <w:pStyle w:val="ListParagraph"/>
        <w:numPr>
          <w:ilvl w:val="0"/>
          <w:numId w:val="13"/>
        </w:numPr>
        <w:spacing w:after="100" w:afterAutospacing="1" w:line="240" w:lineRule="auto"/>
        <w:rPr>
          <w:rFonts w:eastAsia="Times New Roman" w:cstheme="minorHAnsi"/>
        </w:rPr>
      </w:pPr>
      <w:r w:rsidRPr="004E1297">
        <w:rPr>
          <w:rFonts w:eastAsia="Times New Roman" w:cstheme="minorHAnsi"/>
        </w:rPr>
        <w:t>This makes them ‘more prone to engage in dangerous risk-taking behaviour’ and ‘not</w:t>
      </w:r>
      <w:r w:rsidR="00C31A37" w:rsidRPr="004E1297">
        <w:rPr>
          <w:rFonts w:eastAsia="Times New Roman" w:cstheme="minorHAnsi"/>
        </w:rPr>
        <w:t xml:space="preserve"> </w:t>
      </w:r>
      <w:r w:rsidRPr="004E1297">
        <w:rPr>
          <w:rFonts w:eastAsia="Times New Roman" w:cstheme="minorHAnsi"/>
        </w:rPr>
        <w:t xml:space="preserve">sufficiently able to interpret emotions, particularly if there is no secure </w:t>
      </w:r>
      <w:r w:rsidRPr="004E1297">
        <w:rPr>
          <w:rFonts w:eastAsia="Times New Roman" w:cstheme="minorHAnsi"/>
        </w:rPr>
        <w:lastRenderedPageBreak/>
        <w:t>attachment</w:t>
      </w:r>
      <w:r w:rsidR="00C31A37" w:rsidRPr="004E1297">
        <w:rPr>
          <w:rFonts w:eastAsia="Times New Roman" w:cstheme="minorHAnsi"/>
        </w:rPr>
        <w:t xml:space="preserve"> </w:t>
      </w:r>
      <w:r w:rsidRPr="004E1297">
        <w:rPr>
          <w:rFonts w:eastAsia="Times New Roman" w:cstheme="minorHAnsi"/>
        </w:rPr>
        <w:t>figure available to help them negotiate these tasks’ (Brown and Ward, 2013).</w:t>
      </w:r>
    </w:p>
    <w:p w:rsidR="00EF632D" w:rsidRPr="004E1297" w:rsidRDefault="00EF632D" w:rsidP="004E1297">
      <w:pPr>
        <w:pStyle w:val="ListParagraph"/>
        <w:numPr>
          <w:ilvl w:val="0"/>
          <w:numId w:val="13"/>
        </w:numPr>
        <w:spacing w:after="100" w:afterAutospacing="1" w:line="240" w:lineRule="auto"/>
        <w:rPr>
          <w:rFonts w:eastAsia="Times New Roman" w:cstheme="minorHAnsi"/>
        </w:rPr>
      </w:pPr>
      <w:r w:rsidRPr="004E1297">
        <w:rPr>
          <w:rFonts w:eastAsia="Times New Roman" w:cstheme="minorHAnsi"/>
        </w:rPr>
        <w:t>Studies scanning the brain at regular intervals have s</w:t>
      </w:r>
      <w:r w:rsidR="00C31A37" w:rsidRPr="004E1297">
        <w:rPr>
          <w:rFonts w:eastAsia="Times New Roman" w:cstheme="minorHAnsi"/>
        </w:rPr>
        <w:t xml:space="preserve">hown that the brain continues to </w:t>
      </w:r>
      <w:r w:rsidRPr="004E1297">
        <w:rPr>
          <w:rFonts w:eastAsia="Times New Roman" w:cstheme="minorHAnsi"/>
        </w:rPr>
        <w:t>develop into at least the mid-twenties (Child Welfare Information Gateway, 2009).</w:t>
      </w:r>
    </w:p>
    <w:p w:rsidR="00EF632D" w:rsidRPr="004E1297" w:rsidRDefault="00EF632D" w:rsidP="004E1297">
      <w:pPr>
        <w:pStyle w:val="ListParagraph"/>
        <w:spacing w:after="100" w:afterAutospacing="1" w:line="240" w:lineRule="auto"/>
        <w:ind w:left="1080"/>
        <w:rPr>
          <w:rFonts w:eastAsia="Times New Roman" w:cstheme="minorHAnsi"/>
        </w:rPr>
      </w:pPr>
    </w:p>
    <w:p w:rsidR="00EC639E" w:rsidRPr="004E1297" w:rsidRDefault="0077719B" w:rsidP="004E1297">
      <w:pPr>
        <w:pStyle w:val="ListParagraph"/>
        <w:numPr>
          <w:ilvl w:val="0"/>
          <w:numId w:val="1"/>
        </w:numPr>
        <w:spacing w:after="100" w:afterAutospacing="1" w:line="240" w:lineRule="auto"/>
        <w:rPr>
          <w:rFonts w:eastAsia="Times New Roman" w:cstheme="minorHAnsi"/>
          <w:b/>
          <w:sz w:val="28"/>
        </w:rPr>
      </w:pPr>
      <w:r w:rsidRPr="004E1297">
        <w:rPr>
          <w:rFonts w:eastAsia="Times New Roman" w:cstheme="minorHAnsi"/>
          <w:b/>
          <w:sz w:val="28"/>
        </w:rPr>
        <w:t>Principles of good practice</w:t>
      </w:r>
    </w:p>
    <w:p w:rsidR="00501806" w:rsidRPr="004E1297" w:rsidRDefault="009177A5" w:rsidP="004E1297">
      <w:pPr>
        <w:spacing w:after="100" w:afterAutospacing="1" w:line="240" w:lineRule="auto"/>
        <w:ind w:left="1080"/>
        <w:contextualSpacing/>
        <w:rPr>
          <w:rFonts w:eastAsia="Times New Roman" w:cstheme="minorHAnsi"/>
        </w:rPr>
      </w:pPr>
      <w:r>
        <w:rPr>
          <w:rFonts w:eastAsia="Times New Roman" w:cstheme="minorHAnsi"/>
        </w:rPr>
        <w:t>Young People</w:t>
      </w:r>
      <w:r w:rsidR="00716B1F" w:rsidRPr="004E1297">
        <w:rPr>
          <w:rFonts w:eastAsia="Times New Roman" w:cstheme="minorHAnsi"/>
        </w:rPr>
        <w:t xml:space="preserve"> rely on </w:t>
      </w:r>
      <w:r w:rsidR="00501806" w:rsidRPr="004E1297">
        <w:rPr>
          <w:rFonts w:eastAsia="Times New Roman" w:cstheme="minorHAnsi"/>
        </w:rPr>
        <w:t xml:space="preserve">professionals working </w:t>
      </w:r>
      <w:r w:rsidR="00DA0DAA" w:rsidRPr="004E1297">
        <w:rPr>
          <w:rFonts w:eastAsia="Times New Roman" w:cstheme="minorHAnsi"/>
        </w:rPr>
        <w:t xml:space="preserve">with </w:t>
      </w:r>
      <w:r w:rsidR="00501806" w:rsidRPr="004E1297">
        <w:rPr>
          <w:rFonts w:eastAsia="Times New Roman" w:cstheme="minorHAnsi"/>
        </w:rPr>
        <w:t xml:space="preserve">them to know and agree with the level of risk and vulnerability that exists, have a plan in place to </w:t>
      </w:r>
      <w:r w:rsidR="00BB26A9">
        <w:rPr>
          <w:rFonts w:eastAsia="Times New Roman" w:cstheme="minorHAnsi"/>
        </w:rPr>
        <w:t xml:space="preserve">help </w:t>
      </w:r>
      <w:r w:rsidR="00501806" w:rsidRPr="004E1297">
        <w:rPr>
          <w:rFonts w:eastAsia="Times New Roman" w:cstheme="minorHAnsi"/>
        </w:rPr>
        <w:t>build their resilience to mitigate against future adverse factors, co-ordinate interventions to manage existing risk</w:t>
      </w:r>
      <w:r w:rsidR="00BB3C9E">
        <w:rPr>
          <w:rFonts w:eastAsia="Times New Roman" w:cstheme="minorHAnsi"/>
        </w:rPr>
        <w:t xml:space="preserve">, </w:t>
      </w:r>
      <w:r w:rsidR="00BB26A9">
        <w:rPr>
          <w:rFonts w:eastAsia="Times New Roman" w:cstheme="minorHAnsi"/>
        </w:rPr>
        <w:t>focus on increasing</w:t>
      </w:r>
      <w:r w:rsidR="00BB3C9E">
        <w:rPr>
          <w:rFonts w:eastAsia="Times New Roman" w:cstheme="minorHAnsi"/>
        </w:rPr>
        <w:t xml:space="preserve"> their safety</w:t>
      </w:r>
      <w:r w:rsidR="00501806" w:rsidRPr="004E1297">
        <w:rPr>
          <w:rFonts w:eastAsia="Times New Roman" w:cstheme="minorHAnsi"/>
        </w:rPr>
        <w:t xml:space="preserve"> and have clear lines of communication </w:t>
      </w:r>
    </w:p>
    <w:p w:rsidR="00C0043A" w:rsidRPr="004E1297" w:rsidRDefault="00C0043A" w:rsidP="004E1297">
      <w:pPr>
        <w:spacing w:after="100" w:afterAutospacing="1" w:line="240" w:lineRule="auto"/>
        <w:ind w:left="1080"/>
        <w:contextualSpacing/>
        <w:rPr>
          <w:rFonts w:eastAsia="Times New Roman" w:cstheme="minorHAnsi"/>
        </w:rPr>
      </w:pPr>
    </w:p>
    <w:p w:rsidR="006F2024" w:rsidRDefault="009B5B06" w:rsidP="006F2024">
      <w:pPr>
        <w:autoSpaceDE w:val="0"/>
        <w:autoSpaceDN w:val="0"/>
        <w:adjustRightInd w:val="0"/>
        <w:spacing w:before="100" w:after="100" w:afterAutospacing="1" w:line="240" w:lineRule="auto"/>
        <w:ind w:left="1080"/>
        <w:rPr>
          <w:rFonts w:cstheme="minorHAnsi"/>
          <w:bCs/>
        </w:rPr>
      </w:pPr>
      <w:r w:rsidRPr="004E1297">
        <w:rPr>
          <w:rFonts w:cstheme="minorHAnsi"/>
          <w:b/>
          <w:bCs/>
        </w:rPr>
        <w:t>Relationships</w:t>
      </w:r>
      <w:r w:rsidR="00C0043A" w:rsidRPr="004E1297">
        <w:rPr>
          <w:rFonts w:cstheme="minorHAnsi"/>
          <w:b/>
          <w:bCs/>
        </w:rPr>
        <w:t xml:space="preserve"> – </w:t>
      </w:r>
      <w:r w:rsidR="00EE317C" w:rsidRPr="004E1297">
        <w:rPr>
          <w:rFonts w:cstheme="minorHAnsi"/>
          <w:bCs/>
        </w:rPr>
        <w:t xml:space="preserve">Prevailing research and practice guidance is clear on the importance of Engagement and relationship-based practice as the primary vehicle of protection and positive change for vulnerable </w:t>
      </w:r>
      <w:r w:rsidR="00D858D8">
        <w:rPr>
          <w:rFonts w:cstheme="minorHAnsi"/>
          <w:bCs/>
        </w:rPr>
        <w:t>young people</w:t>
      </w:r>
      <w:bookmarkStart w:id="0" w:name="_GoBack"/>
      <w:bookmarkEnd w:id="0"/>
      <w:r w:rsidR="00EE317C" w:rsidRPr="004E1297">
        <w:rPr>
          <w:rFonts w:cstheme="minorHAnsi"/>
          <w:b/>
          <w:bCs/>
        </w:rPr>
        <w:t xml:space="preserve">.  </w:t>
      </w:r>
    </w:p>
    <w:p w:rsidR="006F2024" w:rsidRPr="006F2024" w:rsidRDefault="006F2024" w:rsidP="006F2024">
      <w:pPr>
        <w:autoSpaceDE w:val="0"/>
        <w:autoSpaceDN w:val="0"/>
        <w:adjustRightInd w:val="0"/>
        <w:spacing w:before="100" w:after="100" w:afterAutospacing="1" w:line="240" w:lineRule="auto"/>
        <w:ind w:left="1080"/>
        <w:rPr>
          <w:rFonts w:cstheme="minorHAnsi"/>
          <w:bCs/>
        </w:rPr>
      </w:pPr>
      <w:r>
        <w:rPr>
          <w:rFonts w:cstheme="minorHAnsi"/>
          <w:b/>
          <w:bCs/>
        </w:rPr>
        <w:t xml:space="preserve">Language – </w:t>
      </w:r>
      <w:r>
        <w:rPr>
          <w:rFonts w:cstheme="minorHAnsi"/>
          <w:bCs/>
        </w:rPr>
        <w:t>it is important to consider the language that is used to describe behaviours. Descriptions such as ‘promiscuous’, ‘putting themselves at risk’, ‘manipulative’ and ‘anti-social behaviour’ are judgement laden, place responsibility for risk o</w:t>
      </w:r>
      <w:r w:rsidR="009177A5">
        <w:rPr>
          <w:rFonts w:cstheme="minorHAnsi"/>
          <w:bCs/>
        </w:rPr>
        <w:t>n the young person</w:t>
      </w:r>
      <w:r>
        <w:rPr>
          <w:rFonts w:cstheme="minorHAnsi"/>
          <w:bCs/>
        </w:rPr>
        <w:t xml:space="preserve"> and can affect the responses and approach to managing risk. Professionals working with</w:t>
      </w:r>
      <w:r w:rsidR="009177A5">
        <w:rPr>
          <w:rFonts w:cstheme="minorHAnsi"/>
          <w:bCs/>
        </w:rPr>
        <w:t xml:space="preserve"> young people</w:t>
      </w:r>
      <w:r>
        <w:rPr>
          <w:rFonts w:cstheme="minorHAnsi"/>
          <w:bCs/>
        </w:rPr>
        <w:t xml:space="preserve"> need to recognise that behaviours exhibited are a result of some underlying emotion or unfilled need and </w:t>
      </w:r>
      <w:r w:rsidR="006968EB">
        <w:rPr>
          <w:rFonts w:cstheme="minorHAnsi"/>
          <w:bCs/>
        </w:rPr>
        <w:t>are often communicative in nature.  T</w:t>
      </w:r>
      <w:r>
        <w:rPr>
          <w:rFonts w:cstheme="minorHAnsi"/>
          <w:bCs/>
        </w:rPr>
        <w:t xml:space="preserve">his is what needs to be understood and </w:t>
      </w:r>
      <w:r w:rsidR="006968EB">
        <w:rPr>
          <w:rFonts w:cstheme="minorHAnsi"/>
          <w:bCs/>
        </w:rPr>
        <w:t xml:space="preserve">remain </w:t>
      </w:r>
      <w:r>
        <w:rPr>
          <w:rFonts w:cstheme="minorHAnsi"/>
          <w:bCs/>
        </w:rPr>
        <w:t>the focus of intervention.</w:t>
      </w:r>
      <w:r w:rsidR="00BB26A9">
        <w:rPr>
          <w:rFonts w:cstheme="minorHAnsi"/>
          <w:bCs/>
        </w:rPr>
        <w:t xml:space="preserve"> (</w:t>
      </w:r>
      <w:r w:rsidR="00E27FA7">
        <w:rPr>
          <w:rFonts w:cstheme="minorHAnsi"/>
          <w:bCs/>
        </w:rPr>
        <w:t>Practitioner Guidance –produced by The Childrens Society et al 2018</w:t>
      </w:r>
      <w:r w:rsidR="00E27FA7">
        <w:rPr>
          <w:rStyle w:val="FootnoteReference"/>
          <w:rFonts w:cstheme="minorHAnsi"/>
          <w:bCs/>
        </w:rPr>
        <w:footnoteReference w:id="4"/>
      </w:r>
      <w:r w:rsidR="00E27FA7">
        <w:rPr>
          <w:rFonts w:cstheme="minorHAnsi"/>
          <w:bCs/>
        </w:rPr>
        <w:t>)</w:t>
      </w:r>
    </w:p>
    <w:p w:rsidR="00FB1A15" w:rsidRPr="004E1297" w:rsidRDefault="00FB1A15" w:rsidP="004E1297">
      <w:pPr>
        <w:autoSpaceDE w:val="0"/>
        <w:autoSpaceDN w:val="0"/>
        <w:adjustRightInd w:val="0"/>
        <w:spacing w:before="100" w:after="100" w:afterAutospacing="1" w:line="240" w:lineRule="auto"/>
        <w:ind w:left="1080"/>
        <w:rPr>
          <w:rFonts w:cstheme="minorHAnsi"/>
        </w:rPr>
      </w:pPr>
      <w:r w:rsidRPr="004E1297">
        <w:rPr>
          <w:rFonts w:cstheme="minorHAnsi"/>
          <w:b/>
          <w:bCs/>
        </w:rPr>
        <w:t>Asking the right questions</w:t>
      </w:r>
      <w:r w:rsidRPr="004E1297">
        <w:rPr>
          <w:rFonts w:cstheme="minorHAnsi"/>
        </w:rPr>
        <w:t xml:space="preserve">: Professor Eileen Munro, in her work, ‘Effective Child Protection’ </w:t>
      </w:r>
      <w:r w:rsidR="00EE1CB1" w:rsidRPr="004E1297">
        <w:rPr>
          <w:rFonts w:cstheme="minorHAnsi"/>
        </w:rPr>
        <w:t xml:space="preserve">2008 </w:t>
      </w:r>
      <w:r w:rsidRPr="004E1297">
        <w:rPr>
          <w:rFonts w:cstheme="minorHAnsi"/>
        </w:rPr>
        <w:t>states that in order to manage risk, there is a need to identify:</w:t>
      </w:r>
    </w:p>
    <w:p w:rsidR="00FB1A15" w:rsidRPr="004E1297" w:rsidRDefault="0077719B" w:rsidP="004E1297">
      <w:pPr>
        <w:autoSpaceDE w:val="0"/>
        <w:autoSpaceDN w:val="0"/>
        <w:adjustRightInd w:val="0"/>
        <w:spacing w:after="0" w:line="240" w:lineRule="auto"/>
        <w:ind w:left="1797" w:hanging="357"/>
        <w:rPr>
          <w:rFonts w:cstheme="minorHAnsi"/>
        </w:rPr>
      </w:pPr>
      <w:r w:rsidRPr="004E1297">
        <w:rPr>
          <w:rFonts w:cstheme="minorHAnsi"/>
        </w:rPr>
        <w:t>What has been happening?</w:t>
      </w:r>
    </w:p>
    <w:p w:rsidR="00FB1A15" w:rsidRPr="004E1297" w:rsidRDefault="0077719B" w:rsidP="004E1297">
      <w:pPr>
        <w:autoSpaceDE w:val="0"/>
        <w:autoSpaceDN w:val="0"/>
        <w:adjustRightInd w:val="0"/>
        <w:spacing w:after="0" w:line="240" w:lineRule="auto"/>
        <w:ind w:left="1797" w:hanging="357"/>
        <w:rPr>
          <w:rFonts w:cstheme="minorHAnsi"/>
        </w:rPr>
      </w:pPr>
      <w:r w:rsidRPr="004E1297">
        <w:rPr>
          <w:rFonts w:cstheme="minorHAnsi"/>
        </w:rPr>
        <w:t>What is happening now?</w:t>
      </w:r>
    </w:p>
    <w:p w:rsidR="00FB1A15" w:rsidRPr="004E1297" w:rsidRDefault="0077719B" w:rsidP="004E1297">
      <w:pPr>
        <w:autoSpaceDE w:val="0"/>
        <w:autoSpaceDN w:val="0"/>
        <w:adjustRightInd w:val="0"/>
        <w:spacing w:after="0" w:line="240" w:lineRule="auto"/>
        <w:ind w:left="1797" w:hanging="357"/>
        <w:rPr>
          <w:rFonts w:cstheme="minorHAnsi"/>
        </w:rPr>
      </w:pPr>
      <w:r w:rsidRPr="004E1297">
        <w:rPr>
          <w:rFonts w:cstheme="minorHAnsi"/>
        </w:rPr>
        <w:t>What might happen?</w:t>
      </w:r>
    </w:p>
    <w:p w:rsidR="00FB1A15" w:rsidRPr="004E1297" w:rsidRDefault="0077719B" w:rsidP="004E1297">
      <w:pPr>
        <w:autoSpaceDE w:val="0"/>
        <w:autoSpaceDN w:val="0"/>
        <w:adjustRightInd w:val="0"/>
        <w:spacing w:after="0" w:line="240" w:lineRule="auto"/>
        <w:ind w:left="1797" w:hanging="357"/>
        <w:rPr>
          <w:rFonts w:cstheme="minorHAnsi"/>
        </w:rPr>
      </w:pPr>
      <w:r w:rsidRPr="004E1297">
        <w:rPr>
          <w:rFonts w:cstheme="minorHAnsi"/>
        </w:rPr>
        <w:t>How likely it is?</w:t>
      </w:r>
    </w:p>
    <w:p w:rsidR="00FB1A15" w:rsidRPr="004E1297" w:rsidRDefault="00FB1A15" w:rsidP="004E1297">
      <w:pPr>
        <w:autoSpaceDE w:val="0"/>
        <w:autoSpaceDN w:val="0"/>
        <w:adjustRightInd w:val="0"/>
        <w:spacing w:after="0" w:line="240" w:lineRule="auto"/>
        <w:ind w:left="1797" w:hanging="357"/>
        <w:rPr>
          <w:rFonts w:cstheme="minorHAnsi"/>
        </w:rPr>
      </w:pPr>
      <w:r w:rsidRPr="004E1297">
        <w:rPr>
          <w:rFonts w:cstheme="minorHAnsi"/>
        </w:rPr>
        <w:t xml:space="preserve">How serious it would be </w:t>
      </w:r>
    </w:p>
    <w:p w:rsidR="00FB1A15" w:rsidRPr="004E1297" w:rsidRDefault="00FB1A15" w:rsidP="004E1297">
      <w:pPr>
        <w:autoSpaceDE w:val="0"/>
        <w:autoSpaceDN w:val="0"/>
        <w:adjustRightInd w:val="0"/>
        <w:spacing w:after="0" w:line="240" w:lineRule="auto"/>
        <w:ind w:left="1797" w:hanging="357"/>
        <w:rPr>
          <w:rFonts w:cstheme="minorHAnsi"/>
        </w:rPr>
      </w:pPr>
      <w:r w:rsidRPr="004E1297">
        <w:rPr>
          <w:rFonts w:cstheme="minorHAnsi"/>
        </w:rPr>
        <w:t>A combination of seriousness and likelihood lead</w:t>
      </w:r>
      <w:r w:rsidR="00C0043A" w:rsidRPr="004E1297">
        <w:rPr>
          <w:rFonts w:cstheme="minorHAnsi"/>
        </w:rPr>
        <w:t>s</w:t>
      </w:r>
      <w:r w:rsidRPr="004E1297">
        <w:rPr>
          <w:rFonts w:cstheme="minorHAnsi"/>
        </w:rPr>
        <w:t xml:space="preserve"> to an overall judgement of risk</w:t>
      </w:r>
    </w:p>
    <w:p w:rsidR="00FB1A15" w:rsidRPr="004E1297" w:rsidRDefault="00FB1A15" w:rsidP="004E1297">
      <w:pPr>
        <w:autoSpaceDE w:val="0"/>
        <w:autoSpaceDN w:val="0"/>
        <w:adjustRightInd w:val="0"/>
        <w:spacing w:before="100" w:after="100" w:afterAutospacing="1" w:line="240" w:lineRule="auto"/>
        <w:ind w:left="1080"/>
        <w:rPr>
          <w:rFonts w:cstheme="minorHAnsi"/>
        </w:rPr>
      </w:pPr>
      <w:r w:rsidRPr="004E1297">
        <w:rPr>
          <w:rFonts w:cstheme="minorHAnsi"/>
          <w:b/>
          <w:bCs/>
        </w:rPr>
        <w:t xml:space="preserve">Appropriate </w:t>
      </w:r>
      <w:r w:rsidR="00596876" w:rsidRPr="004E1297">
        <w:rPr>
          <w:rFonts w:cstheme="minorHAnsi"/>
          <w:b/>
          <w:bCs/>
        </w:rPr>
        <w:t xml:space="preserve">and proportionate </w:t>
      </w:r>
      <w:r w:rsidRPr="004E1297">
        <w:rPr>
          <w:rFonts w:cstheme="minorHAnsi"/>
          <w:b/>
          <w:bCs/>
        </w:rPr>
        <w:t>interventions:</w:t>
      </w:r>
      <w:r w:rsidRPr="004E1297">
        <w:rPr>
          <w:rFonts w:cstheme="minorHAnsi"/>
        </w:rPr>
        <w:t xml:space="preserve"> An assessment should underpin professional judgements to inform and agree the level and type of intervention that is most appropriate for children at risk.</w:t>
      </w:r>
    </w:p>
    <w:p w:rsidR="00FB1A15" w:rsidRPr="004E1297" w:rsidRDefault="00FB1A15" w:rsidP="004E1297">
      <w:pPr>
        <w:autoSpaceDE w:val="0"/>
        <w:autoSpaceDN w:val="0"/>
        <w:adjustRightInd w:val="0"/>
        <w:spacing w:before="100" w:after="100" w:afterAutospacing="1" w:line="240" w:lineRule="auto"/>
        <w:ind w:left="1080"/>
        <w:rPr>
          <w:rFonts w:cstheme="minorHAnsi"/>
        </w:rPr>
      </w:pPr>
      <w:r w:rsidRPr="004E1297">
        <w:rPr>
          <w:rFonts w:cstheme="minorHAnsi"/>
          <w:b/>
          <w:bCs/>
        </w:rPr>
        <w:t>Risk on a continuum:</w:t>
      </w:r>
      <w:r w:rsidRPr="004E1297">
        <w:rPr>
          <w:rFonts w:cstheme="minorHAnsi"/>
        </w:rPr>
        <w:t xml:space="preserve"> Assessment of risk can only be comprehensive if it considers both past and present in order to identify future risks to a </w:t>
      </w:r>
      <w:r w:rsidR="006F2024">
        <w:rPr>
          <w:rFonts w:cstheme="minorHAnsi"/>
        </w:rPr>
        <w:t xml:space="preserve">younger or older </w:t>
      </w:r>
      <w:r w:rsidRPr="004E1297">
        <w:rPr>
          <w:rFonts w:cstheme="minorHAnsi"/>
        </w:rPr>
        <w:t>child. An assessment is an ongoing process, not a one-off event.</w:t>
      </w:r>
    </w:p>
    <w:p w:rsidR="00FB1A15" w:rsidRPr="004E1297" w:rsidRDefault="00FB1A15" w:rsidP="004E1297">
      <w:pPr>
        <w:autoSpaceDE w:val="0"/>
        <w:autoSpaceDN w:val="0"/>
        <w:adjustRightInd w:val="0"/>
        <w:spacing w:before="100" w:after="100" w:afterAutospacing="1" w:line="240" w:lineRule="auto"/>
        <w:ind w:left="1080"/>
        <w:rPr>
          <w:rFonts w:cstheme="minorHAnsi"/>
        </w:rPr>
      </w:pPr>
      <w:r w:rsidRPr="004E1297">
        <w:rPr>
          <w:rFonts w:cstheme="minorHAnsi"/>
          <w:b/>
          <w:bCs/>
        </w:rPr>
        <w:lastRenderedPageBreak/>
        <w:t xml:space="preserve">No delay: </w:t>
      </w:r>
      <w:r w:rsidRPr="004E1297">
        <w:rPr>
          <w:rFonts w:cstheme="minorHAnsi"/>
        </w:rPr>
        <w:t>Interventions should not be delayed until the end of an assessment, but should be determined according to what is required to ensure a child’s safety, taking account of any indications of accelerated risks and warning signs.</w:t>
      </w:r>
    </w:p>
    <w:p w:rsidR="00FB1A15" w:rsidRPr="004E1297" w:rsidRDefault="00FB1A15" w:rsidP="004E1297">
      <w:pPr>
        <w:autoSpaceDE w:val="0"/>
        <w:autoSpaceDN w:val="0"/>
        <w:adjustRightInd w:val="0"/>
        <w:spacing w:before="100" w:after="100" w:afterAutospacing="1" w:line="240" w:lineRule="auto"/>
        <w:ind w:left="1080"/>
        <w:rPr>
          <w:rFonts w:cstheme="minorHAnsi"/>
        </w:rPr>
      </w:pPr>
      <w:r w:rsidRPr="004E1297">
        <w:rPr>
          <w:rFonts w:cstheme="minorHAnsi"/>
          <w:b/>
          <w:bCs/>
        </w:rPr>
        <w:t>Risk Assessment Tools - not ends in themselves:</w:t>
      </w:r>
      <w:r w:rsidRPr="004E1297">
        <w:rPr>
          <w:rFonts w:cstheme="minorHAnsi"/>
        </w:rPr>
        <w:t xml:space="preserve"> Risk assessment matrices and checklists can be helpful in guiding understanding but they cannot be absolutely relied upon to provide definitive answers to levels of risks faced by children.</w:t>
      </w:r>
    </w:p>
    <w:p w:rsidR="00FB1A15" w:rsidRPr="004E1297" w:rsidRDefault="00B140F7" w:rsidP="004E1297">
      <w:pPr>
        <w:autoSpaceDE w:val="0"/>
        <w:autoSpaceDN w:val="0"/>
        <w:adjustRightInd w:val="0"/>
        <w:spacing w:before="100" w:after="100" w:afterAutospacing="1" w:line="240" w:lineRule="auto"/>
        <w:ind w:left="1080"/>
        <w:rPr>
          <w:rFonts w:cstheme="minorHAnsi"/>
        </w:rPr>
      </w:pPr>
      <w:r>
        <w:rPr>
          <w:rFonts w:cstheme="minorHAnsi"/>
          <w:b/>
          <w:bCs/>
        </w:rPr>
        <w:t>Effective</w:t>
      </w:r>
      <w:r w:rsidR="00EE317C" w:rsidRPr="004E1297">
        <w:rPr>
          <w:rFonts w:cstheme="minorHAnsi"/>
          <w:b/>
          <w:bCs/>
        </w:rPr>
        <w:t xml:space="preserve"> risk assessments -</w:t>
      </w:r>
      <w:r w:rsidR="00FB1A15" w:rsidRPr="004E1297">
        <w:rPr>
          <w:rFonts w:cstheme="minorHAnsi"/>
        </w:rPr>
        <w:t xml:space="preserve"> They construct a coherent story about the child’s circumstances; they appreciate that there will be ambiguity and uncertainty about some matters; they have been constructed through the testing of hypotheses and a curiosity that sees</w:t>
      </w:r>
      <w:r w:rsidR="006F2024">
        <w:rPr>
          <w:rFonts w:cstheme="minorHAnsi"/>
        </w:rPr>
        <w:t xml:space="preserve"> older children</w:t>
      </w:r>
      <w:r w:rsidR="00FB1A15" w:rsidRPr="004E1297">
        <w:rPr>
          <w:rFonts w:cstheme="minorHAnsi"/>
        </w:rPr>
        <w:t xml:space="preserve"> in their contexts; they are considered and thoughtful and finally they allow for and enable change.</w:t>
      </w:r>
    </w:p>
    <w:p w:rsidR="0077719B" w:rsidRPr="004E1297" w:rsidRDefault="0077719B" w:rsidP="004E1297">
      <w:pPr>
        <w:pStyle w:val="ListParagraph"/>
        <w:numPr>
          <w:ilvl w:val="0"/>
          <w:numId w:val="1"/>
        </w:numPr>
        <w:autoSpaceDE w:val="0"/>
        <w:autoSpaceDN w:val="0"/>
        <w:adjustRightInd w:val="0"/>
        <w:spacing w:before="100" w:after="100" w:afterAutospacing="1" w:line="240" w:lineRule="auto"/>
        <w:rPr>
          <w:rFonts w:cstheme="minorHAnsi"/>
          <w:b/>
          <w:sz w:val="28"/>
        </w:rPr>
      </w:pPr>
      <w:r w:rsidRPr="004E1297">
        <w:rPr>
          <w:rFonts w:cstheme="minorHAnsi"/>
          <w:b/>
          <w:sz w:val="28"/>
        </w:rPr>
        <w:t>Contextual Safeguarding</w:t>
      </w:r>
      <w:r w:rsidR="00CF0537" w:rsidRPr="004E1297">
        <w:rPr>
          <w:rStyle w:val="FootnoteReference"/>
          <w:rFonts w:cstheme="minorHAnsi"/>
          <w:b/>
          <w:sz w:val="28"/>
        </w:rPr>
        <w:footnoteReference w:id="5"/>
      </w:r>
      <w:r w:rsidR="006F2024" w:rsidRPr="006F2024">
        <w:rPr>
          <w:rFonts w:cstheme="minorHAnsi"/>
          <w:b/>
          <w:sz w:val="16"/>
        </w:rPr>
        <w:t>&amp;</w:t>
      </w:r>
      <w:r w:rsidR="006F2024">
        <w:rPr>
          <w:rStyle w:val="FootnoteReference"/>
          <w:rFonts w:cstheme="minorHAnsi"/>
          <w:b/>
          <w:sz w:val="28"/>
        </w:rPr>
        <w:footnoteReference w:id="6"/>
      </w:r>
    </w:p>
    <w:p w:rsidR="00284388" w:rsidRDefault="00872DED" w:rsidP="00B140F7">
      <w:pPr>
        <w:pStyle w:val="ListParagraph"/>
        <w:autoSpaceDE w:val="0"/>
        <w:autoSpaceDN w:val="0"/>
        <w:adjustRightInd w:val="0"/>
        <w:spacing w:before="100" w:after="100" w:afterAutospacing="1" w:line="240" w:lineRule="auto"/>
        <w:ind w:left="1080"/>
        <w:rPr>
          <w:rFonts w:cstheme="minorHAnsi"/>
        </w:rPr>
      </w:pPr>
      <w:r>
        <w:rPr>
          <w:rFonts w:cstheme="minorHAnsi"/>
        </w:rPr>
        <w:t xml:space="preserve">When </w:t>
      </w:r>
      <w:r w:rsidR="009177A5">
        <w:rPr>
          <w:rFonts w:cstheme="minorHAnsi"/>
        </w:rPr>
        <w:t>young people</w:t>
      </w:r>
      <w:r>
        <w:rPr>
          <w:rFonts w:cstheme="minorHAnsi"/>
        </w:rPr>
        <w:t xml:space="preserve"> are subjected to risk outside of their family the traditional methods and systems of intervention are not sufficient enough to safeguard them fully. </w:t>
      </w:r>
      <w:r w:rsidR="00E34DFB" w:rsidRPr="004E1297">
        <w:rPr>
          <w:rFonts w:cstheme="minorHAnsi"/>
        </w:rPr>
        <w:t>Contextual safeguarding is an approach to understanding and responding to a</w:t>
      </w:r>
      <w:r w:rsidR="006F2024">
        <w:rPr>
          <w:rFonts w:cstheme="minorHAnsi"/>
        </w:rPr>
        <w:t>n older child’s</w:t>
      </w:r>
      <w:r w:rsidR="00E34DFB" w:rsidRPr="004E1297">
        <w:rPr>
          <w:rFonts w:cstheme="minorHAnsi"/>
        </w:rPr>
        <w:t xml:space="preserve"> experience of signifi</w:t>
      </w:r>
      <w:r w:rsidR="00284388">
        <w:rPr>
          <w:rFonts w:cstheme="minorHAnsi"/>
        </w:rPr>
        <w:t>cant harm beyond their families f</w:t>
      </w:r>
      <w:r w:rsidR="006F2024">
        <w:rPr>
          <w:rFonts w:cstheme="minorHAnsi"/>
        </w:rPr>
        <w:t xml:space="preserve">or example, </w:t>
      </w:r>
      <w:r w:rsidR="00284388">
        <w:rPr>
          <w:rFonts w:cstheme="minorHAnsi"/>
        </w:rPr>
        <w:t>threats from organised crime groups such as County Lines Drug Networks, online abuse, radicalisation, t</w:t>
      </w:r>
      <w:r w:rsidR="006F2024">
        <w:rPr>
          <w:rFonts w:cstheme="minorHAnsi"/>
        </w:rPr>
        <w:t>rafficking, exploitation through gang affiliation</w:t>
      </w:r>
      <w:r w:rsidR="00284388">
        <w:rPr>
          <w:rFonts w:cstheme="minorHAnsi"/>
        </w:rPr>
        <w:t>, Female Genital Mutilation etc</w:t>
      </w:r>
      <w:r w:rsidR="006F2024">
        <w:rPr>
          <w:rFonts w:cstheme="minorHAnsi"/>
        </w:rPr>
        <w:t>.</w:t>
      </w:r>
      <w:r w:rsidR="00E34DFB" w:rsidRPr="004E1297">
        <w:rPr>
          <w:rFonts w:cstheme="minorHAnsi"/>
        </w:rPr>
        <w:t xml:space="preserve"> </w:t>
      </w:r>
    </w:p>
    <w:p w:rsidR="00284388" w:rsidRDefault="00284388" w:rsidP="00B140F7">
      <w:pPr>
        <w:pStyle w:val="ListParagraph"/>
        <w:autoSpaceDE w:val="0"/>
        <w:autoSpaceDN w:val="0"/>
        <w:adjustRightInd w:val="0"/>
        <w:spacing w:before="100" w:after="100" w:afterAutospacing="1" w:line="240" w:lineRule="auto"/>
        <w:ind w:left="1080"/>
        <w:rPr>
          <w:rFonts w:cstheme="minorHAnsi"/>
        </w:rPr>
      </w:pPr>
    </w:p>
    <w:p w:rsidR="009177A5" w:rsidRPr="009177A5" w:rsidRDefault="00284388" w:rsidP="009177A5">
      <w:pPr>
        <w:pStyle w:val="ListParagraph"/>
        <w:autoSpaceDE w:val="0"/>
        <w:autoSpaceDN w:val="0"/>
        <w:adjustRightInd w:val="0"/>
        <w:spacing w:before="100" w:after="100" w:afterAutospacing="1" w:line="240" w:lineRule="auto"/>
        <w:ind w:left="1080"/>
        <w:rPr>
          <w:rFonts w:cstheme="minorHAnsi"/>
        </w:rPr>
      </w:pPr>
      <w:r>
        <w:rPr>
          <w:rFonts w:cstheme="minorHAnsi"/>
        </w:rPr>
        <w:t>Contextual Safeguarding</w:t>
      </w:r>
      <w:r w:rsidR="00E34DFB" w:rsidRPr="004E1297">
        <w:rPr>
          <w:rFonts w:cstheme="minorHAnsi"/>
        </w:rPr>
        <w:t xml:space="preserve"> recognises </w:t>
      </w:r>
      <w:r w:rsidR="00E34DFB" w:rsidRPr="00B140F7">
        <w:rPr>
          <w:rFonts w:cstheme="minorHAnsi"/>
        </w:rPr>
        <w:t xml:space="preserve">the different relationships </w:t>
      </w:r>
      <w:r w:rsidR="009177A5">
        <w:rPr>
          <w:rFonts w:cstheme="minorHAnsi"/>
        </w:rPr>
        <w:t>young people</w:t>
      </w:r>
      <w:r w:rsidR="00E34DFB" w:rsidRPr="00B140F7">
        <w:rPr>
          <w:rFonts w:cstheme="minorHAnsi"/>
        </w:rPr>
        <w:t xml:space="preserve"> have in their neighbourhoods, in school and online that can feature violence and abuse</w:t>
      </w:r>
      <w:r>
        <w:rPr>
          <w:rFonts w:cstheme="minorHAnsi"/>
        </w:rPr>
        <w:t>. It recognises that parents have limited</w:t>
      </w:r>
      <w:r w:rsidR="00E34DFB" w:rsidRPr="004E1297">
        <w:rPr>
          <w:rFonts w:cstheme="minorHAnsi"/>
        </w:rPr>
        <w:t xml:space="preserve"> influence over these contexts</w:t>
      </w:r>
      <w:r w:rsidR="00B140F7">
        <w:rPr>
          <w:rFonts w:cstheme="minorHAnsi"/>
        </w:rPr>
        <w:t xml:space="preserve"> and </w:t>
      </w:r>
      <w:r>
        <w:rPr>
          <w:rFonts w:cstheme="minorHAnsi"/>
        </w:rPr>
        <w:t>that the older child’s</w:t>
      </w:r>
      <w:r w:rsidR="00E34DFB" w:rsidRPr="004E1297">
        <w:rPr>
          <w:rFonts w:cstheme="minorHAnsi"/>
        </w:rPr>
        <w:t xml:space="preserve"> ex</w:t>
      </w:r>
      <w:r>
        <w:rPr>
          <w:rFonts w:cstheme="minorHAnsi"/>
        </w:rPr>
        <w:t>perience</w:t>
      </w:r>
      <w:r w:rsidR="00E34DFB" w:rsidRPr="004E1297">
        <w:rPr>
          <w:rFonts w:cstheme="minorHAnsi"/>
        </w:rPr>
        <w:t xml:space="preserve"> of extra familiar abuse often undermines the parent – child relationship</w:t>
      </w:r>
      <w:r>
        <w:rPr>
          <w:rFonts w:cstheme="minorHAnsi"/>
        </w:rPr>
        <w:t xml:space="preserve"> for this is what it depends upon.</w:t>
      </w:r>
    </w:p>
    <w:p w:rsidR="00E34DFB" w:rsidRPr="004E1297" w:rsidRDefault="009177A5" w:rsidP="004E1297">
      <w:pPr>
        <w:autoSpaceDE w:val="0"/>
        <w:autoSpaceDN w:val="0"/>
        <w:adjustRightInd w:val="0"/>
        <w:spacing w:before="100" w:after="100" w:afterAutospacing="1" w:line="240" w:lineRule="auto"/>
        <w:ind w:left="1080"/>
        <w:rPr>
          <w:rFonts w:cstheme="minorHAnsi"/>
        </w:rPr>
      </w:pPr>
      <w:r>
        <w:rPr>
          <w:rFonts w:cstheme="minorHAnsi"/>
        </w:rPr>
        <w:t>Young people</w:t>
      </w:r>
      <w:r w:rsidR="00E34DFB" w:rsidRPr="004E1297">
        <w:rPr>
          <w:rFonts w:cstheme="minorHAnsi"/>
        </w:rPr>
        <w:t xml:space="preserve"> exposed to violence or exploitation at school, community or peer group may fracture their family relationships and </w:t>
      </w:r>
      <w:r w:rsidR="00284388">
        <w:rPr>
          <w:rFonts w:cstheme="minorHAnsi"/>
        </w:rPr>
        <w:t xml:space="preserve">this </w:t>
      </w:r>
      <w:r w:rsidR="00E34DFB" w:rsidRPr="004E1297">
        <w:rPr>
          <w:rFonts w:cstheme="minorHAnsi"/>
        </w:rPr>
        <w:t>undermine</w:t>
      </w:r>
      <w:r w:rsidR="00284388">
        <w:rPr>
          <w:rFonts w:cstheme="minorHAnsi"/>
        </w:rPr>
        <w:t>s their parents or</w:t>
      </w:r>
      <w:r w:rsidR="00E34DFB" w:rsidRPr="004E1297">
        <w:rPr>
          <w:rFonts w:cstheme="minorHAnsi"/>
        </w:rPr>
        <w:t xml:space="preserve"> carers ability to keep them safe</w:t>
      </w:r>
      <w:r w:rsidR="00284388">
        <w:rPr>
          <w:rFonts w:cstheme="minorHAnsi"/>
        </w:rPr>
        <w:t>.</w:t>
      </w:r>
    </w:p>
    <w:p w:rsidR="00E34DFB" w:rsidRPr="004E1297" w:rsidRDefault="009177A5" w:rsidP="004E1297">
      <w:pPr>
        <w:autoSpaceDE w:val="0"/>
        <w:autoSpaceDN w:val="0"/>
        <w:adjustRightInd w:val="0"/>
        <w:spacing w:before="100" w:after="100" w:afterAutospacing="1" w:line="240" w:lineRule="auto"/>
        <w:ind w:left="1080"/>
        <w:rPr>
          <w:rFonts w:cstheme="minorHAnsi"/>
        </w:rPr>
      </w:pPr>
      <w:r>
        <w:rPr>
          <w:rFonts w:cstheme="minorHAnsi"/>
        </w:rPr>
        <w:t>Young people</w:t>
      </w:r>
      <w:r w:rsidR="00284388">
        <w:rPr>
          <w:rFonts w:cstheme="minorHAnsi"/>
        </w:rPr>
        <w:t xml:space="preserve"> </w:t>
      </w:r>
      <w:r w:rsidR="00E34DFB" w:rsidRPr="004E1297">
        <w:rPr>
          <w:rFonts w:cstheme="minorHAnsi"/>
        </w:rPr>
        <w:t>exposed to harm at home impacts on their beh</w:t>
      </w:r>
      <w:r w:rsidR="000B539C">
        <w:rPr>
          <w:rFonts w:cstheme="minorHAnsi"/>
        </w:rPr>
        <w:t>aviour at school / community, for example,</w:t>
      </w:r>
      <w:r w:rsidR="00E34DFB" w:rsidRPr="004E1297">
        <w:rPr>
          <w:rFonts w:cstheme="minorHAnsi"/>
        </w:rPr>
        <w:t xml:space="preserve"> and they learn to adopt harmful social norms which inform their peer relationships.</w:t>
      </w:r>
    </w:p>
    <w:p w:rsidR="00E34DFB" w:rsidRPr="004E1297" w:rsidRDefault="00E34DFB" w:rsidP="004E1297">
      <w:pPr>
        <w:autoSpaceDE w:val="0"/>
        <w:autoSpaceDN w:val="0"/>
        <w:adjustRightInd w:val="0"/>
        <w:spacing w:before="100" w:after="100" w:afterAutospacing="1" w:line="240" w:lineRule="auto"/>
        <w:ind w:left="1080"/>
        <w:rPr>
          <w:rFonts w:cstheme="minorHAnsi"/>
        </w:rPr>
      </w:pPr>
      <w:r w:rsidRPr="004E1297">
        <w:rPr>
          <w:rFonts w:cstheme="minorHAnsi"/>
        </w:rPr>
        <w:t>Given the contextual nature of safety and vulnerability during adolescence, systems and services designed to keep children safe need to engage with the dynamics at play in extra familial, as well as familial, settings.</w:t>
      </w:r>
    </w:p>
    <w:p w:rsidR="00E34DFB" w:rsidRDefault="00E34DFB" w:rsidP="004E1297">
      <w:pPr>
        <w:autoSpaceDE w:val="0"/>
        <w:autoSpaceDN w:val="0"/>
        <w:adjustRightInd w:val="0"/>
        <w:spacing w:before="100" w:after="100" w:afterAutospacing="1" w:line="240" w:lineRule="auto"/>
        <w:ind w:left="1080"/>
        <w:rPr>
          <w:rFonts w:cstheme="minorHAnsi"/>
        </w:rPr>
      </w:pPr>
      <w:r w:rsidRPr="004E1297">
        <w:rPr>
          <w:rFonts w:cstheme="minorHAnsi"/>
        </w:rPr>
        <w:t xml:space="preserve">The existing Child Protection system, legislative and policy framework which underpins it, was designed to protect children and young people from risks posed by their families and / or where families had reduced capacity to safeguard those in their care. As noted, extra </w:t>
      </w:r>
      <w:r w:rsidRPr="004E1297">
        <w:rPr>
          <w:rFonts w:cstheme="minorHAnsi"/>
        </w:rPr>
        <w:lastRenderedPageBreak/>
        <w:t xml:space="preserve">familial risks can undermine or reduce the capacity of parents / carers to safeguard </w:t>
      </w:r>
      <w:r w:rsidR="000B539C">
        <w:rPr>
          <w:rFonts w:cstheme="minorHAnsi"/>
        </w:rPr>
        <w:t>older children so a refreshed approach is required</w:t>
      </w:r>
      <w:r w:rsidR="00FD7890" w:rsidRPr="004E1297">
        <w:rPr>
          <w:rFonts w:cstheme="minorHAnsi"/>
        </w:rPr>
        <w:t xml:space="preserve">. </w:t>
      </w:r>
    </w:p>
    <w:p w:rsidR="00E27FA7" w:rsidRPr="004E1297" w:rsidRDefault="00E27FA7" w:rsidP="004E1297">
      <w:pPr>
        <w:autoSpaceDE w:val="0"/>
        <w:autoSpaceDN w:val="0"/>
        <w:adjustRightInd w:val="0"/>
        <w:spacing w:before="100" w:after="100" w:afterAutospacing="1" w:line="240" w:lineRule="auto"/>
        <w:ind w:left="1080"/>
        <w:rPr>
          <w:rFonts w:cstheme="minorHAnsi"/>
        </w:rPr>
      </w:pPr>
      <w:r>
        <w:rPr>
          <w:rFonts w:cstheme="minorHAnsi"/>
        </w:rPr>
        <w:t xml:space="preserve">By </w:t>
      </w:r>
      <w:r w:rsidR="009177A5">
        <w:rPr>
          <w:rFonts w:cstheme="minorHAnsi"/>
        </w:rPr>
        <w:t xml:space="preserve">considering </w:t>
      </w:r>
      <w:r>
        <w:rPr>
          <w:rFonts w:cstheme="minorHAnsi"/>
        </w:rPr>
        <w:t xml:space="preserve">contextual safeguarding </w:t>
      </w:r>
      <w:r w:rsidR="00D858D8">
        <w:rPr>
          <w:rFonts w:cstheme="minorHAnsi"/>
        </w:rPr>
        <w:t xml:space="preserve">aspects </w:t>
      </w:r>
      <w:r>
        <w:rPr>
          <w:rFonts w:cstheme="minorHAnsi"/>
        </w:rPr>
        <w:t>professionals, young people and their carers will</w:t>
      </w:r>
      <w:r w:rsidR="00D858D8">
        <w:rPr>
          <w:rFonts w:cstheme="minorHAnsi"/>
        </w:rPr>
        <w:t xml:space="preserve"> in crease their</w:t>
      </w:r>
      <w:r>
        <w:rPr>
          <w:rFonts w:cstheme="minorHAnsi"/>
        </w:rPr>
        <w:t xml:space="preserve"> understand</w:t>
      </w:r>
      <w:r w:rsidR="00D858D8">
        <w:rPr>
          <w:rFonts w:cstheme="minorHAnsi"/>
        </w:rPr>
        <w:t>ing of</w:t>
      </w:r>
      <w:r>
        <w:rPr>
          <w:rFonts w:cstheme="minorHAnsi"/>
        </w:rPr>
        <w:t xml:space="preserve"> how a young person’s safety can be compromised in the different parts to their life and take proactive action to increase their safety in a range of environments.</w:t>
      </w:r>
    </w:p>
    <w:p w:rsidR="003155E1" w:rsidRPr="004E1297" w:rsidRDefault="003155E1" w:rsidP="004E1297">
      <w:pPr>
        <w:pStyle w:val="ListParagraph"/>
        <w:numPr>
          <w:ilvl w:val="0"/>
          <w:numId w:val="1"/>
        </w:numPr>
        <w:spacing w:after="100" w:afterAutospacing="1" w:line="240" w:lineRule="auto"/>
        <w:rPr>
          <w:rFonts w:eastAsia="Times New Roman" w:cstheme="minorHAnsi"/>
          <w:b/>
          <w:sz w:val="28"/>
        </w:rPr>
      </w:pPr>
      <w:r w:rsidRPr="004E1297">
        <w:rPr>
          <w:rFonts w:eastAsia="Times New Roman" w:cstheme="minorHAnsi"/>
          <w:b/>
          <w:sz w:val="28"/>
        </w:rPr>
        <w:t>Consent and capacity</w:t>
      </w:r>
    </w:p>
    <w:p w:rsidR="00872DED" w:rsidRDefault="00D858D8" w:rsidP="004E1297">
      <w:pPr>
        <w:pStyle w:val="ListParagraph"/>
        <w:spacing w:after="100" w:afterAutospacing="1" w:line="240" w:lineRule="auto"/>
        <w:ind w:left="1080"/>
        <w:rPr>
          <w:rFonts w:eastAsia="Times New Roman" w:cstheme="minorHAnsi"/>
        </w:rPr>
      </w:pPr>
      <w:r>
        <w:rPr>
          <w:rFonts w:eastAsia="Times New Roman" w:cstheme="minorHAnsi"/>
        </w:rPr>
        <w:t>Young people</w:t>
      </w:r>
      <w:r w:rsidR="003155E1" w:rsidRPr="004E1297">
        <w:rPr>
          <w:rFonts w:eastAsia="Times New Roman" w:cstheme="minorHAnsi"/>
        </w:rPr>
        <w:t xml:space="preserve"> have been described as ‘imperfect victims’ because the harms that they suffer, or may cause others to suffer, can seem the result of their own decisions.  But the question of </w:t>
      </w:r>
      <w:r w:rsidR="00EB0458">
        <w:rPr>
          <w:rFonts w:eastAsia="Times New Roman" w:cstheme="minorHAnsi"/>
        </w:rPr>
        <w:t>a</w:t>
      </w:r>
      <w:r>
        <w:rPr>
          <w:rFonts w:eastAsia="Times New Roman" w:cstheme="minorHAnsi"/>
        </w:rPr>
        <w:t xml:space="preserve"> young person</w:t>
      </w:r>
      <w:r w:rsidR="00EB0458">
        <w:rPr>
          <w:rFonts w:eastAsia="Times New Roman" w:cstheme="minorHAnsi"/>
        </w:rPr>
        <w:t>’s</w:t>
      </w:r>
      <w:r w:rsidR="003155E1" w:rsidRPr="004E1297">
        <w:rPr>
          <w:rFonts w:eastAsia="Times New Roman" w:cstheme="minorHAnsi"/>
        </w:rPr>
        <w:t xml:space="preserve"> choice and responsibility is fraught.  On one hand their faculty for choice may be minimised and ignored because they are still ‘children’; on the other hand, like adults, they are perceived as responsible for their behaviours and ‘lifestyle choices’.  </w:t>
      </w:r>
    </w:p>
    <w:p w:rsidR="00872DED" w:rsidRDefault="00872DED" w:rsidP="004E1297">
      <w:pPr>
        <w:pStyle w:val="ListParagraph"/>
        <w:spacing w:after="100" w:afterAutospacing="1" w:line="240" w:lineRule="auto"/>
        <w:ind w:left="1080"/>
        <w:rPr>
          <w:rFonts w:eastAsia="Times New Roman" w:cstheme="minorHAnsi"/>
        </w:rPr>
      </w:pPr>
    </w:p>
    <w:p w:rsidR="00EB0458" w:rsidRPr="00EB0458" w:rsidRDefault="003155E1" w:rsidP="004E1297">
      <w:pPr>
        <w:pStyle w:val="ListParagraph"/>
        <w:spacing w:after="100" w:afterAutospacing="1" w:line="240" w:lineRule="auto"/>
        <w:ind w:left="1080"/>
        <w:rPr>
          <w:rFonts w:eastAsia="Times New Roman" w:cstheme="minorHAnsi"/>
        </w:rPr>
      </w:pPr>
      <w:r w:rsidRPr="00EB0458">
        <w:rPr>
          <w:rFonts w:eastAsia="Times New Roman" w:cstheme="minorHAnsi"/>
        </w:rPr>
        <w:t>The Fraser guidelines around consent</w:t>
      </w:r>
      <w:r w:rsidR="00E71561">
        <w:rPr>
          <w:rFonts w:eastAsia="Times New Roman" w:cstheme="minorHAnsi"/>
        </w:rPr>
        <w:t xml:space="preserve">, and the legally defined age of criminal responsibility </w:t>
      </w:r>
      <w:r w:rsidRPr="00EB0458">
        <w:rPr>
          <w:rFonts w:eastAsia="Times New Roman" w:cstheme="minorHAnsi"/>
        </w:rPr>
        <w:t xml:space="preserve"> also blur the age distinctions around independent decision-making for </w:t>
      </w:r>
      <w:r w:rsidR="00EB0458" w:rsidRPr="00EB0458">
        <w:rPr>
          <w:rFonts w:eastAsia="Times New Roman" w:cstheme="minorHAnsi"/>
        </w:rPr>
        <w:t>older children</w:t>
      </w:r>
      <w:r w:rsidRPr="00EB0458">
        <w:rPr>
          <w:rFonts w:eastAsia="Times New Roman" w:cstheme="minorHAnsi"/>
        </w:rPr>
        <w:t xml:space="preserve">.  Moreover, </w:t>
      </w:r>
      <w:r w:rsidR="00D858D8">
        <w:rPr>
          <w:rFonts w:eastAsia="Times New Roman" w:cstheme="minorHAnsi"/>
        </w:rPr>
        <w:t>young people</w:t>
      </w:r>
      <w:r w:rsidRPr="00EB0458">
        <w:rPr>
          <w:rFonts w:eastAsia="Times New Roman" w:cstheme="minorHAnsi"/>
        </w:rPr>
        <w:t xml:space="preserve"> tend to still be in flux in developing their consequential thinking, their medium to longer term thinking, their understanding of safe/tolerable risks, and being able to assert themselves to others.  </w:t>
      </w:r>
    </w:p>
    <w:p w:rsidR="00EB0458" w:rsidRPr="00EB0458" w:rsidRDefault="00EB0458" w:rsidP="004E1297">
      <w:pPr>
        <w:pStyle w:val="ListParagraph"/>
        <w:spacing w:after="100" w:afterAutospacing="1" w:line="240" w:lineRule="auto"/>
        <w:ind w:left="1080"/>
        <w:rPr>
          <w:rFonts w:eastAsia="Times New Roman" w:cstheme="minorHAnsi"/>
        </w:rPr>
      </w:pPr>
    </w:p>
    <w:p w:rsidR="003155E1" w:rsidRPr="004E1297" w:rsidRDefault="003155E1" w:rsidP="004E1297">
      <w:pPr>
        <w:pStyle w:val="ListParagraph"/>
        <w:spacing w:after="100" w:afterAutospacing="1" w:line="240" w:lineRule="auto"/>
        <w:ind w:left="1080"/>
        <w:rPr>
          <w:rFonts w:eastAsia="Times New Roman" w:cstheme="minorHAnsi"/>
        </w:rPr>
      </w:pPr>
      <w:r w:rsidRPr="00EB0458">
        <w:rPr>
          <w:rFonts w:eastAsia="Times New Roman" w:cstheme="minorHAnsi"/>
        </w:rPr>
        <w:t xml:space="preserve">Then, amongst the most vulnerable, we see difficulty in forming and upholding choices.  This can be worsened by communication, learning and emotional difficulties and disorders, impairment through </w:t>
      </w:r>
      <w:r w:rsidR="00EB0458" w:rsidRPr="00EB0458">
        <w:rPr>
          <w:rFonts w:eastAsia="Times New Roman" w:cstheme="minorHAnsi"/>
        </w:rPr>
        <w:t>substance misuse</w:t>
      </w:r>
      <w:r w:rsidRPr="00EB0458">
        <w:rPr>
          <w:rFonts w:eastAsia="Times New Roman" w:cstheme="minorHAnsi"/>
        </w:rPr>
        <w:t xml:space="preserve">, and sometimes dependency on coercive and controlling relationships that erode choice and decision-making – all of which are over-represented amongst vulnerable </w:t>
      </w:r>
      <w:r w:rsidR="00EB0458" w:rsidRPr="00EB0458">
        <w:rPr>
          <w:rFonts w:eastAsia="Times New Roman" w:cstheme="minorHAnsi"/>
        </w:rPr>
        <w:t>older children</w:t>
      </w:r>
      <w:r w:rsidRPr="00EB0458">
        <w:rPr>
          <w:rFonts w:eastAsia="Times New Roman" w:cstheme="minorHAnsi"/>
        </w:rPr>
        <w:t>.</w:t>
      </w:r>
      <w:r w:rsidRPr="004E1297">
        <w:rPr>
          <w:rFonts w:eastAsia="Times New Roman" w:cstheme="minorHAnsi"/>
        </w:rPr>
        <w:t xml:space="preserve">  </w:t>
      </w:r>
    </w:p>
    <w:p w:rsidR="003155E1" w:rsidRPr="004E1297" w:rsidRDefault="003155E1" w:rsidP="004E1297">
      <w:pPr>
        <w:pStyle w:val="ListParagraph"/>
        <w:spacing w:after="100" w:afterAutospacing="1" w:line="240" w:lineRule="auto"/>
        <w:ind w:left="1080"/>
        <w:rPr>
          <w:rFonts w:eastAsia="Times New Roman" w:cstheme="minorHAnsi"/>
        </w:rPr>
      </w:pPr>
    </w:p>
    <w:p w:rsidR="003155E1" w:rsidRPr="004E1297" w:rsidRDefault="003155E1" w:rsidP="004E1297">
      <w:pPr>
        <w:pStyle w:val="ListParagraph"/>
        <w:spacing w:after="100" w:afterAutospacing="1" w:line="240" w:lineRule="auto"/>
        <w:ind w:left="1080"/>
        <w:rPr>
          <w:rFonts w:eastAsia="Times New Roman" w:cstheme="minorHAnsi"/>
          <w:b/>
          <w:sz w:val="28"/>
        </w:rPr>
      </w:pPr>
      <w:r w:rsidRPr="004E1297">
        <w:rPr>
          <w:rFonts w:eastAsia="Times New Roman" w:cstheme="minorHAnsi"/>
        </w:rPr>
        <w:t xml:space="preserve">In addition to the complexities around their capacity for choice, </w:t>
      </w:r>
      <w:r w:rsidR="00D858D8">
        <w:rPr>
          <w:rFonts w:eastAsia="Times New Roman" w:cstheme="minorHAnsi"/>
        </w:rPr>
        <w:t>young people</w:t>
      </w:r>
      <w:r w:rsidRPr="004E1297">
        <w:rPr>
          <w:rFonts w:eastAsia="Times New Roman" w:cstheme="minorHAnsi"/>
        </w:rPr>
        <w:t xml:space="preserve"> can be seen (by others and themselves) as more, or less, resilient than they really are.  Which when related to presenting risks can powerfully distort objective assessment and management of risk.  Complexities around ‘Choice and Responsibility’ and ‘Adolescent Resilience and Risk’ are therefore central to re-thinking our position on safeguarding vulnerable</w:t>
      </w:r>
      <w:r w:rsidR="00EB0458">
        <w:rPr>
          <w:rFonts w:eastAsia="Times New Roman" w:cstheme="minorHAnsi"/>
        </w:rPr>
        <w:t xml:space="preserve"> older children</w:t>
      </w:r>
      <w:r w:rsidRPr="004E1297">
        <w:rPr>
          <w:rFonts w:eastAsia="Times New Roman" w:cstheme="minorHAnsi"/>
        </w:rPr>
        <w:t>.</w:t>
      </w:r>
      <w:r w:rsidRPr="004E1297">
        <w:rPr>
          <w:rFonts w:eastAsia="Times New Roman" w:cstheme="minorHAnsi"/>
          <w:b/>
          <w:sz w:val="28"/>
        </w:rPr>
        <w:t xml:space="preserve">  </w:t>
      </w:r>
    </w:p>
    <w:p w:rsidR="003155E1" w:rsidRPr="004E1297" w:rsidRDefault="003155E1" w:rsidP="004E1297">
      <w:pPr>
        <w:pStyle w:val="ListParagraph"/>
        <w:spacing w:after="100" w:afterAutospacing="1" w:line="240" w:lineRule="auto"/>
        <w:ind w:left="1080"/>
        <w:rPr>
          <w:rFonts w:eastAsia="Times New Roman" w:cstheme="minorHAnsi"/>
          <w:b/>
          <w:sz w:val="28"/>
        </w:rPr>
      </w:pPr>
    </w:p>
    <w:p w:rsidR="00EC639E" w:rsidRPr="004E1297" w:rsidRDefault="00E71561" w:rsidP="004E1297">
      <w:pPr>
        <w:pStyle w:val="ListParagraph"/>
        <w:numPr>
          <w:ilvl w:val="0"/>
          <w:numId w:val="1"/>
        </w:numPr>
        <w:spacing w:after="100" w:afterAutospacing="1" w:line="240" w:lineRule="auto"/>
        <w:rPr>
          <w:rFonts w:eastAsia="Times New Roman" w:cstheme="minorHAnsi"/>
          <w:b/>
          <w:sz w:val="28"/>
        </w:rPr>
      </w:pPr>
      <w:r>
        <w:rPr>
          <w:rFonts w:eastAsia="Times New Roman" w:cstheme="minorHAnsi"/>
          <w:b/>
          <w:sz w:val="28"/>
        </w:rPr>
        <w:t xml:space="preserve">Relational and </w:t>
      </w:r>
      <w:r w:rsidR="00D52993" w:rsidRPr="004E1297">
        <w:rPr>
          <w:rFonts w:eastAsia="Times New Roman" w:cstheme="minorHAnsi"/>
          <w:b/>
          <w:sz w:val="28"/>
        </w:rPr>
        <w:t>Restorative approach</w:t>
      </w:r>
      <w:r>
        <w:rPr>
          <w:rFonts w:eastAsia="Times New Roman" w:cstheme="minorHAnsi"/>
          <w:b/>
          <w:sz w:val="28"/>
        </w:rPr>
        <w:t>es</w:t>
      </w:r>
    </w:p>
    <w:p w:rsidR="00BD58FD" w:rsidRPr="004E1297" w:rsidRDefault="00BD58FD" w:rsidP="004E1297">
      <w:pPr>
        <w:pStyle w:val="ListParagraph"/>
        <w:spacing w:after="100" w:afterAutospacing="1" w:line="240" w:lineRule="auto"/>
        <w:ind w:left="1080"/>
        <w:rPr>
          <w:rFonts w:eastAsia="Times New Roman" w:cstheme="minorHAnsi"/>
        </w:rPr>
      </w:pPr>
      <w:r w:rsidRPr="004E1297">
        <w:rPr>
          <w:rFonts w:eastAsia="Times New Roman" w:cstheme="minorHAnsi"/>
        </w:rPr>
        <w:t xml:space="preserve">As the ability to exert external controls over </w:t>
      </w:r>
      <w:r w:rsidR="00D858D8">
        <w:rPr>
          <w:rFonts w:eastAsia="Times New Roman" w:cstheme="minorHAnsi"/>
        </w:rPr>
        <w:t>young people</w:t>
      </w:r>
      <w:r w:rsidRPr="004E1297">
        <w:rPr>
          <w:rFonts w:eastAsia="Times New Roman" w:cstheme="minorHAnsi"/>
        </w:rPr>
        <w:t xml:space="preserve"> becomes increasingly limited we become increasingly reliant on the working relationship as the means to engage directly with </w:t>
      </w:r>
      <w:r w:rsidR="00EB0458">
        <w:rPr>
          <w:rFonts w:eastAsia="Times New Roman" w:cstheme="minorHAnsi"/>
        </w:rPr>
        <w:t>older children</w:t>
      </w:r>
      <w:r w:rsidRPr="004E1297">
        <w:rPr>
          <w:rFonts w:eastAsia="Times New Roman" w:cstheme="minorHAnsi"/>
        </w:rPr>
        <w:t>.  This building of relationship becomes the primary route through which we can enact successful interventions to minimise risk and vulnerability, and therefore needs to be prioritised in thinking about safeguarding and support.</w:t>
      </w:r>
    </w:p>
    <w:p w:rsidR="00D52993" w:rsidRPr="004E1297" w:rsidRDefault="00D52993" w:rsidP="004E1297">
      <w:pPr>
        <w:pStyle w:val="ListParagraph"/>
        <w:spacing w:after="100" w:afterAutospacing="1" w:line="240" w:lineRule="auto"/>
        <w:ind w:left="1080"/>
        <w:rPr>
          <w:rFonts w:eastAsia="Times New Roman" w:cstheme="minorHAnsi"/>
        </w:rPr>
      </w:pPr>
    </w:p>
    <w:p w:rsidR="00FD7890" w:rsidRPr="004E1297" w:rsidRDefault="00BD58FD" w:rsidP="00EB0458">
      <w:pPr>
        <w:pStyle w:val="ListParagraph"/>
        <w:spacing w:after="100" w:afterAutospacing="1" w:line="240" w:lineRule="auto"/>
        <w:ind w:left="1080"/>
        <w:rPr>
          <w:rFonts w:eastAsia="Times New Roman" w:cstheme="minorHAnsi"/>
        </w:rPr>
      </w:pPr>
      <w:r w:rsidRPr="004E1297">
        <w:rPr>
          <w:rFonts w:eastAsia="Times New Roman" w:cstheme="minorHAnsi"/>
        </w:rPr>
        <w:t xml:space="preserve">Professionals and services using a restorative practice becomes a priority, the approach is </w:t>
      </w:r>
      <w:r w:rsidR="00FD7890" w:rsidRPr="004E1297">
        <w:rPr>
          <w:rFonts w:eastAsia="Times New Roman" w:cstheme="minorHAnsi"/>
        </w:rPr>
        <w:t>about building and maintaining relationships. It’s about working ‘with’ people at ev</w:t>
      </w:r>
      <w:r w:rsidR="00EB0458">
        <w:rPr>
          <w:rFonts w:eastAsia="Times New Roman" w:cstheme="minorHAnsi"/>
        </w:rPr>
        <w:t xml:space="preserve">ery opportunity and in doing so it </w:t>
      </w:r>
      <w:r w:rsidRPr="00EB0458">
        <w:rPr>
          <w:rFonts w:eastAsia="Times New Roman" w:cstheme="minorHAnsi"/>
        </w:rPr>
        <w:t>provides</w:t>
      </w:r>
      <w:r w:rsidR="00FD7890" w:rsidRPr="00EB0458">
        <w:rPr>
          <w:rFonts w:eastAsia="Times New Roman" w:cstheme="minorHAnsi"/>
        </w:rPr>
        <w:t xml:space="preserve"> positive challenge and </w:t>
      </w:r>
      <w:r w:rsidRPr="00EB0458">
        <w:rPr>
          <w:rFonts w:eastAsia="Times New Roman" w:cstheme="minorHAnsi"/>
        </w:rPr>
        <w:t xml:space="preserve">the </w:t>
      </w:r>
      <w:r w:rsidR="00FD7890" w:rsidRPr="00EB0458">
        <w:rPr>
          <w:rFonts w:eastAsia="Times New Roman" w:cstheme="minorHAnsi"/>
        </w:rPr>
        <w:t xml:space="preserve">setting </w:t>
      </w:r>
      <w:r w:rsidRPr="00EB0458">
        <w:rPr>
          <w:rFonts w:eastAsia="Times New Roman" w:cstheme="minorHAnsi"/>
        </w:rPr>
        <w:t xml:space="preserve">of </w:t>
      </w:r>
      <w:r w:rsidR="00FD7890" w:rsidRPr="00EB0458">
        <w:rPr>
          <w:rFonts w:eastAsia="Times New Roman" w:cstheme="minorHAnsi"/>
        </w:rPr>
        <w:t>clear ‘bottom lines’ i.e. holding people to account in a meaningful and constructive way and agreeing clear boundaries to work within. This is called ‘high challenge’</w:t>
      </w:r>
      <w:r w:rsidR="00EB0458">
        <w:rPr>
          <w:rFonts w:eastAsia="Times New Roman" w:cstheme="minorHAnsi"/>
        </w:rPr>
        <w:t xml:space="preserve">. Secondly it </w:t>
      </w:r>
      <w:r w:rsidRPr="004E1297">
        <w:rPr>
          <w:rFonts w:eastAsia="Times New Roman" w:cstheme="minorHAnsi"/>
        </w:rPr>
        <w:t>provides</w:t>
      </w:r>
      <w:r w:rsidR="00FD7890" w:rsidRPr="004E1297">
        <w:rPr>
          <w:rFonts w:eastAsia="Times New Roman" w:cstheme="minorHAnsi"/>
        </w:rPr>
        <w:t xml:space="preserve"> the right </w:t>
      </w:r>
      <w:r w:rsidR="00FD7890" w:rsidRPr="004E1297">
        <w:rPr>
          <w:rFonts w:eastAsia="Times New Roman" w:cstheme="minorHAnsi"/>
        </w:rPr>
        <w:lastRenderedPageBreak/>
        <w:t>support and encouragement to enable others to reach agreed goals</w:t>
      </w:r>
      <w:r w:rsidRPr="004E1297">
        <w:rPr>
          <w:rFonts w:eastAsia="Times New Roman" w:cstheme="minorHAnsi"/>
        </w:rPr>
        <w:t>. This is called ‘high support’</w:t>
      </w:r>
      <w:r w:rsidR="00EB0458">
        <w:rPr>
          <w:rFonts w:eastAsia="Times New Roman" w:cstheme="minorHAnsi"/>
        </w:rPr>
        <w:t>.</w:t>
      </w:r>
    </w:p>
    <w:p w:rsidR="003155E1" w:rsidRPr="004E1297" w:rsidRDefault="003155E1" w:rsidP="004E1297">
      <w:pPr>
        <w:pStyle w:val="ListParagraph"/>
        <w:spacing w:after="100" w:afterAutospacing="1" w:line="240" w:lineRule="auto"/>
        <w:ind w:left="1080"/>
        <w:rPr>
          <w:rFonts w:eastAsia="Times New Roman" w:cstheme="minorHAnsi"/>
        </w:rPr>
      </w:pPr>
    </w:p>
    <w:p w:rsidR="0077719B" w:rsidRPr="004E1297" w:rsidRDefault="00FD7890" w:rsidP="004E1297">
      <w:pPr>
        <w:pStyle w:val="ListParagraph"/>
        <w:spacing w:after="100" w:afterAutospacing="1" w:line="240" w:lineRule="auto"/>
        <w:ind w:left="1080"/>
        <w:rPr>
          <w:rFonts w:eastAsia="Times New Roman" w:cstheme="minorHAnsi"/>
        </w:rPr>
      </w:pPr>
      <w:r w:rsidRPr="004E1297">
        <w:rPr>
          <w:rFonts w:eastAsia="Times New Roman" w:cstheme="minorHAnsi"/>
        </w:rPr>
        <w:t>Restorative Practice is a way to be, not a process to follow or a thing to do at certain times. It’s a term used to describe principles, behaviours and approaches which build and maintain healthy relationships and a sense of community and can resolve difficulties and repair harm where there has been conflict. It is a way of being with people, essentially to work with and alongside others to create sustainable change.</w:t>
      </w:r>
    </w:p>
    <w:p w:rsidR="003155E1" w:rsidRPr="004E1297" w:rsidRDefault="003155E1" w:rsidP="004E1297">
      <w:pPr>
        <w:pStyle w:val="ListParagraph"/>
        <w:spacing w:after="100" w:afterAutospacing="1" w:line="240" w:lineRule="auto"/>
        <w:ind w:left="1080"/>
        <w:rPr>
          <w:rFonts w:eastAsia="Times New Roman" w:cstheme="minorHAnsi"/>
        </w:rPr>
      </w:pPr>
    </w:p>
    <w:p w:rsidR="00BD58FD" w:rsidRPr="004E1297" w:rsidRDefault="003155E1" w:rsidP="004E1297">
      <w:pPr>
        <w:pStyle w:val="ListParagraph"/>
        <w:spacing w:after="100" w:afterAutospacing="1" w:line="240" w:lineRule="auto"/>
        <w:ind w:left="1080"/>
        <w:rPr>
          <w:rFonts w:eastAsia="Times New Roman" w:cstheme="minorHAnsi"/>
        </w:rPr>
      </w:pPr>
      <w:r w:rsidRPr="004E1297">
        <w:rPr>
          <w:rFonts w:eastAsia="Times New Roman" w:cstheme="minorHAnsi"/>
        </w:rPr>
        <w:t xml:space="preserve">Working ‘with’ young people in a restorative way enables relationships to develop and build trusts between young </w:t>
      </w:r>
      <w:r w:rsidR="00BD58FD" w:rsidRPr="004E1297">
        <w:rPr>
          <w:rFonts w:eastAsia="Times New Roman" w:cstheme="minorHAnsi"/>
        </w:rPr>
        <w:t>people and practitioners which is needed when managing risk</w:t>
      </w:r>
      <w:r w:rsidR="00D87573">
        <w:rPr>
          <w:rFonts w:eastAsia="Times New Roman" w:cstheme="minorHAnsi"/>
        </w:rPr>
        <w:t>.</w:t>
      </w:r>
      <w:r w:rsidR="00EB0458">
        <w:rPr>
          <w:rFonts w:eastAsia="Times New Roman" w:cstheme="minorHAnsi"/>
        </w:rPr>
        <w:t xml:space="preserve"> It </w:t>
      </w:r>
      <w:r w:rsidR="00545422">
        <w:rPr>
          <w:rFonts w:eastAsia="Times New Roman" w:cstheme="minorHAnsi"/>
        </w:rPr>
        <w:t>is</w:t>
      </w:r>
      <w:r w:rsidR="00EB0458">
        <w:rPr>
          <w:rFonts w:eastAsia="Times New Roman" w:cstheme="minorHAnsi"/>
        </w:rPr>
        <w:t xml:space="preserve"> vital that professionals ensure that they approach all con</w:t>
      </w:r>
      <w:r w:rsidR="00545422">
        <w:rPr>
          <w:rFonts w:eastAsia="Times New Roman" w:cstheme="minorHAnsi"/>
        </w:rPr>
        <w:t>tacts and con</w:t>
      </w:r>
      <w:r w:rsidR="00EB0458">
        <w:rPr>
          <w:rFonts w:eastAsia="Times New Roman" w:cstheme="minorHAnsi"/>
        </w:rPr>
        <w:t xml:space="preserve">nections with each other, communities and </w:t>
      </w:r>
      <w:r w:rsidR="00545422">
        <w:rPr>
          <w:rFonts w:eastAsia="Times New Roman" w:cstheme="minorHAnsi"/>
        </w:rPr>
        <w:t xml:space="preserve">older children and </w:t>
      </w:r>
      <w:r w:rsidR="00EB0458">
        <w:rPr>
          <w:rFonts w:eastAsia="Times New Roman" w:cstheme="minorHAnsi"/>
        </w:rPr>
        <w:t>wider family members in a restorative manner.</w:t>
      </w:r>
      <w:r w:rsidR="00545422">
        <w:rPr>
          <w:rFonts w:eastAsia="Times New Roman" w:cstheme="minorHAnsi"/>
        </w:rPr>
        <w:t xml:space="preserve"> Responding to safeguarding as a contextual issue requires relationships across the ‘system’ to be effective, productive and responsive. </w:t>
      </w:r>
    </w:p>
    <w:p w:rsidR="00BD58FD" w:rsidRPr="004E1297" w:rsidRDefault="00BD58FD" w:rsidP="004E1297">
      <w:pPr>
        <w:pStyle w:val="ListParagraph"/>
        <w:spacing w:after="100" w:afterAutospacing="1" w:line="240" w:lineRule="auto"/>
        <w:ind w:left="1080"/>
        <w:rPr>
          <w:rFonts w:eastAsia="Times New Roman" w:cstheme="minorHAnsi"/>
        </w:rPr>
      </w:pPr>
    </w:p>
    <w:p w:rsidR="00EC639E" w:rsidRDefault="0077719B" w:rsidP="004E1297">
      <w:pPr>
        <w:pStyle w:val="ListParagraph"/>
        <w:numPr>
          <w:ilvl w:val="0"/>
          <w:numId w:val="1"/>
        </w:numPr>
        <w:spacing w:after="100" w:afterAutospacing="1" w:line="240" w:lineRule="auto"/>
        <w:rPr>
          <w:rFonts w:eastAsia="Times New Roman" w:cstheme="minorHAnsi"/>
          <w:b/>
          <w:sz w:val="28"/>
        </w:rPr>
      </w:pPr>
      <w:r w:rsidRPr="004E1297">
        <w:rPr>
          <w:rFonts w:eastAsia="Times New Roman" w:cstheme="minorHAnsi"/>
          <w:b/>
          <w:sz w:val="28"/>
        </w:rPr>
        <w:t xml:space="preserve"> </w:t>
      </w:r>
      <w:r w:rsidR="00D87573">
        <w:rPr>
          <w:rFonts w:eastAsia="Times New Roman" w:cstheme="minorHAnsi"/>
          <w:b/>
          <w:sz w:val="28"/>
        </w:rPr>
        <w:t xml:space="preserve">Risk management </w:t>
      </w:r>
      <w:r w:rsidR="00872DED">
        <w:rPr>
          <w:rFonts w:eastAsia="Times New Roman" w:cstheme="minorHAnsi"/>
          <w:b/>
          <w:sz w:val="28"/>
        </w:rPr>
        <w:t>response</w:t>
      </w:r>
    </w:p>
    <w:p w:rsidR="00872DED" w:rsidRDefault="00872DED" w:rsidP="00872DED">
      <w:pPr>
        <w:pStyle w:val="ListParagraph"/>
        <w:spacing w:after="100" w:afterAutospacing="1" w:line="240" w:lineRule="auto"/>
        <w:ind w:left="1080"/>
        <w:rPr>
          <w:rFonts w:eastAsia="Times New Roman" w:cstheme="minorHAnsi"/>
          <w:b/>
        </w:rPr>
      </w:pPr>
    </w:p>
    <w:p w:rsidR="004124A8" w:rsidRPr="004124A8" w:rsidRDefault="00D87573" w:rsidP="004124A8">
      <w:pPr>
        <w:pStyle w:val="ListParagraph"/>
        <w:spacing w:after="100" w:afterAutospacing="1" w:line="240" w:lineRule="auto"/>
        <w:ind w:left="1080"/>
        <w:rPr>
          <w:rFonts w:eastAsia="Times New Roman" w:cstheme="minorHAnsi"/>
        </w:rPr>
      </w:pPr>
      <w:r>
        <w:rPr>
          <w:rFonts w:eastAsia="Times New Roman" w:cstheme="minorHAnsi"/>
        </w:rPr>
        <w:t>Taking into account the need to understand the context to the risks a</w:t>
      </w:r>
      <w:r w:rsidR="00D858D8">
        <w:rPr>
          <w:rFonts w:eastAsia="Times New Roman" w:cstheme="minorHAnsi"/>
        </w:rPr>
        <w:t xml:space="preserve"> young person</w:t>
      </w:r>
      <w:r>
        <w:rPr>
          <w:rFonts w:eastAsia="Times New Roman" w:cstheme="minorHAnsi"/>
        </w:rPr>
        <w:t xml:space="preserve"> faces whether this is within the family contexts or </w:t>
      </w:r>
      <w:r w:rsidR="00545422">
        <w:rPr>
          <w:rFonts w:eastAsia="Times New Roman" w:cstheme="minorHAnsi"/>
        </w:rPr>
        <w:t>extra- familial threats t</w:t>
      </w:r>
      <w:r w:rsidR="00872DED" w:rsidRPr="00872DED">
        <w:rPr>
          <w:rFonts w:eastAsia="Times New Roman" w:cstheme="minorHAnsi"/>
        </w:rPr>
        <w:t>he existing</w:t>
      </w:r>
      <w:r w:rsidR="00872DED">
        <w:rPr>
          <w:rFonts w:eastAsia="Times New Roman" w:cstheme="minorHAnsi"/>
        </w:rPr>
        <w:t xml:space="preserve"> guidance set out in Working Together 2018 </w:t>
      </w:r>
      <w:r w:rsidR="00603DE7">
        <w:rPr>
          <w:rFonts w:eastAsia="Times New Roman" w:cstheme="minorHAnsi"/>
        </w:rPr>
        <w:t xml:space="preserve">is the primary legislative framework and must be </w:t>
      </w:r>
      <w:r w:rsidR="000E71E4">
        <w:rPr>
          <w:rFonts w:eastAsia="Times New Roman" w:cstheme="minorHAnsi"/>
        </w:rPr>
        <w:t xml:space="preserve">adhered to. </w:t>
      </w:r>
      <w:r w:rsidR="004124A8" w:rsidRPr="004124A8">
        <w:rPr>
          <w:rFonts w:eastAsia="Times New Roman" w:cstheme="minorHAnsi"/>
        </w:rPr>
        <w:t xml:space="preserve">The policies and procedures of Gloucestershire Safeguarding Childrens </w:t>
      </w:r>
      <w:r w:rsidR="0039204F">
        <w:rPr>
          <w:rFonts w:eastAsia="Times New Roman" w:cstheme="minorHAnsi"/>
        </w:rPr>
        <w:t>Executive (GSCE</w:t>
      </w:r>
      <w:r w:rsidR="004124A8" w:rsidRPr="004124A8">
        <w:rPr>
          <w:rFonts w:eastAsia="Times New Roman" w:cstheme="minorHAnsi"/>
        </w:rPr>
        <w:t xml:space="preserve">) </w:t>
      </w:r>
      <w:r w:rsidR="004124A8">
        <w:rPr>
          <w:rFonts w:eastAsia="Times New Roman" w:cstheme="minorHAnsi"/>
        </w:rPr>
        <w:t>support and are aligned with this strategy.</w:t>
      </w:r>
    </w:p>
    <w:p w:rsidR="00545422" w:rsidRDefault="00545422" w:rsidP="00872DED">
      <w:pPr>
        <w:pStyle w:val="ListParagraph"/>
        <w:spacing w:after="100" w:afterAutospacing="1" w:line="240" w:lineRule="auto"/>
        <w:ind w:left="1080"/>
        <w:rPr>
          <w:rFonts w:eastAsia="Times New Roman" w:cstheme="minorHAnsi"/>
        </w:rPr>
      </w:pPr>
    </w:p>
    <w:p w:rsidR="008673EF" w:rsidRDefault="00D858D8" w:rsidP="00872DED">
      <w:pPr>
        <w:pStyle w:val="ListParagraph"/>
        <w:spacing w:after="100" w:afterAutospacing="1" w:line="240" w:lineRule="auto"/>
        <w:ind w:left="1080"/>
        <w:rPr>
          <w:rFonts w:eastAsia="Times New Roman" w:cstheme="minorHAnsi"/>
        </w:rPr>
      </w:pPr>
      <w:r>
        <w:rPr>
          <w:rFonts w:eastAsia="Times New Roman" w:cstheme="minorHAnsi"/>
        </w:rPr>
        <w:t>Appendix one shows the a</w:t>
      </w:r>
      <w:r w:rsidR="00D87573">
        <w:rPr>
          <w:rFonts w:eastAsia="Times New Roman" w:cstheme="minorHAnsi"/>
        </w:rPr>
        <w:t xml:space="preserve">greed risk management framework for </w:t>
      </w:r>
      <w:r>
        <w:rPr>
          <w:rFonts w:eastAsia="Times New Roman" w:cstheme="minorHAnsi"/>
        </w:rPr>
        <w:t>young people</w:t>
      </w:r>
      <w:r w:rsidR="00D87573">
        <w:rPr>
          <w:rFonts w:eastAsia="Times New Roman" w:cstheme="minorHAnsi"/>
        </w:rPr>
        <w:t xml:space="preserve"> who are </w:t>
      </w:r>
      <w:r w:rsidR="00545422">
        <w:rPr>
          <w:rFonts w:eastAsia="Times New Roman" w:cstheme="minorHAnsi"/>
        </w:rPr>
        <w:t>considered to be at high or</w:t>
      </w:r>
      <w:r w:rsidR="00D87573">
        <w:rPr>
          <w:rFonts w:eastAsia="Times New Roman" w:cstheme="minorHAnsi"/>
        </w:rPr>
        <w:t xml:space="preserve"> very high risk within Gloucestershire. </w:t>
      </w:r>
    </w:p>
    <w:p w:rsidR="006F5211" w:rsidRPr="008673EF" w:rsidRDefault="006F5211" w:rsidP="008673EF">
      <w:pPr>
        <w:rPr>
          <w:rFonts w:eastAsia="Times New Roman" w:cstheme="minorHAnsi"/>
        </w:rPr>
      </w:pPr>
    </w:p>
    <w:sectPr w:rsidR="006F5211" w:rsidRPr="008673EF" w:rsidSect="008673EF">
      <w:footerReference w:type="default" r:id="rId10"/>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66E727" w15:done="0"/>
  <w15:commentEx w15:paraId="752F2CC8" w15:done="0"/>
  <w15:commentEx w15:paraId="72D6B9D4" w15:done="0"/>
  <w15:commentEx w15:paraId="427185AE" w15:done="0"/>
  <w15:commentEx w15:paraId="30F38F99" w15:done="0"/>
  <w15:commentEx w15:paraId="6E33B0C1" w15:done="0"/>
  <w15:commentEx w15:paraId="45F97095" w15:done="0"/>
  <w15:commentEx w15:paraId="2213AD00" w15:done="0"/>
  <w15:commentEx w15:paraId="17A36999" w15:done="0"/>
  <w15:commentEx w15:paraId="08B62C7C" w15:done="0"/>
  <w15:commentEx w15:paraId="26F7FA1F" w15:done="0"/>
  <w15:commentEx w15:paraId="34328364" w15:done="0"/>
  <w15:commentEx w15:paraId="02846319" w15:done="0"/>
  <w15:commentEx w15:paraId="04C836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89" w:rsidRDefault="00104F89" w:rsidP="00104F89">
      <w:pPr>
        <w:spacing w:after="0" w:line="240" w:lineRule="auto"/>
      </w:pPr>
      <w:r>
        <w:separator/>
      </w:r>
    </w:p>
  </w:endnote>
  <w:endnote w:type="continuationSeparator" w:id="0">
    <w:p w:rsidR="00104F89" w:rsidRDefault="00104F89" w:rsidP="0010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51996"/>
      <w:docPartObj>
        <w:docPartGallery w:val="Page Numbers (Bottom of Page)"/>
        <w:docPartUnique/>
      </w:docPartObj>
    </w:sdtPr>
    <w:sdtEndPr>
      <w:rPr>
        <w:color w:val="808080" w:themeColor="background1" w:themeShade="80"/>
        <w:spacing w:val="60"/>
      </w:rPr>
    </w:sdtEndPr>
    <w:sdtContent>
      <w:p w:rsidR="00F95D59" w:rsidRDefault="00F95D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58D8" w:rsidRPr="00D858D8">
          <w:rPr>
            <w:b/>
            <w:bCs/>
            <w:noProof/>
          </w:rPr>
          <w:t>5</w:t>
        </w:r>
        <w:r>
          <w:rPr>
            <w:b/>
            <w:bCs/>
            <w:noProof/>
          </w:rPr>
          <w:fldChar w:fldCharType="end"/>
        </w:r>
        <w:r>
          <w:rPr>
            <w:b/>
            <w:bCs/>
          </w:rPr>
          <w:t xml:space="preserve"> | </w:t>
        </w:r>
        <w:r>
          <w:rPr>
            <w:color w:val="808080" w:themeColor="background1" w:themeShade="80"/>
            <w:spacing w:val="60"/>
          </w:rPr>
          <w:t>Page</w:t>
        </w:r>
        <w:r w:rsidR="005B4BFC">
          <w:rPr>
            <w:color w:val="808080" w:themeColor="background1" w:themeShade="80"/>
            <w:spacing w:val="60"/>
          </w:rPr>
          <w:tab/>
        </w:r>
        <w:r w:rsidR="0039204F">
          <w:rPr>
            <w:color w:val="808080" w:themeColor="background1" w:themeShade="80"/>
            <w:spacing w:val="60"/>
          </w:rPr>
          <w:t xml:space="preserve">                    </w:t>
        </w:r>
        <w:r w:rsidR="00E27FA7">
          <w:rPr>
            <w:color w:val="808080" w:themeColor="background1" w:themeShade="80"/>
            <w:spacing w:val="60"/>
          </w:rPr>
          <w:t>January 2019</w:t>
        </w:r>
        <w:r w:rsidR="005B4BFC">
          <w:rPr>
            <w:color w:val="808080" w:themeColor="background1" w:themeShade="80"/>
            <w:spacing w:val="60"/>
          </w:rPr>
          <w:t xml:space="preserve"> (VB)</w:t>
        </w:r>
        <w:r w:rsidR="0039204F">
          <w:rPr>
            <w:color w:val="808080" w:themeColor="background1" w:themeShade="80"/>
            <w:spacing w:val="60"/>
          </w:rPr>
          <w:t>Reviewed July 2020 (VL)</w:t>
        </w:r>
      </w:p>
    </w:sdtContent>
  </w:sdt>
  <w:p w:rsidR="00F95D59" w:rsidRDefault="00F9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89" w:rsidRDefault="00104F89" w:rsidP="00104F89">
      <w:pPr>
        <w:spacing w:after="0" w:line="240" w:lineRule="auto"/>
      </w:pPr>
      <w:r>
        <w:separator/>
      </w:r>
    </w:p>
  </w:footnote>
  <w:footnote w:type="continuationSeparator" w:id="0">
    <w:p w:rsidR="00104F89" w:rsidRDefault="00104F89" w:rsidP="00104F89">
      <w:pPr>
        <w:spacing w:after="0" w:line="240" w:lineRule="auto"/>
      </w:pPr>
      <w:r>
        <w:continuationSeparator/>
      </w:r>
    </w:p>
  </w:footnote>
  <w:footnote w:id="1">
    <w:p w:rsidR="006F46A2" w:rsidRDefault="006F46A2">
      <w:pPr>
        <w:pStyle w:val="FootnoteText"/>
      </w:pPr>
      <w:r>
        <w:rPr>
          <w:rStyle w:val="FootnoteReference"/>
        </w:rPr>
        <w:footnoteRef/>
      </w:r>
      <w:r>
        <w:t xml:space="preserve"> That Difficult Age: Developing a more effective response to risks in adolescence: Research in Practice; Nov 2014</w:t>
      </w:r>
    </w:p>
  </w:footnote>
  <w:footnote w:id="2">
    <w:p w:rsidR="006F46A2" w:rsidRDefault="006F46A2">
      <w:pPr>
        <w:pStyle w:val="FootnoteText"/>
      </w:pPr>
      <w:r>
        <w:rPr>
          <w:rStyle w:val="FootnoteReference"/>
        </w:rPr>
        <w:footnoteRef/>
      </w:r>
      <w:r>
        <w:t xml:space="preserve"> Working Together to Safeguard Children – Statutory guidance on inter-agency working to safeguard and promote the welfare of children:  Department of Education: 2018</w:t>
      </w:r>
    </w:p>
  </w:footnote>
  <w:footnote w:id="3">
    <w:p w:rsidR="00F96BF0" w:rsidRDefault="00F96BF0">
      <w:pPr>
        <w:pStyle w:val="FootnoteText"/>
      </w:pPr>
      <w:r>
        <w:rPr>
          <w:rStyle w:val="FootnoteReference"/>
        </w:rPr>
        <w:footnoteRef/>
      </w:r>
      <w:r>
        <w:t xml:space="preserve"> Risk-Taking Adolescents and Child Protection     Research in Practice 2014 Strategic Briefing</w:t>
      </w:r>
    </w:p>
  </w:footnote>
  <w:footnote w:id="4">
    <w:p w:rsidR="00E27FA7" w:rsidRDefault="00E27FA7">
      <w:pPr>
        <w:pStyle w:val="FootnoteText"/>
      </w:pPr>
      <w:r>
        <w:rPr>
          <w:rStyle w:val="FootnoteReference"/>
        </w:rPr>
        <w:footnoteRef/>
      </w:r>
      <w:r>
        <w:t xml:space="preserve"> Appropriate Language: Child Sexual and / or Criminal Exploitation – Guidance for professionals 2018 The Childrens Society, N</w:t>
      </w:r>
      <w:r w:rsidR="009177A5">
        <w:t>S</w:t>
      </w:r>
      <w:r>
        <w:t>PCC and Victim Support.</w:t>
      </w:r>
    </w:p>
  </w:footnote>
  <w:footnote w:id="5">
    <w:p w:rsidR="00CF0537" w:rsidRDefault="00CF0537">
      <w:pPr>
        <w:pStyle w:val="FootnoteText"/>
      </w:pPr>
      <w:r>
        <w:rPr>
          <w:rStyle w:val="FootnoteReference"/>
        </w:rPr>
        <w:footnoteRef/>
      </w:r>
      <w:r w:rsidR="00B70342">
        <w:t xml:space="preserve"> Contex</w:t>
      </w:r>
      <w:r w:rsidR="002A189C">
        <w:t>t</w:t>
      </w:r>
      <w:r>
        <w:t>ual Safeguarding - University of Bedfordshire 2017</w:t>
      </w:r>
    </w:p>
  </w:footnote>
  <w:footnote w:id="6">
    <w:p w:rsidR="006F2024" w:rsidRDefault="006F2024">
      <w:pPr>
        <w:pStyle w:val="FootnoteText"/>
      </w:pPr>
      <w:r>
        <w:rPr>
          <w:rStyle w:val="FootnoteReference"/>
        </w:rPr>
        <w:footnoteRef/>
      </w:r>
      <w:r>
        <w:t xml:space="preserve"> </w:t>
      </w:r>
      <w:r w:rsidRPr="006F2024">
        <w:t>Working Together to Safeguard Children – Statutory guidance on inter-agency working to safeguard and promote the welfare of children:  Department of Education: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41B3BE5"/>
    <w:multiLevelType w:val="hybridMultilevel"/>
    <w:tmpl w:val="ECDA2292"/>
    <w:lvl w:ilvl="0" w:tplc="963E306C">
      <w:start w:val="1"/>
      <w:numFmt w:val="bullet"/>
      <w:lvlText w:val="–"/>
      <w:lvlJc w:val="left"/>
      <w:pPr>
        <w:tabs>
          <w:tab w:val="num" w:pos="720"/>
        </w:tabs>
        <w:ind w:left="720" w:hanging="360"/>
      </w:pPr>
      <w:rPr>
        <w:rFonts w:ascii="Arial" w:hAnsi="Arial" w:hint="default"/>
      </w:rPr>
    </w:lvl>
    <w:lvl w:ilvl="1" w:tplc="FAFC49FA">
      <w:start w:val="1"/>
      <w:numFmt w:val="bullet"/>
      <w:lvlText w:val="–"/>
      <w:lvlJc w:val="left"/>
      <w:pPr>
        <w:tabs>
          <w:tab w:val="num" w:pos="1440"/>
        </w:tabs>
        <w:ind w:left="1440" w:hanging="360"/>
      </w:pPr>
      <w:rPr>
        <w:rFonts w:ascii="Arial" w:hAnsi="Arial" w:hint="default"/>
      </w:rPr>
    </w:lvl>
    <w:lvl w:ilvl="2" w:tplc="6796769A" w:tentative="1">
      <w:start w:val="1"/>
      <w:numFmt w:val="bullet"/>
      <w:lvlText w:val="–"/>
      <w:lvlJc w:val="left"/>
      <w:pPr>
        <w:tabs>
          <w:tab w:val="num" w:pos="2160"/>
        </w:tabs>
        <w:ind w:left="2160" w:hanging="360"/>
      </w:pPr>
      <w:rPr>
        <w:rFonts w:ascii="Arial" w:hAnsi="Arial" w:hint="default"/>
      </w:rPr>
    </w:lvl>
    <w:lvl w:ilvl="3" w:tplc="71369224" w:tentative="1">
      <w:start w:val="1"/>
      <w:numFmt w:val="bullet"/>
      <w:lvlText w:val="–"/>
      <w:lvlJc w:val="left"/>
      <w:pPr>
        <w:tabs>
          <w:tab w:val="num" w:pos="2880"/>
        </w:tabs>
        <w:ind w:left="2880" w:hanging="360"/>
      </w:pPr>
      <w:rPr>
        <w:rFonts w:ascii="Arial" w:hAnsi="Arial" w:hint="default"/>
      </w:rPr>
    </w:lvl>
    <w:lvl w:ilvl="4" w:tplc="121C1E82" w:tentative="1">
      <w:start w:val="1"/>
      <w:numFmt w:val="bullet"/>
      <w:lvlText w:val="–"/>
      <w:lvlJc w:val="left"/>
      <w:pPr>
        <w:tabs>
          <w:tab w:val="num" w:pos="3600"/>
        </w:tabs>
        <w:ind w:left="3600" w:hanging="360"/>
      </w:pPr>
      <w:rPr>
        <w:rFonts w:ascii="Arial" w:hAnsi="Arial" w:hint="default"/>
      </w:rPr>
    </w:lvl>
    <w:lvl w:ilvl="5" w:tplc="D5DA8EB0" w:tentative="1">
      <w:start w:val="1"/>
      <w:numFmt w:val="bullet"/>
      <w:lvlText w:val="–"/>
      <w:lvlJc w:val="left"/>
      <w:pPr>
        <w:tabs>
          <w:tab w:val="num" w:pos="4320"/>
        </w:tabs>
        <w:ind w:left="4320" w:hanging="360"/>
      </w:pPr>
      <w:rPr>
        <w:rFonts w:ascii="Arial" w:hAnsi="Arial" w:hint="default"/>
      </w:rPr>
    </w:lvl>
    <w:lvl w:ilvl="6" w:tplc="8C3AFFEA" w:tentative="1">
      <w:start w:val="1"/>
      <w:numFmt w:val="bullet"/>
      <w:lvlText w:val="–"/>
      <w:lvlJc w:val="left"/>
      <w:pPr>
        <w:tabs>
          <w:tab w:val="num" w:pos="5040"/>
        </w:tabs>
        <w:ind w:left="5040" w:hanging="360"/>
      </w:pPr>
      <w:rPr>
        <w:rFonts w:ascii="Arial" w:hAnsi="Arial" w:hint="default"/>
      </w:rPr>
    </w:lvl>
    <w:lvl w:ilvl="7" w:tplc="3A0C6700" w:tentative="1">
      <w:start w:val="1"/>
      <w:numFmt w:val="bullet"/>
      <w:lvlText w:val="–"/>
      <w:lvlJc w:val="left"/>
      <w:pPr>
        <w:tabs>
          <w:tab w:val="num" w:pos="5760"/>
        </w:tabs>
        <w:ind w:left="5760" w:hanging="360"/>
      </w:pPr>
      <w:rPr>
        <w:rFonts w:ascii="Arial" w:hAnsi="Arial" w:hint="default"/>
      </w:rPr>
    </w:lvl>
    <w:lvl w:ilvl="8" w:tplc="0A606952" w:tentative="1">
      <w:start w:val="1"/>
      <w:numFmt w:val="bullet"/>
      <w:lvlText w:val="–"/>
      <w:lvlJc w:val="left"/>
      <w:pPr>
        <w:tabs>
          <w:tab w:val="num" w:pos="6480"/>
        </w:tabs>
        <w:ind w:left="6480" w:hanging="360"/>
      </w:pPr>
      <w:rPr>
        <w:rFonts w:ascii="Arial" w:hAnsi="Arial" w:hint="default"/>
      </w:rPr>
    </w:lvl>
  </w:abstractNum>
  <w:abstractNum w:abstractNumId="1">
    <w:nsid w:val="106773C7"/>
    <w:multiLevelType w:val="hybridMultilevel"/>
    <w:tmpl w:val="CDEA1F02"/>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2">
    <w:nsid w:val="16A02753"/>
    <w:multiLevelType w:val="hybridMultilevel"/>
    <w:tmpl w:val="BF387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93C3865"/>
    <w:multiLevelType w:val="multilevel"/>
    <w:tmpl w:val="509E20C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E217E4"/>
    <w:multiLevelType w:val="hybridMultilevel"/>
    <w:tmpl w:val="0DEC671E"/>
    <w:lvl w:ilvl="0" w:tplc="FE2A48FA">
      <w:start w:val="1"/>
      <w:numFmt w:val="decimal"/>
      <w:lvlText w:val="%1)"/>
      <w:lvlJc w:val="left"/>
      <w:pPr>
        <w:ind w:left="1485" w:hanging="40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3D763A"/>
    <w:multiLevelType w:val="hybridMultilevel"/>
    <w:tmpl w:val="723CE9D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F5E2315"/>
    <w:multiLevelType w:val="hybridMultilevel"/>
    <w:tmpl w:val="A27AAA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287597D"/>
    <w:multiLevelType w:val="hybridMultilevel"/>
    <w:tmpl w:val="F8DA57F2"/>
    <w:lvl w:ilvl="0" w:tplc="D638B2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C5112A6"/>
    <w:multiLevelType w:val="hybridMultilevel"/>
    <w:tmpl w:val="3B56E4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3E653AB"/>
    <w:multiLevelType w:val="hybridMultilevel"/>
    <w:tmpl w:val="9EE43B78"/>
    <w:lvl w:ilvl="0" w:tplc="4860FBF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A24FBF"/>
    <w:multiLevelType w:val="multilevel"/>
    <w:tmpl w:val="352EAF7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4B0158"/>
    <w:multiLevelType w:val="hybridMultilevel"/>
    <w:tmpl w:val="10A04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3E1FDD"/>
    <w:multiLevelType w:val="hybridMultilevel"/>
    <w:tmpl w:val="26BEACD2"/>
    <w:lvl w:ilvl="0" w:tplc="A4C83860">
      <w:start w:val="1"/>
      <w:numFmt w:val="bullet"/>
      <w:lvlText w:val="•"/>
      <w:lvlJc w:val="left"/>
      <w:pPr>
        <w:tabs>
          <w:tab w:val="num" w:pos="720"/>
        </w:tabs>
        <w:ind w:left="720" w:hanging="360"/>
      </w:pPr>
      <w:rPr>
        <w:rFonts w:ascii="Arial" w:hAnsi="Arial" w:hint="default"/>
      </w:rPr>
    </w:lvl>
    <w:lvl w:ilvl="1" w:tplc="19343A50" w:tentative="1">
      <w:start w:val="1"/>
      <w:numFmt w:val="bullet"/>
      <w:lvlText w:val="•"/>
      <w:lvlJc w:val="left"/>
      <w:pPr>
        <w:tabs>
          <w:tab w:val="num" w:pos="1440"/>
        </w:tabs>
        <w:ind w:left="1440" w:hanging="360"/>
      </w:pPr>
      <w:rPr>
        <w:rFonts w:ascii="Arial" w:hAnsi="Arial" w:hint="default"/>
      </w:rPr>
    </w:lvl>
    <w:lvl w:ilvl="2" w:tplc="6388E6EA" w:tentative="1">
      <w:start w:val="1"/>
      <w:numFmt w:val="bullet"/>
      <w:lvlText w:val="•"/>
      <w:lvlJc w:val="left"/>
      <w:pPr>
        <w:tabs>
          <w:tab w:val="num" w:pos="2160"/>
        </w:tabs>
        <w:ind w:left="2160" w:hanging="360"/>
      </w:pPr>
      <w:rPr>
        <w:rFonts w:ascii="Arial" w:hAnsi="Arial" w:hint="default"/>
      </w:rPr>
    </w:lvl>
    <w:lvl w:ilvl="3" w:tplc="2FA8900E" w:tentative="1">
      <w:start w:val="1"/>
      <w:numFmt w:val="bullet"/>
      <w:lvlText w:val="•"/>
      <w:lvlJc w:val="left"/>
      <w:pPr>
        <w:tabs>
          <w:tab w:val="num" w:pos="2880"/>
        </w:tabs>
        <w:ind w:left="2880" w:hanging="360"/>
      </w:pPr>
      <w:rPr>
        <w:rFonts w:ascii="Arial" w:hAnsi="Arial" w:hint="default"/>
      </w:rPr>
    </w:lvl>
    <w:lvl w:ilvl="4" w:tplc="EB7480EC" w:tentative="1">
      <w:start w:val="1"/>
      <w:numFmt w:val="bullet"/>
      <w:lvlText w:val="•"/>
      <w:lvlJc w:val="left"/>
      <w:pPr>
        <w:tabs>
          <w:tab w:val="num" w:pos="3600"/>
        </w:tabs>
        <w:ind w:left="3600" w:hanging="360"/>
      </w:pPr>
      <w:rPr>
        <w:rFonts w:ascii="Arial" w:hAnsi="Arial" w:hint="default"/>
      </w:rPr>
    </w:lvl>
    <w:lvl w:ilvl="5" w:tplc="4B683C90" w:tentative="1">
      <w:start w:val="1"/>
      <w:numFmt w:val="bullet"/>
      <w:lvlText w:val="•"/>
      <w:lvlJc w:val="left"/>
      <w:pPr>
        <w:tabs>
          <w:tab w:val="num" w:pos="4320"/>
        </w:tabs>
        <w:ind w:left="4320" w:hanging="360"/>
      </w:pPr>
      <w:rPr>
        <w:rFonts w:ascii="Arial" w:hAnsi="Arial" w:hint="default"/>
      </w:rPr>
    </w:lvl>
    <w:lvl w:ilvl="6" w:tplc="BC0C8AD6" w:tentative="1">
      <w:start w:val="1"/>
      <w:numFmt w:val="bullet"/>
      <w:lvlText w:val="•"/>
      <w:lvlJc w:val="left"/>
      <w:pPr>
        <w:tabs>
          <w:tab w:val="num" w:pos="5040"/>
        </w:tabs>
        <w:ind w:left="5040" w:hanging="360"/>
      </w:pPr>
      <w:rPr>
        <w:rFonts w:ascii="Arial" w:hAnsi="Arial" w:hint="default"/>
      </w:rPr>
    </w:lvl>
    <w:lvl w:ilvl="7" w:tplc="ADC01F24" w:tentative="1">
      <w:start w:val="1"/>
      <w:numFmt w:val="bullet"/>
      <w:lvlText w:val="•"/>
      <w:lvlJc w:val="left"/>
      <w:pPr>
        <w:tabs>
          <w:tab w:val="num" w:pos="5760"/>
        </w:tabs>
        <w:ind w:left="5760" w:hanging="360"/>
      </w:pPr>
      <w:rPr>
        <w:rFonts w:ascii="Arial" w:hAnsi="Arial" w:hint="default"/>
      </w:rPr>
    </w:lvl>
    <w:lvl w:ilvl="8" w:tplc="31D4E43E" w:tentative="1">
      <w:start w:val="1"/>
      <w:numFmt w:val="bullet"/>
      <w:lvlText w:val="•"/>
      <w:lvlJc w:val="left"/>
      <w:pPr>
        <w:tabs>
          <w:tab w:val="num" w:pos="6480"/>
        </w:tabs>
        <w:ind w:left="6480" w:hanging="360"/>
      </w:pPr>
      <w:rPr>
        <w:rFonts w:ascii="Arial" w:hAnsi="Arial" w:hint="default"/>
      </w:rPr>
    </w:lvl>
  </w:abstractNum>
  <w:abstractNum w:abstractNumId="13">
    <w:nsid w:val="7E44531C"/>
    <w:multiLevelType w:val="hybridMultilevel"/>
    <w:tmpl w:val="4EE41186"/>
    <w:lvl w:ilvl="0" w:tplc="08090017">
      <w:start w:val="1"/>
      <w:numFmt w:val="lowerLetter"/>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abstractNumId w:val="7"/>
  </w:num>
  <w:num w:numId="2">
    <w:abstractNumId w:val="5"/>
  </w:num>
  <w:num w:numId="3">
    <w:abstractNumId w:val="8"/>
  </w:num>
  <w:num w:numId="4">
    <w:abstractNumId w:val="2"/>
  </w:num>
  <w:num w:numId="5">
    <w:abstractNumId w:val="3"/>
  </w:num>
  <w:num w:numId="6">
    <w:abstractNumId w:val="10"/>
  </w:num>
  <w:num w:numId="7">
    <w:abstractNumId w:val="13"/>
  </w:num>
  <w:num w:numId="8">
    <w:abstractNumId w:val="9"/>
  </w:num>
  <w:num w:numId="9">
    <w:abstractNumId w:val="12"/>
  </w:num>
  <w:num w:numId="10">
    <w:abstractNumId w:val="0"/>
  </w:num>
  <w:num w:numId="11">
    <w:abstractNumId w:val="11"/>
  </w:num>
  <w:num w:numId="12">
    <w:abstractNumId w:val="4"/>
  </w:num>
  <w:num w:numId="13">
    <w:abstractNumId w:val="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ngland">
    <w15:presenceInfo w15:providerId="AD" w15:userId="S-1-5-21-429939521-867241687-1563503735-118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9E"/>
    <w:rsid w:val="00041C68"/>
    <w:rsid w:val="000A0937"/>
    <w:rsid w:val="000B539C"/>
    <w:rsid w:val="000C3D6D"/>
    <w:rsid w:val="000E71E4"/>
    <w:rsid w:val="000F78DE"/>
    <w:rsid w:val="00104F89"/>
    <w:rsid w:val="001A1154"/>
    <w:rsid w:val="0020350F"/>
    <w:rsid w:val="00274D12"/>
    <w:rsid w:val="00284388"/>
    <w:rsid w:val="002A189C"/>
    <w:rsid w:val="002A6963"/>
    <w:rsid w:val="002B7F49"/>
    <w:rsid w:val="002E2472"/>
    <w:rsid w:val="003155E1"/>
    <w:rsid w:val="0039204F"/>
    <w:rsid w:val="004124A8"/>
    <w:rsid w:val="004358A8"/>
    <w:rsid w:val="004D7F36"/>
    <w:rsid w:val="004E1297"/>
    <w:rsid w:val="004E7666"/>
    <w:rsid w:val="00501806"/>
    <w:rsid w:val="00545422"/>
    <w:rsid w:val="0056451B"/>
    <w:rsid w:val="00596876"/>
    <w:rsid w:val="005B4BFC"/>
    <w:rsid w:val="00603DE7"/>
    <w:rsid w:val="00683A8E"/>
    <w:rsid w:val="006968EB"/>
    <w:rsid w:val="006F2024"/>
    <w:rsid w:val="006F46A2"/>
    <w:rsid w:val="006F5211"/>
    <w:rsid w:val="006F6D5E"/>
    <w:rsid w:val="00716B1F"/>
    <w:rsid w:val="0077719B"/>
    <w:rsid w:val="00785C43"/>
    <w:rsid w:val="00796F70"/>
    <w:rsid w:val="007F259E"/>
    <w:rsid w:val="00811C78"/>
    <w:rsid w:val="008208D8"/>
    <w:rsid w:val="0083726E"/>
    <w:rsid w:val="008673EF"/>
    <w:rsid w:val="00872DED"/>
    <w:rsid w:val="008F3E34"/>
    <w:rsid w:val="009177A5"/>
    <w:rsid w:val="00925887"/>
    <w:rsid w:val="009B5B06"/>
    <w:rsid w:val="009D0ED1"/>
    <w:rsid w:val="009F2745"/>
    <w:rsid w:val="009F6C55"/>
    <w:rsid w:val="00A00B44"/>
    <w:rsid w:val="00A23BF9"/>
    <w:rsid w:val="00A62E54"/>
    <w:rsid w:val="00AF4D89"/>
    <w:rsid w:val="00B140F7"/>
    <w:rsid w:val="00B42755"/>
    <w:rsid w:val="00B70098"/>
    <w:rsid w:val="00B70342"/>
    <w:rsid w:val="00BB26A9"/>
    <w:rsid w:val="00BB3C9E"/>
    <w:rsid w:val="00BD25A6"/>
    <w:rsid w:val="00BD58FD"/>
    <w:rsid w:val="00C0043A"/>
    <w:rsid w:val="00C31A37"/>
    <w:rsid w:val="00C467BC"/>
    <w:rsid w:val="00C817FD"/>
    <w:rsid w:val="00CE0922"/>
    <w:rsid w:val="00CE2992"/>
    <w:rsid w:val="00CF0537"/>
    <w:rsid w:val="00D3061F"/>
    <w:rsid w:val="00D52993"/>
    <w:rsid w:val="00D858D8"/>
    <w:rsid w:val="00D87573"/>
    <w:rsid w:val="00DA0DAA"/>
    <w:rsid w:val="00DF332A"/>
    <w:rsid w:val="00E15448"/>
    <w:rsid w:val="00E24873"/>
    <w:rsid w:val="00E27FA7"/>
    <w:rsid w:val="00E33536"/>
    <w:rsid w:val="00E34DFB"/>
    <w:rsid w:val="00E37A13"/>
    <w:rsid w:val="00E71561"/>
    <w:rsid w:val="00EB0458"/>
    <w:rsid w:val="00EC639E"/>
    <w:rsid w:val="00EE1CB1"/>
    <w:rsid w:val="00EE2C7E"/>
    <w:rsid w:val="00EE317C"/>
    <w:rsid w:val="00EF632D"/>
    <w:rsid w:val="00F95D59"/>
    <w:rsid w:val="00F96BF0"/>
    <w:rsid w:val="00FB1A15"/>
    <w:rsid w:val="00FC7266"/>
    <w:rsid w:val="00FD7890"/>
    <w:rsid w:val="00FF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7C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9E"/>
    <w:rPr>
      <w:rFonts w:ascii="Tahoma" w:hAnsi="Tahoma" w:cs="Tahoma"/>
      <w:sz w:val="16"/>
      <w:szCs w:val="16"/>
    </w:rPr>
  </w:style>
  <w:style w:type="paragraph" w:styleId="ListParagraph">
    <w:name w:val="List Paragraph"/>
    <w:basedOn w:val="Normal"/>
    <w:uiPriority w:val="34"/>
    <w:qFormat/>
    <w:rsid w:val="00EC639E"/>
    <w:pPr>
      <w:ind w:left="720"/>
      <w:contextualSpacing/>
    </w:pPr>
  </w:style>
  <w:style w:type="paragraph" w:styleId="FootnoteText">
    <w:name w:val="footnote text"/>
    <w:basedOn w:val="Normal"/>
    <w:link w:val="FootnoteTextChar"/>
    <w:uiPriority w:val="99"/>
    <w:unhideWhenUsed/>
    <w:rsid w:val="00104F89"/>
    <w:pPr>
      <w:spacing w:after="0" w:line="240" w:lineRule="auto"/>
    </w:pPr>
    <w:rPr>
      <w:sz w:val="20"/>
      <w:szCs w:val="20"/>
    </w:rPr>
  </w:style>
  <w:style w:type="character" w:customStyle="1" w:styleId="FootnoteTextChar">
    <w:name w:val="Footnote Text Char"/>
    <w:basedOn w:val="DefaultParagraphFont"/>
    <w:link w:val="FootnoteText"/>
    <w:uiPriority w:val="99"/>
    <w:rsid w:val="00104F89"/>
    <w:rPr>
      <w:sz w:val="20"/>
      <w:szCs w:val="20"/>
    </w:rPr>
  </w:style>
  <w:style w:type="character" w:styleId="FootnoteReference">
    <w:name w:val="footnote reference"/>
    <w:basedOn w:val="DefaultParagraphFont"/>
    <w:uiPriority w:val="99"/>
    <w:semiHidden/>
    <w:unhideWhenUsed/>
    <w:rsid w:val="00104F89"/>
    <w:rPr>
      <w:vertAlign w:val="superscript"/>
    </w:rPr>
  </w:style>
  <w:style w:type="paragraph" w:styleId="NormalWeb">
    <w:name w:val="Normal (Web)"/>
    <w:basedOn w:val="Normal"/>
    <w:uiPriority w:val="99"/>
    <w:semiHidden/>
    <w:unhideWhenUsed/>
    <w:rsid w:val="008F3E34"/>
    <w:rPr>
      <w:rFonts w:ascii="Times New Roman" w:hAnsi="Times New Roman" w:cs="Times New Roman"/>
      <w:sz w:val="24"/>
      <w:szCs w:val="24"/>
    </w:rPr>
  </w:style>
  <w:style w:type="character" w:styleId="Hyperlink">
    <w:name w:val="Hyperlink"/>
    <w:basedOn w:val="DefaultParagraphFont"/>
    <w:uiPriority w:val="99"/>
    <w:unhideWhenUsed/>
    <w:rsid w:val="008F3E34"/>
    <w:rPr>
      <w:color w:val="0000FF" w:themeColor="hyperlink"/>
      <w:u w:val="single"/>
    </w:rPr>
  </w:style>
  <w:style w:type="character" w:styleId="CommentReference">
    <w:name w:val="annotation reference"/>
    <w:basedOn w:val="DefaultParagraphFont"/>
    <w:uiPriority w:val="99"/>
    <w:semiHidden/>
    <w:unhideWhenUsed/>
    <w:rsid w:val="00B70342"/>
    <w:rPr>
      <w:sz w:val="16"/>
      <w:szCs w:val="16"/>
    </w:rPr>
  </w:style>
  <w:style w:type="paragraph" w:styleId="CommentText">
    <w:name w:val="annotation text"/>
    <w:basedOn w:val="Normal"/>
    <w:link w:val="CommentTextChar"/>
    <w:uiPriority w:val="99"/>
    <w:semiHidden/>
    <w:unhideWhenUsed/>
    <w:rsid w:val="00B70342"/>
    <w:pPr>
      <w:spacing w:line="240" w:lineRule="auto"/>
    </w:pPr>
    <w:rPr>
      <w:sz w:val="20"/>
      <w:szCs w:val="20"/>
    </w:rPr>
  </w:style>
  <w:style w:type="character" w:customStyle="1" w:styleId="CommentTextChar">
    <w:name w:val="Comment Text Char"/>
    <w:basedOn w:val="DefaultParagraphFont"/>
    <w:link w:val="CommentText"/>
    <w:uiPriority w:val="99"/>
    <w:semiHidden/>
    <w:rsid w:val="00B70342"/>
    <w:rPr>
      <w:sz w:val="20"/>
      <w:szCs w:val="20"/>
    </w:rPr>
  </w:style>
  <w:style w:type="paragraph" w:styleId="CommentSubject">
    <w:name w:val="annotation subject"/>
    <w:basedOn w:val="CommentText"/>
    <w:next w:val="CommentText"/>
    <w:link w:val="CommentSubjectChar"/>
    <w:uiPriority w:val="99"/>
    <w:semiHidden/>
    <w:unhideWhenUsed/>
    <w:rsid w:val="00B70342"/>
    <w:rPr>
      <w:b/>
      <w:bCs/>
    </w:rPr>
  </w:style>
  <w:style w:type="character" w:customStyle="1" w:styleId="CommentSubjectChar">
    <w:name w:val="Comment Subject Char"/>
    <w:basedOn w:val="CommentTextChar"/>
    <w:link w:val="CommentSubject"/>
    <w:uiPriority w:val="99"/>
    <w:semiHidden/>
    <w:rsid w:val="00B70342"/>
    <w:rPr>
      <w:b/>
      <w:bCs/>
      <w:sz w:val="20"/>
      <w:szCs w:val="20"/>
    </w:rPr>
  </w:style>
  <w:style w:type="paragraph" w:styleId="Header">
    <w:name w:val="header"/>
    <w:basedOn w:val="Normal"/>
    <w:link w:val="HeaderChar"/>
    <w:uiPriority w:val="99"/>
    <w:unhideWhenUsed/>
    <w:rsid w:val="00F95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D59"/>
  </w:style>
  <w:style w:type="paragraph" w:styleId="Footer">
    <w:name w:val="footer"/>
    <w:basedOn w:val="Normal"/>
    <w:link w:val="FooterChar"/>
    <w:uiPriority w:val="99"/>
    <w:unhideWhenUsed/>
    <w:rsid w:val="00F95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9E"/>
    <w:rPr>
      <w:rFonts w:ascii="Tahoma" w:hAnsi="Tahoma" w:cs="Tahoma"/>
      <w:sz w:val="16"/>
      <w:szCs w:val="16"/>
    </w:rPr>
  </w:style>
  <w:style w:type="paragraph" w:styleId="ListParagraph">
    <w:name w:val="List Paragraph"/>
    <w:basedOn w:val="Normal"/>
    <w:uiPriority w:val="34"/>
    <w:qFormat/>
    <w:rsid w:val="00EC639E"/>
    <w:pPr>
      <w:ind w:left="720"/>
      <w:contextualSpacing/>
    </w:pPr>
  </w:style>
  <w:style w:type="paragraph" w:styleId="FootnoteText">
    <w:name w:val="footnote text"/>
    <w:basedOn w:val="Normal"/>
    <w:link w:val="FootnoteTextChar"/>
    <w:uiPriority w:val="99"/>
    <w:unhideWhenUsed/>
    <w:rsid w:val="00104F89"/>
    <w:pPr>
      <w:spacing w:after="0" w:line="240" w:lineRule="auto"/>
    </w:pPr>
    <w:rPr>
      <w:sz w:val="20"/>
      <w:szCs w:val="20"/>
    </w:rPr>
  </w:style>
  <w:style w:type="character" w:customStyle="1" w:styleId="FootnoteTextChar">
    <w:name w:val="Footnote Text Char"/>
    <w:basedOn w:val="DefaultParagraphFont"/>
    <w:link w:val="FootnoteText"/>
    <w:uiPriority w:val="99"/>
    <w:rsid w:val="00104F89"/>
    <w:rPr>
      <w:sz w:val="20"/>
      <w:szCs w:val="20"/>
    </w:rPr>
  </w:style>
  <w:style w:type="character" w:styleId="FootnoteReference">
    <w:name w:val="footnote reference"/>
    <w:basedOn w:val="DefaultParagraphFont"/>
    <w:uiPriority w:val="99"/>
    <w:semiHidden/>
    <w:unhideWhenUsed/>
    <w:rsid w:val="00104F89"/>
    <w:rPr>
      <w:vertAlign w:val="superscript"/>
    </w:rPr>
  </w:style>
  <w:style w:type="paragraph" w:styleId="NormalWeb">
    <w:name w:val="Normal (Web)"/>
    <w:basedOn w:val="Normal"/>
    <w:uiPriority w:val="99"/>
    <w:semiHidden/>
    <w:unhideWhenUsed/>
    <w:rsid w:val="008F3E34"/>
    <w:rPr>
      <w:rFonts w:ascii="Times New Roman" w:hAnsi="Times New Roman" w:cs="Times New Roman"/>
      <w:sz w:val="24"/>
      <w:szCs w:val="24"/>
    </w:rPr>
  </w:style>
  <w:style w:type="character" w:styleId="Hyperlink">
    <w:name w:val="Hyperlink"/>
    <w:basedOn w:val="DefaultParagraphFont"/>
    <w:uiPriority w:val="99"/>
    <w:unhideWhenUsed/>
    <w:rsid w:val="008F3E34"/>
    <w:rPr>
      <w:color w:val="0000FF" w:themeColor="hyperlink"/>
      <w:u w:val="single"/>
    </w:rPr>
  </w:style>
  <w:style w:type="character" w:styleId="CommentReference">
    <w:name w:val="annotation reference"/>
    <w:basedOn w:val="DefaultParagraphFont"/>
    <w:uiPriority w:val="99"/>
    <w:semiHidden/>
    <w:unhideWhenUsed/>
    <w:rsid w:val="00B70342"/>
    <w:rPr>
      <w:sz w:val="16"/>
      <w:szCs w:val="16"/>
    </w:rPr>
  </w:style>
  <w:style w:type="paragraph" w:styleId="CommentText">
    <w:name w:val="annotation text"/>
    <w:basedOn w:val="Normal"/>
    <w:link w:val="CommentTextChar"/>
    <w:uiPriority w:val="99"/>
    <w:semiHidden/>
    <w:unhideWhenUsed/>
    <w:rsid w:val="00B70342"/>
    <w:pPr>
      <w:spacing w:line="240" w:lineRule="auto"/>
    </w:pPr>
    <w:rPr>
      <w:sz w:val="20"/>
      <w:szCs w:val="20"/>
    </w:rPr>
  </w:style>
  <w:style w:type="character" w:customStyle="1" w:styleId="CommentTextChar">
    <w:name w:val="Comment Text Char"/>
    <w:basedOn w:val="DefaultParagraphFont"/>
    <w:link w:val="CommentText"/>
    <w:uiPriority w:val="99"/>
    <w:semiHidden/>
    <w:rsid w:val="00B70342"/>
    <w:rPr>
      <w:sz w:val="20"/>
      <w:szCs w:val="20"/>
    </w:rPr>
  </w:style>
  <w:style w:type="paragraph" w:styleId="CommentSubject">
    <w:name w:val="annotation subject"/>
    <w:basedOn w:val="CommentText"/>
    <w:next w:val="CommentText"/>
    <w:link w:val="CommentSubjectChar"/>
    <w:uiPriority w:val="99"/>
    <w:semiHidden/>
    <w:unhideWhenUsed/>
    <w:rsid w:val="00B70342"/>
    <w:rPr>
      <w:b/>
      <w:bCs/>
    </w:rPr>
  </w:style>
  <w:style w:type="character" w:customStyle="1" w:styleId="CommentSubjectChar">
    <w:name w:val="Comment Subject Char"/>
    <w:basedOn w:val="CommentTextChar"/>
    <w:link w:val="CommentSubject"/>
    <w:uiPriority w:val="99"/>
    <w:semiHidden/>
    <w:rsid w:val="00B70342"/>
    <w:rPr>
      <w:b/>
      <w:bCs/>
      <w:sz w:val="20"/>
      <w:szCs w:val="20"/>
    </w:rPr>
  </w:style>
  <w:style w:type="paragraph" w:styleId="Header">
    <w:name w:val="header"/>
    <w:basedOn w:val="Normal"/>
    <w:link w:val="HeaderChar"/>
    <w:uiPriority w:val="99"/>
    <w:unhideWhenUsed/>
    <w:rsid w:val="00F95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D59"/>
  </w:style>
  <w:style w:type="paragraph" w:styleId="Footer">
    <w:name w:val="footer"/>
    <w:basedOn w:val="Normal"/>
    <w:link w:val="FooterChar"/>
    <w:uiPriority w:val="99"/>
    <w:unhideWhenUsed/>
    <w:rsid w:val="00F95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6843">
      <w:bodyDiv w:val="1"/>
      <w:marLeft w:val="0"/>
      <w:marRight w:val="0"/>
      <w:marTop w:val="0"/>
      <w:marBottom w:val="0"/>
      <w:divBdr>
        <w:top w:val="none" w:sz="0" w:space="0" w:color="auto"/>
        <w:left w:val="none" w:sz="0" w:space="0" w:color="auto"/>
        <w:bottom w:val="none" w:sz="0" w:space="0" w:color="auto"/>
        <w:right w:val="none" w:sz="0" w:space="0" w:color="auto"/>
      </w:divBdr>
      <w:divsChild>
        <w:div w:id="1450079948">
          <w:marLeft w:val="0"/>
          <w:marRight w:val="0"/>
          <w:marTop w:val="0"/>
          <w:marBottom w:val="0"/>
          <w:divBdr>
            <w:top w:val="none" w:sz="0" w:space="0" w:color="auto"/>
            <w:left w:val="none" w:sz="0" w:space="0" w:color="auto"/>
            <w:bottom w:val="none" w:sz="0" w:space="0" w:color="auto"/>
            <w:right w:val="none" w:sz="0" w:space="0" w:color="auto"/>
          </w:divBdr>
          <w:divsChild>
            <w:div w:id="10662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4269">
      <w:bodyDiv w:val="1"/>
      <w:marLeft w:val="0"/>
      <w:marRight w:val="0"/>
      <w:marTop w:val="0"/>
      <w:marBottom w:val="0"/>
      <w:divBdr>
        <w:top w:val="none" w:sz="0" w:space="0" w:color="auto"/>
        <w:left w:val="none" w:sz="0" w:space="0" w:color="auto"/>
        <w:bottom w:val="none" w:sz="0" w:space="0" w:color="auto"/>
        <w:right w:val="none" w:sz="0" w:space="0" w:color="auto"/>
      </w:divBdr>
      <w:divsChild>
        <w:div w:id="1184322145">
          <w:marLeft w:val="547"/>
          <w:marRight w:val="0"/>
          <w:marTop w:val="96"/>
          <w:marBottom w:val="0"/>
          <w:divBdr>
            <w:top w:val="none" w:sz="0" w:space="0" w:color="auto"/>
            <w:left w:val="none" w:sz="0" w:space="0" w:color="auto"/>
            <w:bottom w:val="none" w:sz="0" w:space="0" w:color="auto"/>
            <w:right w:val="none" w:sz="0" w:space="0" w:color="auto"/>
          </w:divBdr>
        </w:div>
        <w:div w:id="2146238829">
          <w:marLeft w:val="547"/>
          <w:marRight w:val="0"/>
          <w:marTop w:val="96"/>
          <w:marBottom w:val="0"/>
          <w:divBdr>
            <w:top w:val="none" w:sz="0" w:space="0" w:color="auto"/>
            <w:left w:val="none" w:sz="0" w:space="0" w:color="auto"/>
            <w:bottom w:val="none" w:sz="0" w:space="0" w:color="auto"/>
            <w:right w:val="none" w:sz="0" w:space="0" w:color="auto"/>
          </w:divBdr>
        </w:div>
        <w:div w:id="2045522371">
          <w:marLeft w:val="547"/>
          <w:marRight w:val="0"/>
          <w:marTop w:val="96"/>
          <w:marBottom w:val="0"/>
          <w:divBdr>
            <w:top w:val="none" w:sz="0" w:space="0" w:color="auto"/>
            <w:left w:val="none" w:sz="0" w:space="0" w:color="auto"/>
            <w:bottom w:val="none" w:sz="0" w:space="0" w:color="auto"/>
            <w:right w:val="none" w:sz="0" w:space="0" w:color="auto"/>
          </w:divBdr>
        </w:div>
        <w:div w:id="435172612">
          <w:marLeft w:val="547"/>
          <w:marRight w:val="0"/>
          <w:marTop w:val="96"/>
          <w:marBottom w:val="0"/>
          <w:divBdr>
            <w:top w:val="none" w:sz="0" w:space="0" w:color="auto"/>
            <w:left w:val="none" w:sz="0" w:space="0" w:color="auto"/>
            <w:bottom w:val="none" w:sz="0" w:space="0" w:color="auto"/>
            <w:right w:val="none" w:sz="0" w:space="0" w:color="auto"/>
          </w:divBdr>
        </w:div>
        <w:div w:id="1491167076">
          <w:marLeft w:val="547"/>
          <w:marRight w:val="0"/>
          <w:marTop w:val="96"/>
          <w:marBottom w:val="0"/>
          <w:divBdr>
            <w:top w:val="none" w:sz="0" w:space="0" w:color="auto"/>
            <w:left w:val="none" w:sz="0" w:space="0" w:color="auto"/>
            <w:bottom w:val="none" w:sz="0" w:space="0" w:color="auto"/>
            <w:right w:val="none" w:sz="0" w:space="0" w:color="auto"/>
          </w:divBdr>
        </w:div>
      </w:divsChild>
    </w:div>
    <w:div w:id="1102922918">
      <w:bodyDiv w:val="1"/>
      <w:marLeft w:val="0"/>
      <w:marRight w:val="0"/>
      <w:marTop w:val="0"/>
      <w:marBottom w:val="0"/>
      <w:divBdr>
        <w:top w:val="none" w:sz="0" w:space="0" w:color="auto"/>
        <w:left w:val="none" w:sz="0" w:space="0" w:color="auto"/>
        <w:bottom w:val="none" w:sz="0" w:space="0" w:color="auto"/>
        <w:right w:val="none" w:sz="0" w:space="0" w:color="auto"/>
      </w:divBdr>
      <w:divsChild>
        <w:div w:id="804077988">
          <w:marLeft w:val="0"/>
          <w:marRight w:val="0"/>
          <w:marTop w:val="0"/>
          <w:marBottom w:val="0"/>
          <w:divBdr>
            <w:top w:val="none" w:sz="0" w:space="0" w:color="auto"/>
            <w:left w:val="none" w:sz="0" w:space="0" w:color="auto"/>
            <w:bottom w:val="none" w:sz="0" w:space="0" w:color="auto"/>
            <w:right w:val="none" w:sz="0" w:space="0" w:color="auto"/>
          </w:divBdr>
          <w:divsChild>
            <w:div w:id="1481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5710">
      <w:bodyDiv w:val="1"/>
      <w:marLeft w:val="0"/>
      <w:marRight w:val="0"/>
      <w:marTop w:val="0"/>
      <w:marBottom w:val="0"/>
      <w:divBdr>
        <w:top w:val="none" w:sz="0" w:space="0" w:color="auto"/>
        <w:left w:val="none" w:sz="0" w:space="0" w:color="auto"/>
        <w:bottom w:val="none" w:sz="0" w:space="0" w:color="auto"/>
        <w:right w:val="none" w:sz="0" w:space="0" w:color="auto"/>
      </w:divBdr>
      <w:divsChild>
        <w:div w:id="1353023294">
          <w:marLeft w:val="1354"/>
          <w:marRight w:val="0"/>
          <w:marTop w:val="115"/>
          <w:marBottom w:val="0"/>
          <w:divBdr>
            <w:top w:val="none" w:sz="0" w:space="0" w:color="auto"/>
            <w:left w:val="none" w:sz="0" w:space="0" w:color="auto"/>
            <w:bottom w:val="none" w:sz="0" w:space="0" w:color="auto"/>
            <w:right w:val="none" w:sz="0" w:space="0" w:color="auto"/>
          </w:divBdr>
        </w:div>
        <w:div w:id="1117676628">
          <w:marLeft w:val="1354"/>
          <w:marRight w:val="0"/>
          <w:marTop w:val="115"/>
          <w:marBottom w:val="0"/>
          <w:divBdr>
            <w:top w:val="none" w:sz="0" w:space="0" w:color="auto"/>
            <w:left w:val="none" w:sz="0" w:space="0" w:color="auto"/>
            <w:bottom w:val="none" w:sz="0" w:space="0" w:color="auto"/>
            <w:right w:val="none" w:sz="0" w:space="0" w:color="auto"/>
          </w:divBdr>
        </w:div>
        <w:div w:id="577177409">
          <w:marLeft w:val="1354"/>
          <w:marRight w:val="0"/>
          <w:marTop w:val="115"/>
          <w:marBottom w:val="0"/>
          <w:divBdr>
            <w:top w:val="none" w:sz="0" w:space="0" w:color="auto"/>
            <w:left w:val="none" w:sz="0" w:space="0" w:color="auto"/>
            <w:bottom w:val="none" w:sz="0" w:space="0" w:color="auto"/>
            <w:right w:val="none" w:sz="0" w:space="0" w:color="auto"/>
          </w:divBdr>
        </w:div>
      </w:divsChild>
    </w:div>
    <w:div w:id="1509561252">
      <w:bodyDiv w:val="1"/>
      <w:marLeft w:val="0"/>
      <w:marRight w:val="0"/>
      <w:marTop w:val="0"/>
      <w:marBottom w:val="0"/>
      <w:divBdr>
        <w:top w:val="none" w:sz="0" w:space="0" w:color="auto"/>
        <w:left w:val="none" w:sz="0" w:space="0" w:color="auto"/>
        <w:bottom w:val="none" w:sz="0" w:space="0" w:color="auto"/>
        <w:right w:val="none" w:sz="0" w:space="0" w:color="auto"/>
      </w:divBdr>
      <w:divsChild>
        <w:div w:id="50622934">
          <w:marLeft w:val="547"/>
          <w:marRight w:val="0"/>
          <w:marTop w:val="96"/>
          <w:marBottom w:val="0"/>
          <w:divBdr>
            <w:top w:val="none" w:sz="0" w:space="0" w:color="auto"/>
            <w:left w:val="none" w:sz="0" w:space="0" w:color="auto"/>
            <w:bottom w:val="none" w:sz="0" w:space="0" w:color="auto"/>
            <w:right w:val="none" w:sz="0" w:space="0" w:color="auto"/>
          </w:divBdr>
        </w:div>
        <w:div w:id="515729996">
          <w:marLeft w:val="547"/>
          <w:marRight w:val="0"/>
          <w:marTop w:val="96"/>
          <w:marBottom w:val="0"/>
          <w:divBdr>
            <w:top w:val="none" w:sz="0" w:space="0" w:color="auto"/>
            <w:left w:val="none" w:sz="0" w:space="0" w:color="auto"/>
            <w:bottom w:val="none" w:sz="0" w:space="0" w:color="auto"/>
            <w:right w:val="none" w:sz="0" w:space="0" w:color="auto"/>
          </w:divBdr>
        </w:div>
        <w:div w:id="1007443417">
          <w:marLeft w:val="547"/>
          <w:marRight w:val="0"/>
          <w:marTop w:val="96"/>
          <w:marBottom w:val="0"/>
          <w:divBdr>
            <w:top w:val="none" w:sz="0" w:space="0" w:color="auto"/>
            <w:left w:val="none" w:sz="0" w:space="0" w:color="auto"/>
            <w:bottom w:val="none" w:sz="0" w:space="0" w:color="auto"/>
            <w:right w:val="none" w:sz="0" w:space="0" w:color="auto"/>
          </w:divBdr>
        </w:div>
        <w:div w:id="966273578">
          <w:marLeft w:val="547"/>
          <w:marRight w:val="0"/>
          <w:marTop w:val="96"/>
          <w:marBottom w:val="0"/>
          <w:divBdr>
            <w:top w:val="none" w:sz="0" w:space="0" w:color="auto"/>
            <w:left w:val="none" w:sz="0" w:space="0" w:color="auto"/>
            <w:bottom w:val="none" w:sz="0" w:space="0" w:color="auto"/>
            <w:right w:val="none" w:sz="0" w:space="0" w:color="auto"/>
          </w:divBdr>
        </w:div>
        <w:div w:id="1302215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EB8C-CE43-4FE2-8F9C-ED04C0C6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Vicki</dc:creator>
  <cp:lastModifiedBy>BUTLER, Vicki</cp:lastModifiedBy>
  <cp:revision>3</cp:revision>
  <cp:lastPrinted>2018-07-20T14:50:00Z</cp:lastPrinted>
  <dcterms:created xsi:type="dcterms:W3CDTF">2020-07-28T13:57:00Z</dcterms:created>
  <dcterms:modified xsi:type="dcterms:W3CDTF">2020-07-28T15:34:00Z</dcterms:modified>
</cp:coreProperties>
</file>