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FA7A4" w14:textId="77777777" w:rsidR="00B85FD5" w:rsidRDefault="00B65605" w:rsidP="00B530D1">
      <w:pPr>
        <w:rPr>
          <w:sz w:val="28"/>
          <w:szCs w:val="28"/>
        </w:rPr>
      </w:pPr>
      <w:r w:rsidRPr="00C07161">
        <w:rPr>
          <w:sz w:val="28"/>
          <w:szCs w:val="28"/>
        </w:rPr>
        <w:t xml:space="preserve"> </w:t>
      </w:r>
      <w:r w:rsidR="0061593C">
        <w:rPr>
          <w:noProof/>
          <w:lang w:eastAsia="en-GB"/>
        </w:rPr>
        <w:drawing>
          <wp:inline distT="0" distB="0" distL="0" distR="0" wp14:anchorId="182B5A92" wp14:editId="523E4C0F">
            <wp:extent cx="2162175" cy="333375"/>
            <wp:effectExtent l="0" t="0" r="9525" b="9525"/>
            <wp:docPr id="1" name="Picture 1" descr="cid:image001.jpg@01D64888.F37E6F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64888.F37E6F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F077B" w14:textId="77777777" w:rsidR="0061593C" w:rsidRDefault="0061593C" w:rsidP="00B530D1">
      <w:pPr>
        <w:rPr>
          <w:sz w:val="28"/>
          <w:szCs w:val="28"/>
        </w:rPr>
      </w:pPr>
    </w:p>
    <w:p w14:paraId="4A4EEFC5" w14:textId="77777777" w:rsidR="00B377FC" w:rsidRPr="0061593C" w:rsidRDefault="00D334A6" w:rsidP="0061593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Viability Assessment</w:t>
      </w:r>
      <w:r w:rsidR="00B65605" w:rsidRPr="0061593C">
        <w:rPr>
          <w:b/>
          <w:sz w:val="28"/>
          <w:szCs w:val="28"/>
          <w:u w:val="single"/>
        </w:rPr>
        <w:t>:</w:t>
      </w:r>
    </w:p>
    <w:p w14:paraId="51513C98" w14:textId="77777777" w:rsidR="00B85FD5" w:rsidRDefault="00B85FD5" w:rsidP="00B530D1">
      <w:pPr>
        <w:rPr>
          <w:b/>
          <w:u w:val="single"/>
        </w:rPr>
      </w:pPr>
    </w:p>
    <w:p w14:paraId="348E7FDE" w14:textId="77777777" w:rsidR="00761861" w:rsidRPr="00D334A6" w:rsidRDefault="00D334A6" w:rsidP="00B85FD5">
      <w:pPr>
        <w:jc w:val="both"/>
        <w:rPr>
          <w:b/>
          <w:szCs w:val="24"/>
        </w:rPr>
      </w:pPr>
      <w:r w:rsidRPr="00D334A6">
        <w:rPr>
          <w:b/>
          <w:szCs w:val="24"/>
        </w:rPr>
        <w:t xml:space="preserve">Referral </w:t>
      </w:r>
      <w:r w:rsidR="00761861" w:rsidRPr="00D334A6">
        <w:rPr>
          <w:b/>
          <w:szCs w:val="24"/>
        </w:rPr>
        <w:t>Process:</w:t>
      </w:r>
    </w:p>
    <w:p w14:paraId="59CC29A9" w14:textId="77777777" w:rsidR="00B85FD5" w:rsidRPr="00C07161" w:rsidRDefault="00B85FD5" w:rsidP="00B530D1">
      <w:pPr>
        <w:rPr>
          <w:b/>
        </w:rPr>
      </w:pPr>
    </w:p>
    <w:p w14:paraId="08671336" w14:textId="77777777" w:rsidR="00385696" w:rsidRDefault="00131423" w:rsidP="00B85FD5">
      <w:pPr>
        <w:pStyle w:val="ListParagraph"/>
        <w:numPr>
          <w:ilvl w:val="0"/>
          <w:numId w:val="9"/>
        </w:numPr>
        <w:jc w:val="both"/>
      </w:pPr>
      <w:r>
        <w:t>Having identified the need for a Viability Assessment, t</w:t>
      </w:r>
      <w:r w:rsidR="00B65605" w:rsidRPr="00761861">
        <w:t>he child’s social worker</w:t>
      </w:r>
      <w:r w:rsidR="00AC209F">
        <w:t xml:space="preserve"> </w:t>
      </w:r>
      <w:r w:rsidR="00AC209F" w:rsidRPr="00761861">
        <w:t>should</w:t>
      </w:r>
      <w:r w:rsidR="00B65605" w:rsidRPr="00761861">
        <w:t xml:space="preserve"> </w:t>
      </w:r>
      <w:r w:rsidR="00385696">
        <w:t xml:space="preserve">raise the IVA </w:t>
      </w:r>
      <w:r>
        <w:t xml:space="preserve">form </w:t>
      </w:r>
      <w:r w:rsidR="00385696">
        <w:t>on L</w:t>
      </w:r>
      <w:r w:rsidR="009E0D89">
        <w:t xml:space="preserve">iquid </w:t>
      </w:r>
      <w:r w:rsidR="00385696">
        <w:t>L</w:t>
      </w:r>
      <w:r w:rsidR="009E0D89">
        <w:t>ogic</w:t>
      </w:r>
      <w:r w:rsidR="00385696">
        <w:t xml:space="preserve"> for each child.  </w:t>
      </w:r>
    </w:p>
    <w:p w14:paraId="7558B7C9" w14:textId="77777777" w:rsidR="00525BA7" w:rsidRDefault="00525BA7" w:rsidP="00B85FD5">
      <w:pPr>
        <w:pStyle w:val="ListParagraph"/>
        <w:jc w:val="both"/>
      </w:pPr>
    </w:p>
    <w:p w14:paraId="678F8A8F" w14:textId="77777777" w:rsidR="00131423" w:rsidRDefault="00AC209F" w:rsidP="00AC209F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proofErr w:type="spellStart"/>
      <w:r>
        <w:t>csw</w:t>
      </w:r>
      <w:proofErr w:type="spellEnd"/>
      <w:r w:rsidR="00385696">
        <w:t xml:space="preserve"> should </w:t>
      </w:r>
      <w:r w:rsidR="00D334A6">
        <w:t xml:space="preserve">then </w:t>
      </w:r>
      <w:r w:rsidR="00385696">
        <w:t xml:space="preserve">email the referral </w:t>
      </w:r>
      <w:r w:rsidR="00525BA7">
        <w:t xml:space="preserve">request </w:t>
      </w:r>
      <w:r w:rsidR="0061593C">
        <w:t>for a joint visit</w:t>
      </w:r>
      <w:r w:rsidR="00385696">
        <w:t xml:space="preserve"> to the </w:t>
      </w:r>
      <w:r w:rsidR="00525BA7">
        <w:t xml:space="preserve">RTA </w:t>
      </w:r>
      <w:r w:rsidR="00131423">
        <w:t>fostering t</w:t>
      </w:r>
      <w:r w:rsidR="00525BA7">
        <w:t>eam</w:t>
      </w:r>
      <w:r w:rsidR="00385696">
        <w:t xml:space="preserve"> manager, </w:t>
      </w:r>
      <w:hyperlink r:id="rId11" w:history="1">
        <w:r w:rsidR="00525BA7" w:rsidRPr="0082191F">
          <w:rPr>
            <w:rStyle w:val="Hyperlink"/>
          </w:rPr>
          <w:t>vanessa.maguire@torbay.gov.uk</w:t>
        </w:r>
      </w:hyperlink>
      <w:r w:rsidR="00131423">
        <w:t xml:space="preserve">.  </w:t>
      </w:r>
      <w:r w:rsidR="00761861">
        <w:t>Please note that the RT</w:t>
      </w:r>
      <w:r w:rsidR="00C335FD">
        <w:t>A f</w:t>
      </w:r>
      <w:r w:rsidR="00B65605" w:rsidRPr="00761861">
        <w:t>ostering team hold these viability assessments on Duty</w:t>
      </w:r>
      <w:r w:rsidR="00525BA7">
        <w:t>,</w:t>
      </w:r>
      <w:r w:rsidR="00131423">
        <w:t xml:space="preserve"> so the</w:t>
      </w:r>
      <w:r w:rsidR="00B65605" w:rsidRPr="00761861">
        <w:t xml:space="preserve"> basic information </w:t>
      </w:r>
      <w:r w:rsidR="00D334A6">
        <w:t xml:space="preserve">in the table </w:t>
      </w:r>
      <w:r w:rsidR="00525BA7">
        <w:t xml:space="preserve">below </w:t>
      </w:r>
      <w:r w:rsidR="00B65605" w:rsidRPr="00761861">
        <w:t xml:space="preserve">is required when making a referral.  </w:t>
      </w:r>
      <w:r>
        <w:t xml:space="preserve">Please do not book a </w:t>
      </w:r>
      <w:r w:rsidR="00D334A6">
        <w:t xml:space="preserve">definite </w:t>
      </w:r>
      <w:r>
        <w:t>date for the IVA, as whilst w</w:t>
      </w:r>
      <w:r w:rsidR="00B65605" w:rsidRPr="00761861">
        <w:t xml:space="preserve">e will always endeavour to </w:t>
      </w:r>
      <w:r w:rsidR="00761861" w:rsidRPr="00761861">
        <w:t>accommodate the time and date you require</w:t>
      </w:r>
      <w:r>
        <w:t>,</w:t>
      </w:r>
      <w:r w:rsidR="00761861">
        <w:t xml:space="preserve"> we often have more than one D</w:t>
      </w:r>
      <w:r w:rsidR="00525BA7">
        <w:t>uty task per day to undertake</w:t>
      </w:r>
      <w:r>
        <w:t>, so this needs to be negotiated and agreed with the team manager.</w:t>
      </w:r>
    </w:p>
    <w:p w14:paraId="08C38990" w14:textId="77777777" w:rsidR="00AC209F" w:rsidRDefault="00AC209F" w:rsidP="00AC209F">
      <w:pPr>
        <w:pStyle w:val="ListParagraph"/>
        <w:jc w:val="both"/>
      </w:pPr>
    </w:p>
    <w:p w14:paraId="50810538" w14:textId="77777777" w:rsidR="00761861" w:rsidRDefault="00525BA7" w:rsidP="00B85FD5">
      <w:pPr>
        <w:pStyle w:val="ListParagraph"/>
        <w:numPr>
          <w:ilvl w:val="0"/>
          <w:numId w:val="9"/>
        </w:numPr>
        <w:jc w:val="both"/>
      </w:pPr>
      <w:r>
        <w:t>O</w:t>
      </w:r>
      <w:r w:rsidR="00AC209F">
        <w:t xml:space="preserve">nce the </w:t>
      </w:r>
      <w:proofErr w:type="spellStart"/>
      <w:r w:rsidR="00AC209F">
        <w:t>csw</w:t>
      </w:r>
      <w:r>
        <w:t>’s</w:t>
      </w:r>
      <w:proofErr w:type="spellEnd"/>
      <w:r>
        <w:t xml:space="preserve"> </w:t>
      </w:r>
      <w:r w:rsidR="00761861">
        <w:t xml:space="preserve">referral </w:t>
      </w:r>
      <w:r>
        <w:t xml:space="preserve">is received </w:t>
      </w:r>
      <w:r w:rsidR="00761861">
        <w:t xml:space="preserve">and the visit is booked, </w:t>
      </w:r>
      <w:r w:rsidR="00385696">
        <w:t>they</w:t>
      </w:r>
      <w:r>
        <w:t xml:space="preserve"> </w:t>
      </w:r>
      <w:r w:rsidR="00131423">
        <w:t xml:space="preserve">will be told who the </w:t>
      </w:r>
      <w:r>
        <w:t>fostering duty worker</w:t>
      </w:r>
      <w:r w:rsidR="00385696">
        <w:t xml:space="preserve"> </w:t>
      </w:r>
      <w:r w:rsidR="00131423">
        <w:t>is &amp; aske</w:t>
      </w:r>
      <w:r w:rsidR="00E655A7">
        <w:t>d</w:t>
      </w:r>
      <w:r w:rsidR="00131423">
        <w:t xml:space="preserve"> to send them </w:t>
      </w:r>
      <w:r w:rsidR="00385696">
        <w:t>a Teams invite</w:t>
      </w:r>
      <w:r w:rsidR="00131423">
        <w:t>,</w:t>
      </w:r>
      <w:r w:rsidR="001936F1">
        <w:t xml:space="preserve"> as they will be attending the meeting virtually</w:t>
      </w:r>
      <w:r w:rsidR="00385696">
        <w:t xml:space="preserve">.  </w:t>
      </w:r>
      <w:r w:rsidR="006D25C9">
        <w:t>It is good practise that a</w:t>
      </w:r>
      <w:r w:rsidR="00761861">
        <w:t>ny further information that will be useful to know when undertaking this joint assessment</w:t>
      </w:r>
      <w:r w:rsidR="00385696">
        <w:t xml:space="preserve"> should be shared </w:t>
      </w:r>
      <w:r w:rsidR="004F0FCB">
        <w:t xml:space="preserve">between social worker’s </w:t>
      </w:r>
      <w:r w:rsidR="00385696">
        <w:t>at this point</w:t>
      </w:r>
      <w:r w:rsidR="00761861">
        <w:t>.</w:t>
      </w:r>
    </w:p>
    <w:p w14:paraId="00B2201F" w14:textId="77777777" w:rsidR="00525BA7" w:rsidRDefault="00525BA7" w:rsidP="00B85FD5">
      <w:pPr>
        <w:pStyle w:val="ListParagraph"/>
        <w:jc w:val="both"/>
      </w:pPr>
    </w:p>
    <w:p w14:paraId="4C86F285" w14:textId="77777777" w:rsidR="00761861" w:rsidRDefault="006D25C9" w:rsidP="00B85FD5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proofErr w:type="spellStart"/>
      <w:r>
        <w:t>csw</w:t>
      </w:r>
      <w:proofErr w:type="spellEnd"/>
      <w:r w:rsidR="001936F1">
        <w:t xml:space="preserve"> completes</w:t>
      </w:r>
      <w:r w:rsidR="00761861">
        <w:t xml:space="preserve"> their section</w:t>
      </w:r>
      <w:r w:rsidR="001936F1">
        <w:t>s</w:t>
      </w:r>
      <w:r w:rsidR="00761861">
        <w:t xml:space="preserve"> </w:t>
      </w:r>
      <w:r w:rsidR="00525BA7">
        <w:t xml:space="preserve">of the IVA on LL </w:t>
      </w:r>
      <w:r w:rsidR="00243120">
        <w:t xml:space="preserve">first, </w:t>
      </w:r>
      <w:r w:rsidR="00525BA7">
        <w:t xml:space="preserve">&amp; </w:t>
      </w:r>
      <w:r w:rsidR="00243120">
        <w:t xml:space="preserve">then </w:t>
      </w:r>
      <w:r w:rsidR="00525BA7">
        <w:t>follow</w:t>
      </w:r>
      <w:r>
        <w:t>s</w:t>
      </w:r>
      <w:r w:rsidR="00525BA7">
        <w:t xml:space="preserve"> the pathway</w:t>
      </w:r>
      <w:r>
        <w:t xml:space="preserve"> instruction</w:t>
      </w:r>
      <w:r w:rsidR="001936F1">
        <w:t>,</w:t>
      </w:r>
      <w:r w:rsidR="00525BA7">
        <w:t xml:space="preserve"> which will send</w:t>
      </w:r>
      <w:r w:rsidR="00D334A6">
        <w:t xml:space="preserve"> (not assign</w:t>
      </w:r>
      <w:r w:rsidR="009E0D89">
        <w:t>) it</w:t>
      </w:r>
      <w:r w:rsidR="00761861">
        <w:t xml:space="preserve"> to the Duty </w:t>
      </w:r>
      <w:r>
        <w:t xml:space="preserve">social </w:t>
      </w:r>
      <w:r w:rsidR="00761861">
        <w:t>worker</w:t>
      </w:r>
      <w:r w:rsidR="004F0FCB">
        <w:t xml:space="preserve"> for</w:t>
      </w:r>
      <w:r w:rsidR="00525BA7">
        <w:t xml:space="preserve"> them to complete their part</w:t>
      </w:r>
      <w:r w:rsidR="00761861">
        <w:t xml:space="preserve">.  Once </w:t>
      </w:r>
      <w:r w:rsidR="004F0FCB">
        <w:t xml:space="preserve">fully completed </w:t>
      </w:r>
      <w:r w:rsidR="001936F1">
        <w:t xml:space="preserve">(within no longer than 5 working days) </w:t>
      </w:r>
      <w:r w:rsidR="004F0FCB">
        <w:t xml:space="preserve">the </w:t>
      </w:r>
      <w:proofErr w:type="spellStart"/>
      <w:r w:rsidR="00AC209F">
        <w:t>csw</w:t>
      </w:r>
      <w:proofErr w:type="spellEnd"/>
      <w:r w:rsidR="00131423">
        <w:t xml:space="preserve"> follows the pathway which will</w:t>
      </w:r>
      <w:r w:rsidR="001936F1">
        <w:t xml:space="preserve"> direct them to send the IVA to </w:t>
      </w:r>
      <w:r w:rsidR="00761861">
        <w:t>their manager to authorise</w:t>
      </w:r>
      <w:r w:rsidR="001936F1">
        <w:t>.</w:t>
      </w:r>
      <w:r w:rsidR="00B85FD5">
        <w:t xml:space="preserve">  Please note if a Reg</w:t>
      </w:r>
      <w:r w:rsidR="00AC209F">
        <w:t>ulation</w:t>
      </w:r>
      <w:r w:rsidR="00B85FD5">
        <w:t xml:space="preserve"> 24 arrangement is being proposed this will need to be authorised by the Head of Service on LL.</w:t>
      </w:r>
      <w:r w:rsidR="001936F1">
        <w:t xml:space="preserve">  T</w:t>
      </w:r>
      <w:r w:rsidR="00761861">
        <w:t xml:space="preserve">he </w:t>
      </w:r>
      <w:r w:rsidR="00D334A6">
        <w:t xml:space="preserve">IVA </w:t>
      </w:r>
      <w:r w:rsidR="00761861">
        <w:t xml:space="preserve">form will </w:t>
      </w:r>
      <w:r w:rsidR="001936F1">
        <w:t xml:space="preserve">then </w:t>
      </w:r>
      <w:r w:rsidR="00761861">
        <w:t>aut</w:t>
      </w:r>
      <w:r w:rsidR="00525BA7">
        <w:t>omatically move fro</w:t>
      </w:r>
      <w:r w:rsidR="00761861">
        <w:t>m Draft to Completed on the system.</w:t>
      </w:r>
    </w:p>
    <w:p w14:paraId="7012A711" w14:textId="77777777" w:rsidR="006D25C9" w:rsidRDefault="006D25C9" w:rsidP="006D25C9">
      <w:pPr>
        <w:pStyle w:val="ListParagraph"/>
      </w:pPr>
    </w:p>
    <w:p w14:paraId="16A018CF" w14:textId="77777777" w:rsidR="00516D13" w:rsidRDefault="006D25C9" w:rsidP="00516D13">
      <w:pPr>
        <w:pStyle w:val="ListParagraph"/>
        <w:numPr>
          <w:ilvl w:val="0"/>
          <w:numId w:val="9"/>
        </w:numPr>
        <w:jc w:val="both"/>
      </w:pPr>
      <w:r>
        <w:t xml:space="preserve">The outcome of the IVA should </w:t>
      </w:r>
      <w:r w:rsidR="00D334A6">
        <w:t xml:space="preserve">then </w:t>
      </w:r>
      <w:r>
        <w:t xml:space="preserve">be shared with the applicant/s by the </w:t>
      </w:r>
      <w:proofErr w:type="spellStart"/>
      <w:r>
        <w:t>csw</w:t>
      </w:r>
      <w:proofErr w:type="spellEnd"/>
      <w:r>
        <w:t>.</w:t>
      </w:r>
    </w:p>
    <w:p w14:paraId="16E48AC1" w14:textId="77777777" w:rsidR="009E0D89" w:rsidRDefault="009E0D89" w:rsidP="009E0D89">
      <w:pPr>
        <w:pStyle w:val="ListParagraph"/>
      </w:pPr>
    </w:p>
    <w:p w14:paraId="58ABC183" w14:textId="77777777" w:rsidR="009E0D89" w:rsidRDefault="009E0D89" w:rsidP="009E0D89">
      <w:pPr>
        <w:pStyle w:val="ListParagraph"/>
        <w:jc w:val="both"/>
      </w:pPr>
    </w:p>
    <w:p w14:paraId="502BAFA8" w14:textId="77777777" w:rsidR="0061593C" w:rsidRDefault="00E655A7" w:rsidP="0061593C">
      <w:pPr>
        <w:pStyle w:val="ListParagraph"/>
        <w:numPr>
          <w:ilvl w:val="0"/>
          <w:numId w:val="9"/>
        </w:numPr>
        <w:jc w:val="both"/>
      </w:pPr>
      <w:r>
        <w:t xml:space="preserve">The </w:t>
      </w:r>
      <w:r w:rsidR="009E0D89">
        <w:t>d</w:t>
      </w:r>
      <w:r w:rsidR="006D25C9">
        <w:t xml:space="preserve">uty social worker will inform the fostering TM of the </w:t>
      </w:r>
      <w:r>
        <w:t xml:space="preserve">outcome of the IVA </w:t>
      </w:r>
      <w:r w:rsidR="006D25C9">
        <w:t>and they</w:t>
      </w:r>
      <w:r>
        <w:t xml:space="preserve"> will record this on the Assessment Tracker.  </w:t>
      </w:r>
      <w:r w:rsidR="00385696">
        <w:t xml:space="preserve">If the IVA is positive </w:t>
      </w:r>
      <w:r w:rsidR="0061593C">
        <w:t>the f</w:t>
      </w:r>
      <w:r>
        <w:t xml:space="preserve">ostering TM will allocate the </w:t>
      </w:r>
      <w:r w:rsidR="00761861">
        <w:t>fu</w:t>
      </w:r>
      <w:r>
        <w:t xml:space="preserve">ll assessment </w:t>
      </w:r>
      <w:r w:rsidR="0096535D">
        <w:t>to a fostering social worker.</w:t>
      </w:r>
    </w:p>
    <w:p w14:paraId="36FE9D8B" w14:textId="77777777" w:rsidR="0096535D" w:rsidRDefault="0096535D" w:rsidP="0096535D">
      <w:pPr>
        <w:pStyle w:val="ListParagraph"/>
        <w:jc w:val="both"/>
      </w:pPr>
    </w:p>
    <w:p w14:paraId="60EEAB58" w14:textId="77777777" w:rsidR="0061593C" w:rsidRDefault="00AC209F" w:rsidP="006D25C9">
      <w:pPr>
        <w:pStyle w:val="ListParagraph"/>
        <w:numPr>
          <w:ilvl w:val="0"/>
          <w:numId w:val="9"/>
        </w:numPr>
        <w:jc w:val="both"/>
      </w:pPr>
      <w:r>
        <w:t>The allocated a</w:t>
      </w:r>
      <w:r w:rsidR="0061593C">
        <w:t xml:space="preserve">ssessing </w:t>
      </w:r>
      <w:r>
        <w:t>s</w:t>
      </w:r>
      <w:r w:rsidR="0061593C">
        <w:t xml:space="preserve">ocial </w:t>
      </w:r>
      <w:r>
        <w:t>w</w:t>
      </w:r>
      <w:r w:rsidR="0096535D">
        <w:t>orker</w:t>
      </w:r>
      <w:r w:rsidR="0061593C">
        <w:t xml:space="preserve"> will send </w:t>
      </w:r>
      <w:r w:rsidR="0096535D">
        <w:t>confirmation</w:t>
      </w:r>
      <w:r w:rsidR="0061593C">
        <w:t xml:space="preserve"> of the following</w:t>
      </w:r>
      <w:r w:rsidR="009E0D89">
        <w:t>,</w:t>
      </w:r>
      <w:r w:rsidR="006D25C9">
        <w:t xml:space="preserve"> via email</w:t>
      </w:r>
      <w:r>
        <w:t xml:space="preserve"> to the </w:t>
      </w:r>
      <w:proofErr w:type="spellStart"/>
      <w:r>
        <w:t>csw</w:t>
      </w:r>
      <w:proofErr w:type="spellEnd"/>
      <w:r w:rsidR="006D25C9">
        <w:t xml:space="preserve"> within one</w:t>
      </w:r>
      <w:r w:rsidR="0061593C">
        <w:t xml:space="preserve"> week of allocation:</w:t>
      </w:r>
    </w:p>
    <w:p w14:paraId="3F30449B" w14:textId="77777777" w:rsidR="0096535D" w:rsidRDefault="0096535D" w:rsidP="0096535D">
      <w:pPr>
        <w:pStyle w:val="ListParagraph"/>
      </w:pPr>
      <w:r>
        <w:t>Clarification of the sections of the assessment to be completed by the CSW</w:t>
      </w:r>
    </w:p>
    <w:p w14:paraId="39C4CEE4" w14:textId="77777777" w:rsidR="0061593C" w:rsidRDefault="0061593C" w:rsidP="0096535D">
      <w:pPr>
        <w:pStyle w:val="ListParagraph"/>
        <w:jc w:val="both"/>
      </w:pPr>
      <w:r>
        <w:t>Legal filling dates</w:t>
      </w:r>
    </w:p>
    <w:p w14:paraId="4E41DFD6" w14:textId="77777777" w:rsidR="0061593C" w:rsidRDefault="0061593C" w:rsidP="0096535D">
      <w:pPr>
        <w:pStyle w:val="ListParagraph"/>
        <w:jc w:val="both"/>
      </w:pPr>
      <w:r>
        <w:t>F</w:t>
      </w:r>
      <w:r w:rsidR="0096535D">
        <w:t>ostering</w:t>
      </w:r>
      <w:r>
        <w:t xml:space="preserve"> panel filing </w:t>
      </w:r>
      <w:r w:rsidR="00AC209F">
        <w:t>and panel dates -</w:t>
      </w:r>
      <w:r w:rsidR="0096535D">
        <w:t xml:space="preserve"> if applicable</w:t>
      </w:r>
    </w:p>
    <w:p w14:paraId="5034FADE" w14:textId="77777777" w:rsidR="0061593C" w:rsidRDefault="0061593C" w:rsidP="0096535D">
      <w:pPr>
        <w:pStyle w:val="ListParagraph"/>
        <w:jc w:val="both"/>
      </w:pPr>
      <w:r>
        <w:t>Midpoint review meeting</w:t>
      </w:r>
      <w:r w:rsidR="0096535D">
        <w:t xml:space="preserve"> date</w:t>
      </w:r>
    </w:p>
    <w:p w14:paraId="1B890698" w14:textId="77777777" w:rsidR="006D25C9" w:rsidRDefault="0061593C" w:rsidP="0096535D">
      <w:pPr>
        <w:pStyle w:val="ListParagraph"/>
        <w:jc w:val="both"/>
      </w:pPr>
      <w:r>
        <w:t xml:space="preserve">SGO </w:t>
      </w:r>
      <w:r w:rsidR="006D25C9">
        <w:t>support plan template</w:t>
      </w:r>
    </w:p>
    <w:p w14:paraId="72CEB6EE" w14:textId="77777777" w:rsidR="0096535D" w:rsidRDefault="006D25C9" w:rsidP="006D25C9">
      <w:pPr>
        <w:pStyle w:val="ListParagraph"/>
        <w:jc w:val="both"/>
      </w:pPr>
      <w:r>
        <w:t>P</w:t>
      </w:r>
      <w:r w:rsidR="0061593C">
        <w:t>ost Order</w:t>
      </w:r>
      <w:r w:rsidR="0096535D">
        <w:t xml:space="preserve"> support</w:t>
      </w:r>
      <w:r w:rsidR="0061593C">
        <w:t xml:space="preserve"> leaflet info</w:t>
      </w:r>
      <w:r w:rsidR="0096535D">
        <w:t>.</w:t>
      </w:r>
    </w:p>
    <w:p w14:paraId="7F4CADC3" w14:textId="77777777" w:rsidR="00B85FD5" w:rsidRDefault="00B85FD5" w:rsidP="00E655A7">
      <w:pPr>
        <w:pStyle w:val="ListParagraph"/>
      </w:pPr>
    </w:p>
    <w:p w14:paraId="3BB301DC" w14:textId="77777777" w:rsidR="00B85FD5" w:rsidRDefault="0061593C" w:rsidP="00AC209F">
      <w:pPr>
        <w:pStyle w:val="ListParagraph"/>
      </w:pPr>
      <w:r>
        <w:rPr>
          <w:noProof/>
          <w:lang w:eastAsia="en-GB"/>
        </w:rPr>
        <w:drawing>
          <wp:inline distT="0" distB="0" distL="0" distR="0" wp14:anchorId="3AF8BE0E" wp14:editId="739FFA6C">
            <wp:extent cx="2162175" cy="333375"/>
            <wp:effectExtent l="0" t="0" r="9525" b="9525"/>
            <wp:docPr id="2" name="Picture 2" descr="cid:image001.jpg@01D64888.F37E6F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D64888.F37E6F7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B1DAD" w14:textId="77777777" w:rsidR="006D25C9" w:rsidRPr="00761861" w:rsidRDefault="006D25C9" w:rsidP="00AC209F">
      <w:pPr>
        <w:pStyle w:val="ListParagraph"/>
      </w:pPr>
    </w:p>
    <w:p w14:paraId="0B8E5E00" w14:textId="77777777" w:rsidR="006D25C9" w:rsidRPr="001209B3" w:rsidRDefault="00B85FD5" w:rsidP="00B530D1">
      <w:pPr>
        <w:rPr>
          <w:b/>
          <w:sz w:val="28"/>
          <w:szCs w:val="28"/>
        </w:rPr>
      </w:pPr>
      <w:r w:rsidRPr="001209B3">
        <w:rPr>
          <w:b/>
          <w:sz w:val="28"/>
          <w:szCs w:val="28"/>
        </w:rPr>
        <w:t>IVA Referral</w:t>
      </w:r>
      <w:r w:rsidR="004F0FCB" w:rsidRPr="001209B3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547"/>
      </w:tblGrid>
      <w:tr w:rsidR="00B85FD5" w14:paraId="708CE612" w14:textId="77777777" w:rsidTr="00751235">
        <w:tc>
          <w:tcPr>
            <w:tcW w:w="2547" w:type="dxa"/>
          </w:tcPr>
          <w:p w14:paraId="6FB8EBE8" w14:textId="77777777" w:rsidR="009E0D89" w:rsidRDefault="009E0D89" w:rsidP="001936F1">
            <w:pPr>
              <w:rPr>
                <w:b/>
              </w:rPr>
            </w:pPr>
          </w:p>
          <w:p w14:paraId="243F0F2E" w14:textId="77777777" w:rsidR="0096535D" w:rsidRDefault="00B85FD5" w:rsidP="001936F1">
            <w:pPr>
              <w:rPr>
                <w:b/>
              </w:rPr>
            </w:pPr>
            <w:r>
              <w:rPr>
                <w:b/>
              </w:rPr>
              <w:t>Proposed  date &amp; time of IVA meeting</w:t>
            </w:r>
            <w:r w:rsidR="00AC209F">
              <w:rPr>
                <w:b/>
              </w:rPr>
              <w:t>:</w:t>
            </w:r>
          </w:p>
          <w:p w14:paraId="223620C5" w14:textId="77777777" w:rsidR="009E0D89" w:rsidRDefault="009E0D89" w:rsidP="001936F1">
            <w:pPr>
              <w:rPr>
                <w:b/>
              </w:rPr>
            </w:pPr>
          </w:p>
        </w:tc>
        <w:tc>
          <w:tcPr>
            <w:tcW w:w="2547" w:type="dxa"/>
          </w:tcPr>
          <w:p w14:paraId="1193DCDE" w14:textId="77777777" w:rsidR="00B85FD5" w:rsidRDefault="00B85FD5" w:rsidP="001936F1">
            <w:pPr>
              <w:rPr>
                <w:b/>
              </w:rPr>
            </w:pPr>
          </w:p>
        </w:tc>
      </w:tr>
      <w:tr w:rsidR="00B85FD5" w14:paraId="53D2EEE6" w14:textId="77777777" w:rsidTr="00751235">
        <w:tc>
          <w:tcPr>
            <w:tcW w:w="2547" w:type="dxa"/>
          </w:tcPr>
          <w:p w14:paraId="68632DEF" w14:textId="77777777" w:rsidR="006D25C9" w:rsidRDefault="009E0D89" w:rsidP="001936F1">
            <w:pPr>
              <w:rPr>
                <w:b/>
              </w:rPr>
            </w:pPr>
            <w:r>
              <w:rPr>
                <w:b/>
              </w:rPr>
              <w:t>Applicants details:</w:t>
            </w:r>
          </w:p>
          <w:p w14:paraId="3FE60B28" w14:textId="77777777" w:rsidR="009E0D89" w:rsidRDefault="009E0D89" w:rsidP="001936F1">
            <w:pPr>
              <w:rPr>
                <w:b/>
              </w:rPr>
            </w:pPr>
          </w:p>
          <w:p w14:paraId="7746D57E" w14:textId="77777777" w:rsidR="009E0D89" w:rsidRDefault="009E0D89" w:rsidP="001936F1">
            <w:pPr>
              <w:rPr>
                <w:b/>
              </w:rPr>
            </w:pPr>
          </w:p>
          <w:p w14:paraId="73794C6A" w14:textId="77777777" w:rsidR="00AC209F" w:rsidRDefault="006D25C9" w:rsidP="001936F1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0F757246" w14:textId="77777777" w:rsidR="009E0D89" w:rsidRDefault="009E0D89" w:rsidP="001936F1">
            <w:pPr>
              <w:rPr>
                <w:b/>
              </w:rPr>
            </w:pPr>
          </w:p>
          <w:p w14:paraId="27ADB355" w14:textId="77777777" w:rsidR="006D25C9" w:rsidRDefault="006D25C9" w:rsidP="001936F1">
            <w:pPr>
              <w:rPr>
                <w:b/>
              </w:rPr>
            </w:pPr>
          </w:p>
          <w:p w14:paraId="4DC59DCB" w14:textId="77777777" w:rsidR="00AC209F" w:rsidRDefault="00AC209F" w:rsidP="001936F1">
            <w:pPr>
              <w:rPr>
                <w:b/>
              </w:rPr>
            </w:pPr>
            <w:r>
              <w:rPr>
                <w:b/>
              </w:rPr>
              <w:t>Mobile:</w:t>
            </w:r>
          </w:p>
          <w:p w14:paraId="31434D63" w14:textId="77777777" w:rsidR="009E0D89" w:rsidRDefault="009E0D89" w:rsidP="001936F1">
            <w:pPr>
              <w:rPr>
                <w:b/>
              </w:rPr>
            </w:pPr>
          </w:p>
          <w:p w14:paraId="7DFCA43B" w14:textId="77777777" w:rsidR="00AC209F" w:rsidRDefault="00AC209F" w:rsidP="001936F1">
            <w:pPr>
              <w:rPr>
                <w:b/>
              </w:rPr>
            </w:pPr>
          </w:p>
          <w:p w14:paraId="60356065" w14:textId="77777777" w:rsidR="00AC209F" w:rsidRDefault="00AC209F" w:rsidP="001936F1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7ABFF15B" w14:textId="77777777" w:rsidR="009E0D89" w:rsidRDefault="009E0D89" w:rsidP="001936F1">
            <w:pPr>
              <w:rPr>
                <w:b/>
              </w:rPr>
            </w:pPr>
          </w:p>
          <w:p w14:paraId="309B3B20" w14:textId="77777777" w:rsidR="00AC209F" w:rsidRDefault="00AC209F" w:rsidP="001936F1">
            <w:pPr>
              <w:rPr>
                <w:b/>
              </w:rPr>
            </w:pPr>
          </w:p>
          <w:p w14:paraId="4E381942" w14:textId="77777777" w:rsidR="00AC209F" w:rsidRDefault="00AC209F" w:rsidP="001936F1">
            <w:pPr>
              <w:rPr>
                <w:b/>
              </w:rPr>
            </w:pPr>
            <w:r>
              <w:rPr>
                <w:b/>
              </w:rPr>
              <w:t>Address</w:t>
            </w:r>
          </w:p>
          <w:p w14:paraId="592DE2A0" w14:textId="77777777" w:rsidR="006D25C9" w:rsidRDefault="006D25C9" w:rsidP="001936F1">
            <w:pPr>
              <w:rPr>
                <w:b/>
              </w:rPr>
            </w:pPr>
          </w:p>
          <w:p w14:paraId="505BF24F" w14:textId="77777777" w:rsidR="009E0D89" w:rsidRDefault="009E0D89" w:rsidP="001936F1">
            <w:pPr>
              <w:rPr>
                <w:b/>
              </w:rPr>
            </w:pPr>
          </w:p>
          <w:p w14:paraId="726BA6E6" w14:textId="77777777" w:rsidR="009E0D89" w:rsidRDefault="009E0D89" w:rsidP="001936F1">
            <w:pPr>
              <w:rPr>
                <w:b/>
              </w:rPr>
            </w:pPr>
          </w:p>
          <w:p w14:paraId="26EEBC78" w14:textId="77777777" w:rsidR="009E0D89" w:rsidRDefault="009E0D89" w:rsidP="001936F1">
            <w:pPr>
              <w:rPr>
                <w:b/>
              </w:rPr>
            </w:pPr>
          </w:p>
        </w:tc>
        <w:tc>
          <w:tcPr>
            <w:tcW w:w="2547" w:type="dxa"/>
          </w:tcPr>
          <w:p w14:paraId="2FC10543" w14:textId="77777777" w:rsidR="00B85FD5" w:rsidRDefault="00B85FD5" w:rsidP="001936F1">
            <w:pPr>
              <w:rPr>
                <w:b/>
              </w:rPr>
            </w:pPr>
          </w:p>
          <w:p w14:paraId="1AF3A1A0" w14:textId="77777777" w:rsidR="001209B3" w:rsidRDefault="001209B3" w:rsidP="001936F1">
            <w:pPr>
              <w:rPr>
                <w:b/>
              </w:rPr>
            </w:pPr>
          </w:p>
          <w:p w14:paraId="0F8C3924" w14:textId="77777777" w:rsidR="001209B3" w:rsidRDefault="001209B3" w:rsidP="001936F1">
            <w:pPr>
              <w:rPr>
                <w:b/>
              </w:rPr>
            </w:pPr>
          </w:p>
          <w:p w14:paraId="1178CE88" w14:textId="77777777" w:rsidR="001209B3" w:rsidRDefault="001209B3" w:rsidP="001936F1">
            <w:pPr>
              <w:rPr>
                <w:b/>
              </w:rPr>
            </w:pPr>
          </w:p>
          <w:p w14:paraId="6297F093" w14:textId="77777777" w:rsidR="001209B3" w:rsidRDefault="001209B3" w:rsidP="001936F1">
            <w:pPr>
              <w:rPr>
                <w:b/>
              </w:rPr>
            </w:pPr>
          </w:p>
          <w:p w14:paraId="79F527F1" w14:textId="77777777" w:rsidR="001209B3" w:rsidRDefault="001209B3" w:rsidP="001936F1">
            <w:pPr>
              <w:rPr>
                <w:b/>
              </w:rPr>
            </w:pPr>
          </w:p>
          <w:p w14:paraId="4D0A4202" w14:textId="77777777" w:rsidR="001209B3" w:rsidRDefault="001209B3" w:rsidP="001936F1">
            <w:pPr>
              <w:rPr>
                <w:b/>
              </w:rPr>
            </w:pPr>
          </w:p>
          <w:p w14:paraId="1D933180" w14:textId="77777777" w:rsidR="001209B3" w:rsidRDefault="001209B3" w:rsidP="001936F1">
            <w:pPr>
              <w:rPr>
                <w:b/>
              </w:rPr>
            </w:pPr>
          </w:p>
          <w:p w14:paraId="32DECF1F" w14:textId="77777777" w:rsidR="001209B3" w:rsidRDefault="001209B3" w:rsidP="001936F1">
            <w:pPr>
              <w:rPr>
                <w:b/>
              </w:rPr>
            </w:pPr>
          </w:p>
          <w:p w14:paraId="28BCA703" w14:textId="77777777" w:rsidR="001209B3" w:rsidRDefault="001209B3" w:rsidP="001936F1">
            <w:pPr>
              <w:rPr>
                <w:b/>
              </w:rPr>
            </w:pPr>
          </w:p>
          <w:p w14:paraId="685FF441" w14:textId="77777777" w:rsidR="001209B3" w:rsidRDefault="001209B3" w:rsidP="001936F1">
            <w:pPr>
              <w:rPr>
                <w:b/>
              </w:rPr>
            </w:pPr>
          </w:p>
          <w:p w14:paraId="442A5D78" w14:textId="77777777" w:rsidR="001209B3" w:rsidRDefault="001209B3" w:rsidP="001936F1">
            <w:pPr>
              <w:rPr>
                <w:b/>
              </w:rPr>
            </w:pPr>
          </w:p>
          <w:p w14:paraId="2850A81A" w14:textId="77777777" w:rsidR="001209B3" w:rsidRDefault="001209B3" w:rsidP="001936F1">
            <w:pPr>
              <w:rPr>
                <w:b/>
              </w:rPr>
            </w:pPr>
          </w:p>
          <w:p w14:paraId="394DA950" w14:textId="77777777" w:rsidR="001209B3" w:rsidRDefault="001209B3" w:rsidP="001936F1">
            <w:pPr>
              <w:rPr>
                <w:b/>
              </w:rPr>
            </w:pPr>
          </w:p>
          <w:p w14:paraId="736540EB" w14:textId="77777777" w:rsidR="001209B3" w:rsidRDefault="001209B3" w:rsidP="001936F1">
            <w:pPr>
              <w:rPr>
                <w:b/>
              </w:rPr>
            </w:pPr>
          </w:p>
          <w:p w14:paraId="0E7875EE" w14:textId="77777777" w:rsidR="001209B3" w:rsidRDefault="001209B3" w:rsidP="001936F1">
            <w:pPr>
              <w:rPr>
                <w:b/>
              </w:rPr>
            </w:pPr>
          </w:p>
          <w:p w14:paraId="3E50D6FF" w14:textId="77777777" w:rsidR="001209B3" w:rsidRDefault="001209B3" w:rsidP="001936F1">
            <w:pPr>
              <w:rPr>
                <w:b/>
              </w:rPr>
            </w:pPr>
          </w:p>
          <w:p w14:paraId="3E54BC91" w14:textId="77777777" w:rsidR="001209B3" w:rsidRDefault="001209B3" w:rsidP="001936F1">
            <w:pPr>
              <w:rPr>
                <w:b/>
              </w:rPr>
            </w:pPr>
          </w:p>
        </w:tc>
      </w:tr>
      <w:tr w:rsidR="00B85FD5" w14:paraId="12F43D50" w14:textId="77777777" w:rsidTr="00751235">
        <w:tc>
          <w:tcPr>
            <w:tcW w:w="2547" w:type="dxa"/>
          </w:tcPr>
          <w:p w14:paraId="5E23E0CB" w14:textId="77777777" w:rsidR="00B85FD5" w:rsidRDefault="00B85FD5" w:rsidP="001936F1">
            <w:pPr>
              <w:rPr>
                <w:b/>
              </w:rPr>
            </w:pPr>
            <w:r>
              <w:rPr>
                <w:b/>
              </w:rPr>
              <w:t>Name of child</w:t>
            </w:r>
            <w:r w:rsidR="00AC209F">
              <w:rPr>
                <w:b/>
              </w:rPr>
              <w:t>:</w:t>
            </w:r>
          </w:p>
          <w:p w14:paraId="2173B386" w14:textId="77777777" w:rsidR="0096535D" w:rsidRDefault="0096535D" w:rsidP="001936F1">
            <w:pPr>
              <w:rPr>
                <w:b/>
              </w:rPr>
            </w:pPr>
          </w:p>
        </w:tc>
        <w:tc>
          <w:tcPr>
            <w:tcW w:w="2547" w:type="dxa"/>
          </w:tcPr>
          <w:p w14:paraId="6EBAE51B" w14:textId="77777777" w:rsidR="00B85FD5" w:rsidRDefault="00B85FD5" w:rsidP="001936F1">
            <w:pPr>
              <w:rPr>
                <w:b/>
              </w:rPr>
            </w:pPr>
          </w:p>
        </w:tc>
      </w:tr>
      <w:tr w:rsidR="00B85FD5" w14:paraId="6D8D6F5C" w14:textId="77777777" w:rsidTr="00751235">
        <w:tc>
          <w:tcPr>
            <w:tcW w:w="2547" w:type="dxa"/>
          </w:tcPr>
          <w:p w14:paraId="3EE0ED52" w14:textId="77777777" w:rsidR="00B85FD5" w:rsidRPr="00B65605" w:rsidRDefault="00B85FD5" w:rsidP="001936F1">
            <w:pPr>
              <w:rPr>
                <w:b/>
              </w:rPr>
            </w:pPr>
            <w:r>
              <w:rPr>
                <w:b/>
              </w:rPr>
              <w:t xml:space="preserve">Where </w:t>
            </w:r>
            <w:r w:rsidR="006D25C9">
              <w:rPr>
                <w:b/>
              </w:rPr>
              <w:t>and with who</w:t>
            </w:r>
            <w:r w:rsidR="009E0D89">
              <w:rPr>
                <w:b/>
              </w:rPr>
              <w:t>m</w:t>
            </w:r>
            <w:r w:rsidR="006D25C9">
              <w:rPr>
                <w:b/>
              </w:rPr>
              <w:t xml:space="preserve"> </w:t>
            </w:r>
            <w:r>
              <w:rPr>
                <w:b/>
              </w:rPr>
              <w:t>is the child currently living and under what arrangement?</w:t>
            </w:r>
          </w:p>
        </w:tc>
        <w:tc>
          <w:tcPr>
            <w:tcW w:w="2547" w:type="dxa"/>
          </w:tcPr>
          <w:p w14:paraId="55FD32A9" w14:textId="77777777" w:rsidR="00B85FD5" w:rsidRDefault="00B85FD5" w:rsidP="001936F1">
            <w:pPr>
              <w:rPr>
                <w:b/>
              </w:rPr>
            </w:pPr>
          </w:p>
        </w:tc>
      </w:tr>
      <w:tr w:rsidR="00B85FD5" w14:paraId="6AA08F7F" w14:textId="77777777" w:rsidTr="00751235">
        <w:tc>
          <w:tcPr>
            <w:tcW w:w="2547" w:type="dxa"/>
          </w:tcPr>
          <w:p w14:paraId="65F600D3" w14:textId="77777777" w:rsidR="00B85FD5" w:rsidRDefault="00B85FD5" w:rsidP="001936F1">
            <w:pPr>
              <w:rPr>
                <w:b/>
              </w:rPr>
            </w:pPr>
            <w:r>
              <w:rPr>
                <w:b/>
              </w:rPr>
              <w:t>Has the PNC check been received?</w:t>
            </w:r>
          </w:p>
          <w:p w14:paraId="298A87C7" w14:textId="77777777" w:rsidR="00B85FD5" w:rsidRPr="00B65605" w:rsidRDefault="00B85FD5" w:rsidP="001936F1">
            <w:pPr>
              <w:rPr>
                <w:b/>
              </w:rPr>
            </w:pPr>
            <w:r>
              <w:rPr>
                <w:b/>
              </w:rPr>
              <w:t>*When the child is placed</w:t>
            </w:r>
            <w:r w:rsidRPr="00B65605">
              <w:rPr>
                <w:b/>
              </w:rPr>
              <w:t xml:space="preserve"> </w:t>
            </w:r>
            <w:r>
              <w:rPr>
                <w:b/>
              </w:rPr>
              <w:t xml:space="preserve">under Reg 24 the CSW needs to initiate a </w:t>
            </w:r>
            <w:r w:rsidRPr="00B65605">
              <w:rPr>
                <w:b/>
              </w:rPr>
              <w:t xml:space="preserve">PNC check </w:t>
            </w:r>
            <w:r>
              <w:rPr>
                <w:b/>
              </w:rPr>
              <w:t>&amp; share with Duty worker prior to the IVA taking place.</w:t>
            </w:r>
          </w:p>
        </w:tc>
        <w:tc>
          <w:tcPr>
            <w:tcW w:w="2547" w:type="dxa"/>
          </w:tcPr>
          <w:p w14:paraId="4287B110" w14:textId="77777777" w:rsidR="00B85FD5" w:rsidRDefault="00B85FD5" w:rsidP="001936F1">
            <w:pPr>
              <w:rPr>
                <w:b/>
              </w:rPr>
            </w:pPr>
          </w:p>
        </w:tc>
      </w:tr>
    </w:tbl>
    <w:p w14:paraId="2CADEF6D" w14:textId="77777777" w:rsidR="00C07161" w:rsidRDefault="00C07161" w:rsidP="00B530D1">
      <w:pPr>
        <w:rPr>
          <w:b/>
          <w:u w:val="single"/>
        </w:rPr>
      </w:pPr>
    </w:p>
    <w:p w14:paraId="27C6FED8" w14:textId="77777777" w:rsidR="00C07161" w:rsidRPr="00C07161" w:rsidRDefault="00C07161" w:rsidP="00B530D1">
      <w:pPr>
        <w:rPr>
          <w:color w:val="A6A6A6" w:themeColor="background1" w:themeShade="A6"/>
        </w:rPr>
      </w:pPr>
      <w:r w:rsidRPr="00C07161">
        <w:rPr>
          <w:color w:val="A6A6A6" w:themeColor="background1" w:themeShade="A6"/>
        </w:rPr>
        <w:t>IVA referral process – Version 1. - 10/12/21</w:t>
      </w:r>
    </w:p>
    <w:sectPr w:rsidR="00C07161" w:rsidRPr="00C07161" w:rsidSect="000244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F06E" w14:textId="77777777" w:rsidR="0047027F" w:rsidRDefault="0047027F" w:rsidP="008952DF">
      <w:r>
        <w:separator/>
      </w:r>
    </w:p>
  </w:endnote>
  <w:endnote w:type="continuationSeparator" w:id="0">
    <w:p w14:paraId="3E9B6A56" w14:textId="77777777" w:rsidR="0047027F" w:rsidRDefault="0047027F" w:rsidP="0089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8B8F3" w14:textId="77777777" w:rsidR="0002446C" w:rsidRDefault="0002446C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24" w:space="0" w:color="00A74A" w:themeColor="accent3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56"/>
    </w:tblGrid>
    <w:tr w:rsidR="0002446C" w14:paraId="30449B8B" w14:textId="77777777" w:rsidTr="0002446C">
      <w:tc>
        <w:tcPr>
          <w:tcW w:w="10456" w:type="dxa"/>
        </w:tcPr>
        <w:sdt>
          <w:sdtPr>
            <w:id w:val="-518623638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1A8B56B" w14:textId="77777777" w:rsidR="0002446C" w:rsidRDefault="0002446C" w:rsidP="0002446C">
              <w:pPr>
                <w:pStyle w:val="Footer"/>
                <w:jc w:val="cen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9E0D8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sdtContent>
        </w:sdt>
      </w:tc>
    </w:tr>
  </w:tbl>
  <w:p w14:paraId="530FFCE2" w14:textId="77777777" w:rsidR="0002446C" w:rsidRDefault="0002446C">
    <w:pPr>
      <w:spacing w:after="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AAFD9" w14:textId="77777777" w:rsidR="002F3519" w:rsidRPr="00C07161" w:rsidRDefault="002F3519" w:rsidP="002F3519">
    <w:pPr>
      <w:rPr>
        <w:color w:val="A6A6A6" w:themeColor="background1" w:themeShade="A6"/>
      </w:rPr>
    </w:pPr>
    <w:r w:rsidRPr="00C07161">
      <w:rPr>
        <w:color w:val="A6A6A6" w:themeColor="background1" w:themeShade="A6"/>
      </w:rPr>
      <w:t>IVA re</w:t>
    </w:r>
    <w:r>
      <w:rPr>
        <w:color w:val="A6A6A6" w:themeColor="background1" w:themeShade="A6"/>
      </w:rPr>
      <w:t>ferral process – Version 1. - 20</w:t>
    </w:r>
    <w:r w:rsidRPr="00C07161">
      <w:rPr>
        <w:color w:val="A6A6A6" w:themeColor="background1" w:themeShade="A6"/>
      </w:rPr>
      <w:t>/12/21</w:t>
    </w:r>
  </w:p>
  <w:p w14:paraId="5548D3EC" w14:textId="77777777" w:rsidR="0002446C" w:rsidRPr="0049312B" w:rsidRDefault="0002446C" w:rsidP="004931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5E463" w14:textId="77777777" w:rsidR="0047027F" w:rsidRDefault="0047027F" w:rsidP="008952DF">
      <w:r>
        <w:separator/>
      </w:r>
    </w:p>
  </w:footnote>
  <w:footnote w:type="continuationSeparator" w:id="0">
    <w:p w14:paraId="0FDEEFD4" w14:textId="77777777" w:rsidR="0047027F" w:rsidRDefault="0047027F" w:rsidP="0089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55A5" w14:textId="77777777" w:rsidR="0002446C" w:rsidRDefault="0002446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65F46" w14:textId="77777777" w:rsidR="004067A0" w:rsidRDefault="004067A0">
    <w:pPr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E780D" w14:textId="77777777" w:rsidR="0002446C" w:rsidRPr="004067A0" w:rsidRDefault="0002446C" w:rsidP="004067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1CB0"/>
    <w:multiLevelType w:val="hybridMultilevel"/>
    <w:tmpl w:val="692654AA"/>
    <w:lvl w:ilvl="0" w:tplc="79AC4C2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595959" w:themeColor="text1" w:themeTint="A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203182"/>
    <w:multiLevelType w:val="hybridMultilevel"/>
    <w:tmpl w:val="4D24BFAE"/>
    <w:lvl w:ilvl="0" w:tplc="ECA06E3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C2762"/>
    <w:multiLevelType w:val="hybridMultilevel"/>
    <w:tmpl w:val="2824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57A48"/>
    <w:multiLevelType w:val="hybridMultilevel"/>
    <w:tmpl w:val="44DE540E"/>
    <w:lvl w:ilvl="0" w:tplc="FCE6C380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2A74E1"/>
    <w:multiLevelType w:val="hybridMultilevel"/>
    <w:tmpl w:val="D3784A70"/>
    <w:lvl w:ilvl="0" w:tplc="C5340E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8CC8" w:themeColor="accent1" w:themeShade="E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42F2C0B"/>
    <w:multiLevelType w:val="hybridMultilevel"/>
    <w:tmpl w:val="E2A210FA"/>
    <w:lvl w:ilvl="0" w:tplc="AA309A60">
      <w:start w:val="1"/>
      <w:numFmt w:val="bullet"/>
      <w:pStyle w:val="squarebullets"/>
      <w:lvlText w:val=""/>
      <w:lvlJc w:val="left"/>
      <w:pPr>
        <w:ind w:left="360" w:hanging="360"/>
      </w:pPr>
      <w:rPr>
        <w:rFonts w:ascii="Wingdings" w:hAnsi="Wingdings" w:hint="default"/>
        <w:color w:val="002F6C" w:themeColor="tex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7776E"/>
    <w:multiLevelType w:val="hybridMultilevel"/>
    <w:tmpl w:val="FA784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558BC"/>
    <w:multiLevelType w:val="hybridMultilevel"/>
    <w:tmpl w:val="2222C5CC"/>
    <w:lvl w:ilvl="0" w:tplc="D66EF9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585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733FBD"/>
    <w:multiLevelType w:val="hybridMultilevel"/>
    <w:tmpl w:val="D1E28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605"/>
    <w:rsid w:val="00005FF5"/>
    <w:rsid w:val="00020528"/>
    <w:rsid w:val="0002446C"/>
    <w:rsid w:val="0005393B"/>
    <w:rsid w:val="00064372"/>
    <w:rsid w:val="001209B3"/>
    <w:rsid w:val="00126E15"/>
    <w:rsid w:val="00131423"/>
    <w:rsid w:val="001936F1"/>
    <w:rsid w:val="00243120"/>
    <w:rsid w:val="002B4AAD"/>
    <w:rsid w:val="002F3519"/>
    <w:rsid w:val="00324433"/>
    <w:rsid w:val="00363A16"/>
    <w:rsid w:val="00385696"/>
    <w:rsid w:val="003D033D"/>
    <w:rsid w:val="004067A0"/>
    <w:rsid w:val="00422608"/>
    <w:rsid w:val="004404F5"/>
    <w:rsid w:val="0047027F"/>
    <w:rsid w:val="00492E76"/>
    <w:rsid w:val="0049312B"/>
    <w:rsid w:val="004F0FCB"/>
    <w:rsid w:val="00516D13"/>
    <w:rsid w:val="00520C03"/>
    <w:rsid w:val="00525BA7"/>
    <w:rsid w:val="00535E8E"/>
    <w:rsid w:val="00597FAF"/>
    <w:rsid w:val="0061593C"/>
    <w:rsid w:val="00634A7E"/>
    <w:rsid w:val="0065240B"/>
    <w:rsid w:val="00682C97"/>
    <w:rsid w:val="006911E3"/>
    <w:rsid w:val="006D25C9"/>
    <w:rsid w:val="00726EA3"/>
    <w:rsid w:val="007455B3"/>
    <w:rsid w:val="00761861"/>
    <w:rsid w:val="007C339D"/>
    <w:rsid w:val="0083385A"/>
    <w:rsid w:val="008952DF"/>
    <w:rsid w:val="009255E9"/>
    <w:rsid w:val="0096535D"/>
    <w:rsid w:val="00972391"/>
    <w:rsid w:val="009B41EF"/>
    <w:rsid w:val="009E0D89"/>
    <w:rsid w:val="00AC209F"/>
    <w:rsid w:val="00AF592C"/>
    <w:rsid w:val="00B237C0"/>
    <w:rsid w:val="00B377FC"/>
    <w:rsid w:val="00B530D1"/>
    <w:rsid w:val="00B65605"/>
    <w:rsid w:val="00B85FD5"/>
    <w:rsid w:val="00C00AB0"/>
    <w:rsid w:val="00C07161"/>
    <w:rsid w:val="00C27DBE"/>
    <w:rsid w:val="00C335FD"/>
    <w:rsid w:val="00C520E4"/>
    <w:rsid w:val="00C5382A"/>
    <w:rsid w:val="00C5615A"/>
    <w:rsid w:val="00C73B9E"/>
    <w:rsid w:val="00CF07C9"/>
    <w:rsid w:val="00D334A6"/>
    <w:rsid w:val="00E078E6"/>
    <w:rsid w:val="00E655A7"/>
    <w:rsid w:val="00EB6BD0"/>
    <w:rsid w:val="00F87B8D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2FD2A0"/>
  <w15:chartTrackingRefBased/>
  <w15:docId w15:val="{EB47DA77-B499-4669-A07F-26290CDD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locked="0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locked="0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locked="0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F592C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1"/>
    <w:pPr>
      <w:keepNext/>
      <w:keepLines/>
      <w:pBdr>
        <w:bottom w:val="single" w:sz="4" w:space="2" w:color="002F6C" w:themeColor="text2"/>
      </w:pBdr>
      <w:spacing w:before="240" w:after="240" w:line="276" w:lineRule="auto"/>
      <w:outlineLvl w:val="0"/>
    </w:pPr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49312B"/>
    <w:pPr>
      <w:keepNext/>
      <w:keepLines/>
      <w:spacing w:before="240" w:line="276" w:lineRule="auto"/>
      <w:outlineLvl w:val="1"/>
    </w:pPr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530D1"/>
    <w:pPr>
      <w:keepNext/>
      <w:keepLines/>
      <w:spacing w:before="240" w:after="0" w:line="276" w:lineRule="auto"/>
      <w:outlineLvl w:val="2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0D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8952D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8952D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8952D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8952D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8952D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</w:style>
  <w:style w:type="paragraph" w:customStyle="1" w:styleId="squarebullets">
    <w:name w:val="square bullets"/>
    <w:basedOn w:val="ListParagraph"/>
    <w:qFormat/>
    <w:rsid w:val="00B530D1"/>
    <w:pPr>
      <w:numPr>
        <w:numId w:val="5"/>
      </w:numPr>
      <w:spacing w:line="276" w:lineRule="auto"/>
    </w:pPr>
  </w:style>
  <w:style w:type="paragraph" w:customStyle="1" w:styleId="numberedlist">
    <w:name w:val="numbered list"/>
    <w:basedOn w:val="squarebullets"/>
    <w:qFormat/>
    <w:rsid w:val="00B530D1"/>
    <w:pPr>
      <w:numPr>
        <w:numId w:val="6"/>
      </w:numPr>
      <w:ind w:left="357" w:hanging="357"/>
      <w:contextualSpacing w:val="0"/>
    </w:pPr>
  </w:style>
  <w:style w:type="paragraph" w:customStyle="1" w:styleId="footertext">
    <w:name w:val="footer text"/>
    <w:basedOn w:val="Normal"/>
    <w:rsid w:val="00C00AB0"/>
    <w:pPr>
      <w:spacing w:line="360" w:lineRule="auto"/>
    </w:pPr>
    <w:rPr>
      <w:rFonts w:ascii="Helvetica" w:eastAsia="Times New Roman" w:hAnsi="Helvetica" w:cs="Helvetica"/>
      <w:color w:val="FFFFFF"/>
      <w:sz w:val="15"/>
      <w:szCs w:val="15"/>
    </w:rPr>
  </w:style>
  <w:style w:type="character" w:customStyle="1" w:styleId="Heading1Char">
    <w:name w:val="Heading 1 Char"/>
    <w:basedOn w:val="DefaultParagraphFont"/>
    <w:link w:val="Heading1"/>
    <w:uiPriority w:val="9"/>
    <w:rsid w:val="00B530D1"/>
    <w:rPr>
      <w:rFonts w:asciiTheme="majorHAnsi" w:eastAsiaTheme="majorEastAsia" w:hAnsiTheme="majorHAnsi" w:cstheme="majorBidi"/>
      <w:color w:val="002F6C" w:themeColor="text2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9312B"/>
    <w:rPr>
      <w:rFonts w:asciiTheme="majorHAnsi" w:eastAsiaTheme="majorEastAsia" w:hAnsiTheme="majorHAnsi" w:cstheme="majorBidi"/>
      <w:color w:val="000000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530D1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0D1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2D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2D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2D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2D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2D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8952D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table" w:styleId="GridTable1Light-Accent2">
    <w:name w:val="Grid Table 1 Light Accent 2"/>
    <w:basedOn w:val="TableNormal"/>
    <w:uiPriority w:val="46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FFBCBD" w:themeColor="accent2" w:themeTint="66"/>
        <w:left w:val="single" w:sz="4" w:space="0" w:color="FFBCBD" w:themeColor="accent2" w:themeTint="66"/>
        <w:bottom w:val="single" w:sz="4" w:space="0" w:color="FFBCBD" w:themeColor="accent2" w:themeTint="66"/>
        <w:right w:val="single" w:sz="4" w:space="0" w:color="FFBCBD" w:themeColor="accent2" w:themeTint="66"/>
        <w:insideH w:val="single" w:sz="4" w:space="0" w:color="FFBCBD" w:themeColor="accent2" w:themeTint="66"/>
        <w:insideV w:val="single" w:sz="4" w:space="0" w:color="FFBCB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9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9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4">
    <w:name w:val="Grid Table 4 Accent 4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  <w:insideV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24" w:space="0" w:color="FFBF3F" w:themeColor="accent4"/>
          <w:left w:val="single" w:sz="24" w:space="0" w:color="FFBF3F" w:themeColor="accent4"/>
          <w:bottom w:val="single" w:sz="24" w:space="0" w:color="FFBF3F" w:themeColor="accent4"/>
          <w:right w:val="single" w:sz="24" w:space="0" w:color="FFBF3F" w:themeColor="accent4"/>
          <w:insideH w:val="nil"/>
          <w:insideV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BF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  <w:style w:type="table" w:styleId="GridTable4-Accent2">
    <w:name w:val="Grid Table 4 Accent 2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FF9A9D" w:themeColor="accent2" w:themeTint="99"/>
        <w:left w:val="single" w:sz="4" w:space="0" w:color="FF9A9D" w:themeColor="accent2" w:themeTint="99"/>
        <w:bottom w:val="single" w:sz="4" w:space="0" w:color="FF9A9D" w:themeColor="accent2" w:themeTint="99"/>
        <w:right w:val="single" w:sz="4" w:space="0" w:color="FF9A9D" w:themeColor="accent2" w:themeTint="99"/>
        <w:insideH w:val="single" w:sz="4" w:space="0" w:color="FF9A9D" w:themeColor="accent2" w:themeTint="99"/>
        <w:insideV w:val="single" w:sz="4" w:space="0" w:color="FF9A9D" w:themeColor="accent2" w:themeTint="99"/>
      </w:tblBorders>
      <w:tblCellMar>
        <w:top w:w="113" w:type="dxa"/>
        <w:bottom w:w="113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585D" w:themeColor="accent2"/>
          <w:left w:val="single" w:sz="4" w:space="0" w:color="FF585D" w:themeColor="accent2"/>
          <w:bottom w:val="single" w:sz="4" w:space="0" w:color="FF585D" w:themeColor="accent2"/>
          <w:right w:val="single" w:sz="4" w:space="0" w:color="FF585D" w:themeColor="accent2"/>
          <w:insideH w:val="nil"/>
          <w:insideV w:val="nil"/>
        </w:tcBorders>
        <w:shd w:val="clear" w:color="auto" w:fill="FF585D" w:themeFill="accent2"/>
      </w:tcPr>
    </w:tblStylePr>
    <w:tblStylePr w:type="lastRow">
      <w:rPr>
        <w:b/>
        <w:bCs/>
      </w:rPr>
      <w:tblPr/>
      <w:tcPr>
        <w:tcBorders>
          <w:top w:val="double" w:sz="4" w:space="0" w:color="FF585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DE" w:themeFill="accent2" w:themeFillTint="33"/>
      </w:tcPr>
    </w:tblStylePr>
    <w:tblStylePr w:type="band1Horz">
      <w:tblPr/>
      <w:tcPr>
        <w:shd w:val="clear" w:color="auto" w:fill="FFDDDE" w:themeFill="accent2" w:themeFillTint="33"/>
      </w:tcPr>
    </w:tblStylePr>
  </w:style>
  <w:style w:type="table" w:styleId="GridTable4-Accent1">
    <w:name w:val="Grid Table 4 Accent 1"/>
    <w:basedOn w:val="TableNormal"/>
    <w:uiPriority w:val="49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52CBFF" w:themeColor="accent1" w:themeTint="99"/>
        <w:left w:val="single" w:sz="4" w:space="0" w:color="52CBFF" w:themeColor="accent1" w:themeTint="99"/>
        <w:bottom w:val="single" w:sz="4" w:space="0" w:color="52CBFF" w:themeColor="accent1" w:themeTint="99"/>
        <w:right w:val="single" w:sz="4" w:space="0" w:color="52CBFF" w:themeColor="accent1" w:themeTint="99"/>
        <w:insideH w:val="single" w:sz="4" w:space="0" w:color="52CBFF" w:themeColor="accent1" w:themeTint="99"/>
        <w:insideV w:val="single" w:sz="4" w:space="0" w:color="52CBFF" w:themeColor="accent1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000000" w:themeColor="text1"/>
      </w:rPr>
      <w:tblPr/>
      <w:tcPr>
        <w:tcBorders>
          <w:top w:val="single" w:sz="4" w:space="0" w:color="009CDE" w:themeColor="accent1"/>
          <w:left w:val="single" w:sz="4" w:space="0" w:color="009CDE" w:themeColor="accent1"/>
          <w:bottom w:val="single" w:sz="4" w:space="0" w:color="009CDE" w:themeColor="accent1"/>
          <w:right w:val="single" w:sz="4" w:space="0" w:color="009CDE" w:themeColor="accent1"/>
          <w:insideH w:val="nil"/>
          <w:insideV w:val="nil"/>
        </w:tcBorders>
        <w:shd w:val="clear" w:color="auto" w:fill="009CDE" w:themeFill="accent1"/>
      </w:tcPr>
    </w:tblStylePr>
    <w:tblStylePr w:type="lastRow">
      <w:rPr>
        <w:b/>
        <w:bCs/>
      </w:rPr>
      <w:tblPr/>
      <w:tcPr>
        <w:tcBorders>
          <w:top w:val="double" w:sz="4" w:space="0" w:color="009CD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DFF" w:themeFill="accent1" w:themeFillTint="33"/>
      </w:tcPr>
    </w:tblStylePr>
    <w:tblStylePr w:type="band1Horz">
      <w:tblPr/>
      <w:tcPr>
        <w:shd w:val="clear" w:color="auto" w:fill="C5EDFF" w:themeFill="accent1" w:themeFillTint="33"/>
      </w:tcPr>
    </w:tblStylePr>
  </w:style>
  <w:style w:type="paragraph" w:styleId="NoSpacing">
    <w:name w:val="No Spacing"/>
    <w:uiPriority w:val="1"/>
    <w:qFormat/>
    <w:rsid w:val="008952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530D1"/>
    <w:pPr>
      <w:pBdr>
        <w:left w:val="single" w:sz="36" w:space="12" w:color="002F6C" w:themeColor="text2"/>
      </w:pBdr>
      <w:spacing w:before="240" w:after="240" w:line="252" w:lineRule="auto"/>
      <w:ind w:left="340" w:right="862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B530D1"/>
    <w:rPr>
      <w:iCs/>
      <w:sz w:val="24"/>
    </w:rPr>
  </w:style>
  <w:style w:type="table" w:styleId="TableGridLight">
    <w:name w:val="Grid Table Light"/>
    <w:basedOn w:val="TableNormal"/>
    <w:uiPriority w:val="40"/>
    <w:rsid w:val="00B377F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</w:style>
  <w:style w:type="table" w:styleId="PlainTable1">
    <w:name w:val="Plain Table 1"/>
    <w:basedOn w:val="TableNormal"/>
    <w:uiPriority w:val="41"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113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locked/>
    <w:rsid w:val="00B377F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113" w:type="dxa"/>
        <w:bottom w:w="113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3">
    <w:name w:val="Grid Table 3"/>
    <w:basedOn w:val="TableNormal"/>
    <w:uiPriority w:val="48"/>
    <w:locked/>
    <w:rsid w:val="00726EA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46C"/>
    <w:rPr>
      <w:sz w:val="24"/>
    </w:rPr>
  </w:style>
  <w:style w:type="paragraph" w:styleId="Footer">
    <w:name w:val="footer"/>
    <w:basedOn w:val="Normal"/>
    <w:link w:val="FooterChar"/>
    <w:uiPriority w:val="99"/>
    <w:unhideWhenUsed/>
    <w:locked/>
    <w:rsid w:val="0002446C"/>
    <w:pPr>
      <w:tabs>
        <w:tab w:val="center" w:pos="4513"/>
        <w:tab w:val="right" w:pos="9026"/>
      </w:tabs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8952D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02446C"/>
    <w:rPr>
      <w:sz w:val="24"/>
    </w:rPr>
  </w:style>
  <w:style w:type="table" w:styleId="TableGrid">
    <w:name w:val="Table Grid"/>
    <w:basedOn w:val="TableNormal"/>
    <w:uiPriority w:val="39"/>
    <w:rsid w:val="00B37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</w:style>
  <w:style w:type="character" w:styleId="Hyperlink">
    <w:name w:val="Hyperlink"/>
    <w:basedOn w:val="DefaultParagraphFont"/>
    <w:uiPriority w:val="99"/>
    <w:rsid w:val="0049312B"/>
    <w:rPr>
      <w:color w:val="000000" w:themeColor="text1"/>
      <w:u w:val="single"/>
    </w:rPr>
  </w:style>
  <w:style w:type="table" w:styleId="ListTable4-Accent4">
    <w:name w:val="List Table 4 Accent 4"/>
    <w:basedOn w:val="TableNormal"/>
    <w:uiPriority w:val="49"/>
    <w:rsid w:val="004067A0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4" w:space="0" w:color="FFD88B" w:themeColor="accent4" w:themeTint="99"/>
        <w:left w:val="single" w:sz="4" w:space="0" w:color="FFD88B" w:themeColor="accent4" w:themeTint="99"/>
        <w:bottom w:val="single" w:sz="4" w:space="0" w:color="FFD88B" w:themeColor="accent4" w:themeTint="99"/>
        <w:right w:val="single" w:sz="4" w:space="0" w:color="FFD88B" w:themeColor="accent4" w:themeTint="99"/>
        <w:insideH w:val="single" w:sz="4" w:space="0" w:color="FFD88B" w:themeColor="accent4" w:themeTint="99"/>
      </w:tblBorders>
      <w:tblCellMar>
        <w:top w:w="113" w:type="dxa"/>
        <w:bottom w:w="113" w:type="dxa"/>
      </w:tblCellMar>
    </w:tblPr>
    <w:tblStylePr w:type="firstRow">
      <w:rPr>
        <w:rFonts w:ascii="Arial" w:hAnsi="Arial"/>
        <w:b/>
        <w:bCs/>
        <w:color w:val="FFFFFF" w:themeColor="background1"/>
        <w:sz w:val="24"/>
      </w:rPr>
      <w:tblPr/>
      <w:tcPr>
        <w:tcBorders>
          <w:top w:val="single" w:sz="4" w:space="0" w:color="FFBF3F" w:themeColor="accent4"/>
          <w:left w:val="single" w:sz="4" w:space="0" w:color="FFBF3F" w:themeColor="accent4"/>
          <w:bottom w:val="single" w:sz="4" w:space="0" w:color="FFBF3F" w:themeColor="accent4"/>
          <w:right w:val="single" w:sz="4" w:space="0" w:color="FFBF3F" w:themeColor="accent4"/>
          <w:insideH w:val="nil"/>
        </w:tcBorders>
        <w:shd w:val="clear" w:color="auto" w:fill="FFBF3F" w:themeFill="accent4"/>
      </w:tcPr>
    </w:tblStylePr>
    <w:tblStylePr w:type="lastRow">
      <w:rPr>
        <w:b/>
        <w:bCs/>
      </w:rPr>
      <w:tblPr/>
      <w:tcPr>
        <w:tcBorders>
          <w:top w:val="double" w:sz="4" w:space="0" w:color="FFD88B" w:themeColor="accent4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FF2D8" w:themeFill="accent4" w:themeFillTint="33"/>
      </w:tcPr>
    </w:tblStylePr>
    <w:tblStylePr w:type="band1Horz">
      <w:tblPr/>
      <w:tcPr>
        <w:shd w:val="clear" w:color="auto" w:fill="FFF2D8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anessa.maguire@torbay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4">
      <a:dk1>
        <a:srgbClr val="000000"/>
      </a:dk1>
      <a:lt1>
        <a:sysClr val="window" lastClr="FFFFFF"/>
      </a:lt1>
      <a:dk2>
        <a:srgbClr val="002F6C"/>
      </a:dk2>
      <a:lt2>
        <a:srgbClr val="E7E6E6"/>
      </a:lt2>
      <a:accent1>
        <a:srgbClr val="009CDE"/>
      </a:accent1>
      <a:accent2>
        <a:srgbClr val="FF585D"/>
      </a:accent2>
      <a:accent3>
        <a:srgbClr val="00A74A"/>
      </a:accent3>
      <a:accent4>
        <a:srgbClr val="FFBF3F"/>
      </a:accent4>
      <a:accent5>
        <a:srgbClr val="00A499"/>
      </a:accent5>
      <a:accent6>
        <a:srgbClr val="DB3EB1"/>
      </a:accent6>
      <a:hlink>
        <a:srgbClr val="002F6C"/>
      </a:hlink>
      <a:folHlink>
        <a:srgbClr val="002F6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C9DA24427AA245BF703B9839910EF9" ma:contentTypeVersion="0" ma:contentTypeDescription="Create a new document." ma:contentTypeScope="" ma:versionID="e019ca2278aad165c24d347ee5d57a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6B4C5C-2170-488A-98DF-B14D5D23F5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C7504E-64D2-4C15-B2CE-95BBA93CB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7C40E-46B8-468A-AFBB-229B8CD4D0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Vanessa</dc:creator>
  <cp:keywords/>
  <dc:description/>
  <cp:lastModifiedBy>de Sousa, Sophie</cp:lastModifiedBy>
  <cp:revision>2</cp:revision>
  <dcterms:created xsi:type="dcterms:W3CDTF">2022-01-14T11:25:00Z</dcterms:created>
  <dcterms:modified xsi:type="dcterms:W3CDTF">2022-01-14T11:25:00Z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-1730616470</vt:i4>
  </property>
  <property fmtid="{D5CDD505-2E9C-101B-9397-08002B2CF9AE}" pid="3" name="_NewReviewCycle">
    <vt:lpwstr/>
  </property>
  <property fmtid="{D5CDD505-2E9C-101B-9397-08002B2CF9AE}" pid="4" name="_EmailSubject">
    <vt:lpwstr>Viability assessment process</vt:lpwstr>
  </property>
  <property fmtid="{D5CDD505-2E9C-101B-9397-08002B2CF9AE}" pid="5" name="_AuthorEmail">
    <vt:lpwstr>Becky.Thompson@torbay.gov.uk</vt:lpwstr>
  </property>
  <property fmtid="{D5CDD505-2E9C-101B-9397-08002B2CF9AE}" pid="6" name="_AuthorEmailDisplayName">
    <vt:lpwstr>Thompson, Becky</vt:lpwstr>
  </property>
  <property fmtid="{D5CDD505-2E9C-101B-9397-08002B2CF9AE}" pid="7" name="_ReviewingToolsShownOnce">
    <vt:lpwstr/>
  </property>
</Properties>
</file>