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45C5" w14:textId="77777777" w:rsidR="004446C0" w:rsidRDefault="00CC7443">
      <w:pPr>
        <w:pStyle w:val="BodyText"/>
        <w:rPr>
          <w:rFonts w:ascii="Times New Roman"/>
          <w:sz w:val="20"/>
        </w:rPr>
      </w:pPr>
      <w:r>
        <w:rPr>
          <w:noProof/>
          <w:lang w:bidi="ar-SA"/>
        </w:rPr>
        <w:drawing>
          <wp:anchor distT="0" distB="0" distL="0" distR="0" simplePos="0" relativeHeight="268418711" behindDoc="1" locked="0" layoutInCell="1" allowOverlap="1" wp14:anchorId="31C88383" wp14:editId="3A57D948">
            <wp:simplePos x="0" y="0"/>
            <wp:positionH relativeFrom="page">
              <wp:posOffset>326002</wp:posOffset>
            </wp:positionH>
            <wp:positionV relativeFrom="page">
              <wp:posOffset>357809</wp:posOffset>
            </wp:positionV>
            <wp:extent cx="6872605" cy="66075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srcRect t="1" r="-6" b="33781"/>
                    <a:stretch/>
                  </pic:blipFill>
                  <pic:spPr bwMode="auto">
                    <a:xfrm>
                      <a:off x="0" y="0"/>
                      <a:ext cx="6873471" cy="66083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677DF7" w14:textId="77777777" w:rsidR="004446C0" w:rsidRDefault="004446C0">
      <w:pPr>
        <w:pStyle w:val="BodyText"/>
        <w:rPr>
          <w:rFonts w:ascii="Times New Roman"/>
          <w:sz w:val="20"/>
        </w:rPr>
      </w:pPr>
    </w:p>
    <w:p w14:paraId="3558600C" w14:textId="77777777" w:rsidR="004446C0" w:rsidRDefault="004446C0">
      <w:pPr>
        <w:pStyle w:val="BodyText"/>
        <w:rPr>
          <w:rFonts w:ascii="Times New Roman"/>
          <w:sz w:val="20"/>
        </w:rPr>
      </w:pPr>
    </w:p>
    <w:p w14:paraId="1A6974D1" w14:textId="77777777" w:rsidR="004446C0" w:rsidRDefault="004446C0">
      <w:pPr>
        <w:pStyle w:val="BodyText"/>
        <w:rPr>
          <w:rFonts w:ascii="Times New Roman"/>
          <w:sz w:val="20"/>
        </w:rPr>
      </w:pPr>
    </w:p>
    <w:p w14:paraId="5AB34234" w14:textId="77777777" w:rsidR="004446C0" w:rsidRDefault="004446C0">
      <w:pPr>
        <w:pStyle w:val="BodyText"/>
        <w:rPr>
          <w:rFonts w:ascii="Times New Roman"/>
          <w:sz w:val="20"/>
        </w:rPr>
      </w:pPr>
    </w:p>
    <w:p w14:paraId="29FF9B49" w14:textId="77777777" w:rsidR="004446C0" w:rsidRDefault="004446C0">
      <w:pPr>
        <w:pStyle w:val="BodyText"/>
        <w:rPr>
          <w:rFonts w:ascii="Times New Roman"/>
          <w:sz w:val="20"/>
        </w:rPr>
      </w:pPr>
    </w:p>
    <w:p w14:paraId="4DF5038E" w14:textId="77777777" w:rsidR="004446C0" w:rsidRDefault="004446C0">
      <w:pPr>
        <w:pStyle w:val="BodyText"/>
        <w:rPr>
          <w:rFonts w:ascii="Times New Roman"/>
          <w:sz w:val="20"/>
        </w:rPr>
      </w:pPr>
    </w:p>
    <w:p w14:paraId="4B9635BA" w14:textId="2C9CE6C3" w:rsidR="004446C0" w:rsidRDefault="004446C0">
      <w:pPr>
        <w:pStyle w:val="BodyText"/>
        <w:rPr>
          <w:rFonts w:ascii="Times New Roman"/>
          <w:sz w:val="20"/>
        </w:rPr>
      </w:pPr>
    </w:p>
    <w:p w14:paraId="5C9803EC" w14:textId="77777777" w:rsidR="004446C0" w:rsidRDefault="004446C0">
      <w:pPr>
        <w:pStyle w:val="BodyText"/>
        <w:rPr>
          <w:rFonts w:ascii="Times New Roman"/>
          <w:sz w:val="20"/>
        </w:rPr>
      </w:pPr>
    </w:p>
    <w:p w14:paraId="4EDB6F64" w14:textId="77777777" w:rsidR="004446C0" w:rsidRDefault="004446C0">
      <w:pPr>
        <w:pStyle w:val="BodyText"/>
        <w:rPr>
          <w:rFonts w:ascii="Times New Roman"/>
          <w:sz w:val="20"/>
        </w:rPr>
      </w:pPr>
    </w:p>
    <w:p w14:paraId="534D366E" w14:textId="77777777" w:rsidR="004446C0" w:rsidRDefault="004446C0">
      <w:pPr>
        <w:pStyle w:val="BodyText"/>
        <w:rPr>
          <w:rFonts w:ascii="Times New Roman"/>
          <w:sz w:val="20"/>
        </w:rPr>
      </w:pPr>
    </w:p>
    <w:p w14:paraId="542DF167" w14:textId="77777777" w:rsidR="004446C0" w:rsidRDefault="004446C0">
      <w:pPr>
        <w:pStyle w:val="BodyText"/>
        <w:rPr>
          <w:rFonts w:ascii="Times New Roman"/>
          <w:sz w:val="20"/>
        </w:rPr>
      </w:pPr>
    </w:p>
    <w:p w14:paraId="0192D549" w14:textId="77777777" w:rsidR="004446C0" w:rsidRDefault="004446C0">
      <w:pPr>
        <w:pStyle w:val="BodyText"/>
        <w:rPr>
          <w:rFonts w:ascii="Times New Roman"/>
          <w:sz w:val="20"/>
        </w:rPr>
      </w:pPr>
    </w:p>
    <w:p w14:paraId="790D1554" w14:textId="77777777" w:rsidR="004446C0" w:rsidRDefault="004446C0">
      <w:pPr>
        <w:pStyle w:val="BodyText"/>
        <w:rPr>
          <w:rFonts w:ascii="Times New Roman"/>
          <w:sz w:val="20"/>
        </w:rPr>
      </w:pPr>
    </w:p>
    <w:p w14:paraId="05F8201F" w14:textId="77777777" w:rsidR="004446C0" w:rsidRDefault="004446C0">
      <w:pPr>
        <w:pStyle w:val="BodyText"/>
        <w:rPr>
          <w:rFonts w:ascii="Times New Roman"/>
          <w:sz w:val="20"/>
        </w:rPr>
      </w:pPr>
    </w:p>
    <w:p w14:paraId="1AF4F3CB" w14:textId="77777777" w:rsidR="004446C0" w:rsidRDefault="004446C0">
      <w:pPr>
        <w:pStyle w:val="BodyText"/>
        <w:rPr>
          <w:rFonts w:ascii="Times New Roman"/>
          <w:sz w:val="20"/>
        </w:rPr>
      </w:pPr>
    </w:p>
    <w:p w14:paraId="423984DE" w14:textId="77777777" w:rsidR="004446C0" w:rsidRDefault="004446C0">
      <w:pPr>
        <w:pStyle w:val="BodyText"/>
        <w:rPr>
          <w:rFonts w:ascii="Times New Roman"/>
          <w:sz w:val="20"/>
        </w:rPr>
      </w:pPr>
    </w:p>
    <w:p w14:paraId="33AB157C" w14:textId="77777777" w:rsidR="004446C0" w:rsidRDefault="004446C0">
      <w:pPr>
        <w:pStyle w:val="BodyText"/>
        <w:rPr>
          <w:rFonts w:ascii="Times New Roman"/>
          <w:sz w:val="20"/>
        </w:rPr>
      </w:pPr>
    </w:p>
    <w:p w14:paraId="456411E9" w14:textId="77777777" w:rsidR="004446C0" w:rsidRDefault="004446C0">
      <w:pPr>
        <w:pStyle w:val="BodyText"/>
        <w:rPr>
          <w:rFonts w:ascii="Times New Roman"/>
          <w:sz w:val="20"/>
        </w:rPr>
      </w:pPr>
    </w:p>
    <w:p w14:paraId="2B0FE5A6" w14:textId="77777777" w:rsidR="004446C0" w:rsidRDefault="004446C0">
      <w:pPr>
        <w:pStyle w:val="BodyText"/>
        <w:rPr>
          <w:rFonts w:ascii="Times New Roman"/>
          <w:sz w:val="20"/>
        </w:rPr>
      </w:pPr>
    </w:p>
    <w:p w14:paraId="1BE9C828" w14:textId="77777777" w:rsidR="004446C0" w:rsidRDefault="004446C0">
      <w:pPr>
        <w:pStyle w:val="BodyText"/>
        <w:rPr>
          <w:rFonts w:ascii="Times New Roman"/>
          <w:sz w:val="20"/>
        </w:rPr>
      </w:pPr>
    </w:p>
    <w:p w14:paraId="72B05881" w14:textId="77777777" w:rsidR="004446C0" w:rsidRDefault="004446C0">
      <w:pPr>
        <w:pStyle w:val="BodyText"/>
        <w:rPr>
          <w:rFonts w:ascii="Times New Roman"/>
          <w:sz w:val="20"/>
        </w:rPr>
      </w:pPr>
    </w:p>
    <w:p w14:paraId="5737631D" w14:textId="05FF23B9" w:rsidR="00357164" w:rsidRDefault="00601A1C" w:rsidP="007845EA">
      <w:pPr>
        <w:spacing w:line="910" w:lineRule="exact"/>
        <w:rPr>
          <w:rFonts w:ascii="Corbel"/>
          <w:b/>
          <w:sz w:val="80"/>
        </w:rPr>
      </w:pPr>
      <w:r>
        <w:rPr>
          <w:rFonts w:ascii="Corbel"/>
          <w:b/>
          <w:sz w:val="80"/>
        </w:rPr>
        <w:t xml:space="preserve">Parental Contribution </w:t>
      </w:r>
      <w:r w:rsidR="00357164">
        <w:rPr>
          <w:rFonts w:ascii="Corbel"/>
          <w:b/>
          <w:sz w:val="80"/>
        </w:rPr>
        <w:t>Policy</w:t>
      </w:r>
    </w:p>
    <w:p w14:paraId="02E24613" w14:textId="77777777" w:rsidR="00357164" w:rsidRDefault="00357164" w:rsidP="00357164">
      <w:pPr>
        <w:pStyle w:val="Heading1"/>
        <w:spacing w:before="237"/>
        <w:ind w:left="167" w:firstLine="0"/>
      </w:pPr>
      <w:r>
        <w:t>'SHARING THE COSTS'</w:t>
      </w:r>
    </w:p>
    <w:p w14:paraId="3DA70804" w14:textId="20DD8921" w:rsidR="00357164" w:rsidRDefault="00601A1C" w:rsidP="00357164">
      <w:pPr>
        <w:spacing w:before="120"/>
        <w:ind w:left="167" w:right="117"/>
        <w:jc w:val="both"/>
        <w:rPr>
          <w:b/>
          <w:sz w:val="24"/>
        </w:rPr>
      </w:pPr>
      <w:r>
        <w:rPr>
          <w:b/>
          <w:sz w:val="24"/>
        </w:rPr>
        <w:t xml:space="preserve">CONTRIBUTION </w:t>
      </w:r>
      <w:r w:rsidR="00357164">
        <w:rPr>
          <w:b/>
          <w:sz w:val="24"/>
        </w:rPr>
        <w:t>POLICY FOR CHILDREN LOOKED AFTER</w:t>
      </w:r>
      <w:r w:rsidR="0043444F">
        <w:rPr>
          <w:b/>
          <w:sz w:val="24"/>
        </w:rPr>
        <w:t xml:space="preserve"> </w:t>
      </w:r>
      <w:r w:rsidR="00357164">
        <w:rPr>
          <w:b/>
          <w:sz w:val="24"/>
        </w:rPr>
        <w:t>UNDER S20 OF THE CHILDREN ACT 1989</w:t>
      </w:r>
    </w:p>
    <w:p w14:paraId="592DD2A5" w14:textId="77777777" w:rsidR="004446C0" w:rsidRDefault="004446C0">
      <w:pPr>
        <w:jc w:val="both"/>
        <w:rPr>
          <w:sz w:val="24"/>
        </w:rPr>
      </w:pPr>
    </w:p>
    <w:p w14:paraId="134AEBF6" w14:textId="77777777" w:rsidR="00357164" w:rsidRDefault="00357164">
      <w:pPr>
        <w:jc w:val="both"/>
        <w:rPr>
          <w:sz w:val="24"/>
        </w:rPr>
      </w:pPr>
    </w:p>
    <w:p w14:paraId="2119AC11" w14:textId="77777777" w:rsidR="00357164" w:rsidRDefault="00357164">
      <w:pPr>
        <w:jc w:val="both"/>
        <w:rPr>
          <w:sz w:val="24"/>
        </w:rPr>
      </w:pPr>
    </w:p>
    <w:p w14:paraId="671CE1DA" w14:textId="4E871568" w:rsidR="00357164" w:rsidRDefault="00357164">
      <w:pPr>
        <w:jc w:val="both"/>
        <w:rPr>
          <w:sz w:val="24"/>
        </w:rPr>
        <w:sectPr w:rsidR="00357164">
          <w:type w:val="continuous"/>
          <w:pgSz w:w="11900" w:h="16850"/>
          <w:pgMar w:top="1600" w:right="560" w:bottom="280" w:left="1040" w:header="720" w:footer="720" w:gutter="0"/>
          <w:cols w:space="720"/>
        </w:sectPr>
      </w:pPr>
      <w:r>
        <w:rPr>
          <w:rFonts w:ascii="HelveticaNeueLT Std" w:hAnsi="HelveticaNeueLT Std"/>
          <w:b/>
          <w:noProof/>
          <w:lang w:bidi="ar-SA"/>
        </w:rPr>
        <w:drawing>
          <wp:anchor distT="0" distB="0" distL="114300" distR="114300" simplePos="0" relativeHeight="251658240" behindDoc="0" locked="0" layoutInCell="1" allowOverlap="1" wp14:anchorId="7A7B0CD3" wp14:editId="74C3ED33">
            <wp:simplePos x="0" y="0"/>
            <wp:positionH relativeFrom="column">
              <wp:posOffset>4085021</wp:posOffset>
            </wp:positionH>
            <wp:positionV relativeFrom="paragraph">
              <wp:posOffset>818734</wp:posOffset>
            </wp:positionV>
            <wp:extent cx="2458260" cy="950872"/>
            <wp:effectExtent l="0" t="0" r="0" b="0"/>
            <wp:wrapNone/>
            <wp:docPr id="3" name="Picture 3" descr="Haringe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ringey London logo"/>
                    <pic:cNvPicPr>
                      <a:picLocks noChangeAspect="1" noChangeArrowheads="1"/>
                    </pic:cNvPicPr>
                  </pic:nvPicPr>
                  <pic:blipFill>
                    <a:blip r:embed="rId9"/>
                    <a:srcRect/>
                    <a:stretch>
                      <a:fillRect/>
                    </a:stretch>
                  </pic:blipFill>
                  <pic:spPr bwMode="auto">
                    <a:xfrm>
                      <a:off x="0" y="0"/>
                      <a:ext cx="2463996" cy="95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2D43">
        <w:rPr>
          <w:noProof/>
          <w:lang w:bidi="ar-SA"/>
        </w:rPr>
        <mc:AlternateContent>
          <mc:Choice Requires="wps">
            <w:drawing>
              <wp:anchor distT="45720" distB="45720" distL="114300" distR="114300" simplePos="0" relativeHeight="268422807" behindDoc="0" locked="0" layoutInCell="1" allowOverlap="1" wp14:anchorId="1DF7B3C2" wp14:editId="757CC464">
                <wp:simplePos x="0" y="0"/>
                <wp:positionH relativeFrom="column">
                  <wp:posOffset>10160</wp:posOffset>
                </wp:positionH>
                <wp:positionV relativeFrom="paragraph">
                  <wp:posOffset>1347470</wp:posOffset>
                </wp:positionV>
                <wp:extent cx="2378075" cy="407670"/>
                <wp:effectExtent l="13335" t="11430" r="889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07670"/>
                        </a:xfrm>
                        <a:prstGeom prst="rect">
                          <a:avLst/>
                        </a:prstGeom>
                        <a:solidFill>
                          <a:srgbClr val="FFFFFF"/>
                        </a:solidFill>
                        <a:ln w="0">
                          <a:solidFill>
                            <a:schemeClr val="bg1">
                              <a:lumMod val="100000"/>
                              <a:lumOff val="0"/>
                            </a:schemeClr>
                          </a:solidFill>
                          <a:miter lim="800000"/>
                          <a:headEnd/>
                          <a:tailEnd/>
                        </a:ln>
                      </wps:spPr>
                      <wps:txbx>
                        <w:txbxContent>
                          <w:p w14:paraId="01D8F439" w14:textId="738A9860" w:rsidR="00357164" w:rsidRPr="00357164" w:rsidRDefault="00357164" w:rsidP="00357164">
                            <w:pPr>
                              <w:pStyle w:val="Footer"/>
                              <w:rPr>
                                <w:rFonts w:ascii="Arial" w:hAnsi="Arial" w:cs="Arial"/>
                                <w:b/>
                                <w:sz w:val="32"/>
                              </w:rPr>
                            </w:pPr>
                            <w:r w:rsidRPr="00357164">
                              <w:rPr>
                                <w:rFonts w:ascii="Arial" w:hAnsi="Arial" w:cs="Arial"/>
                                <w:b/>
                                <w:sz w:val="32"/>
                              </w:rPr>
                              <w:t>www.haringey.gov.uk</w:t>
                            </w:r>
                          </w:p>
                          <w:p w14:paraId="529B7EF3" w14:textId="64ED02A0" w:rsidR="00357164" w:rsidRPr="00357164" w:rsidRDefault="0035716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7B3C2" id="_x0000_t202" coordsize="21600,21600" o:spt="202" path="m,l,21600r21600,l21600,xe">
                <v:stroke joinstyle="miter"/>
                <v:path gradientshapeok="t" o:connecttype="rect"/>
              </v:shapetype>
              <v:shape id="Text Box 2" o:spid="_x0000_s1026" type="#_x0000_t202" style="position:absolute;left:0;text-align:left;margin-left:.8pt;margin-top:106.1pt;width:187.25pt;height:32.1pt;z-index:2684228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" strokecolor="white [3212]" strokeweight="0">
                <v:textbox>
                  <w:txbxContent>
                    <w:p w14:paraId="01D8F439" w14:textId="738A9860" w:rsidR="00357164" w:rsidRPr="00357164" w:rsidRDefault="00357164" w:rsidP="00357164">
                      <w:pPr>
                        <w:pStyle w:val="Footer"/>
                        <w:rPr>
                          <w:rFonts w:ascii="Arial" w:hAnsi="Arial" w:cs="Arial"/>
                          <w:b/>
                          <w:sz w:val="32"/>
                        </w:rPr>
                      </w:pPr>
                      <w:r w:rsidRPr="00357164">
                        <w:rPr>
                          <w:rFonts w:ascii="Arial" w:hAnsi="Arial" w:cs="Arial"/>
                          <w:b/>
                          <w:sz w:val="32"/>
                        </w:rPr>
                        <w:t>www.haringey.gov.uk</w:t>
                      </w:r>
                    </w:p>
                    <w:p w14:paraId="529B7EF3" w14:textId="64ED02A0" w:rsidR="00357164" w:rsidRPr="00357164" w:rsidRDefault="00357164">
                      <w:pPr>
                        <w:rPr>
                          <w:sz w:val="20"/>
                          <w:szCs w:val="20"/>
                        </w:rPr>
                      </w:pPr>
                    </w:p>
                  </w:txbxContent>
                </v:textbox>
                <w10:wrap type="square"/>
              </v:shape>
            </w:pict>
          </mc:Fallback>
        </mc:AlternateContent>
      </w:r>
    </w:p>
    <w:p w14:paraId="5A114A80" w14:textId="77777777" w:rsidR="004446C0" w:rsidRDefault="004446C0">
      <w:pPr>
        <w:pStyle w:val="BodyText"/>
        <w:spacing w:before="7"/>
        <w:rPr>
          <w:b/>
          <w:sz w:val="20"/>
        </w:rPr>
      </w:pPr>
    </w:p>
    <w:p w14:paraId="6463F653" w14:textId="77777777" w:rsidR="004446C0" w:rsidRDefault="00CC7443">
      <w:pPr>
        <w:spacing w:before="92"/>
        <w:ind w:left="400"/>
        <w:rPr>
          <w:b/>
          <w:sz w:val="24"/>
        </w:rPr>
      </w:pPr>
      <w:r>
        <w:rPr>
          <w:b/>
          <w:sz w:val="24"/>
        </w:rPr>
        <w:t>Contents</w:t>
      </w:r>
    </w:p>
    <w:p w14:paraId="69EDC895" w14:textId="77777777" w:rsidR="004446C0" w:rsidRDefault="004446C0">
      <w:pPr>
        <w:pStyle w:val="BodyText"/>
        <w:rPr>
          <w:b/>
          <w:sz w:val="26"/>
        </w:rPr>
      </w:pPr>
    </w:p>
    <w:p w14:paraId="6234F4B0" w14:textId="7AEC7841" w:rsidR="004446C0" w:rsidRDefault="00CC7443" w:rsidP="00601A1C">
      <w:pPr>
        <w:pStyle w:val="ListParagraph"/>
        <w:numPr>
          <w:ilvl w:val="0"/>
          <w:numId w:val="6"/>
        </w:numPr>
        <w:tabs>
          <w:tab w:val="left" w:pos="1109"/>
        </w:tabs>
        <w:ind w:firstLine="0"/>
        <w:rPr>
          <w:sz w:val="24"/>
        </w:rPr>
      </w:pPr>
      <w:r>
        <w:rPr>
          <w:sz w:val="24"/>
        </w:rPr>
        <w:t>Background</w:t>
      </w:r>
    </w:p>
    <w:p w14:paraId="5CCE3C6A" w14:textId="77777777" w:rsidR="00601A1C" w:rsidRDefault="00601A1C" w:rsidP="00601A1C">
      <w:pPr>
        <w:pStyle w:val="ListParagraph"/>
        <w:tabs>
          <w:tab w:val="left" w:pos="1109"/>
        </w:tabs>
        <w:ind w:left="760" w:firstLine="0"/>
        <w:rPr>
          <w:sz w:val="24"/>
        </w:rPr>
      </w:pPr>
    </w:p>
    <w:p w14:paraId="249BE7BE" w14:textId="6EF09070" w:rsidR="004446C0" w:rsidRDefault="00CC7443" w:rsidP="00601A1C">
      <w:pPr>
        <w:pStyle w:val="ListParagraph"/>
        <w:numPr>
          <w:ilvl w:val="0"/>
          <w:numId w:val="6"/>
        </w:numPr>
        <w:tabs>
          <w:tab w:val="left" w:pos="1109"/>
        </w:tabs>
        <w:ind w:firstLine="0"/>
        <w:rPr>
          <w:sz w:val="24"/>
        </w:rPr>
      </w:pPr>
      <w:r>
        <w:rPr>
          <w:sz w:val="24"/>
        </w:rPr>
        <w:t>Legislative</w:t>
      </w:r>
      <w:r>
        <w:rPr>
          <w:spacing w:val="-1"/>
          <w:sz w:val="24"/>
        </w:rPr>
        <w:t xml:space="preserve"> </w:t>
      </w:r>
      <w:r w:rsidR="00357164">
        <w:rPr>
          <w:sz w:val="24"/>
        </w:rPr>
        <w:t>F</w:t>
      </w:r>
      <w:r>
        <w:rPr>
          <w:sz w:val="24"/>
        </w:rPr>
        <w:t>ramework</w:t>
      </w:r>
    </w:p>
    <w:p w14:paraId="0274FC19" w14:textId="77777777" w:rsidR="00601A1C" w:rsidRPr="00601A1C" w:rsidRDefault="00601A1C" w:rsidP="00601A1C">
      <w:pPr>
        <w:pStyle w:val="ListParagraph"/>
        <w:rPr>
          <w:sz w:val="24"/>
        </w:rPr>
      </w:pPr>
    </w:p>
    <w:p w14:paraId="0C163BC5" w14:textId="59B7F3FD" w:rsidR="004446C0" w:rsidRDefault="00CC7443" w:rsidP="00601A1C">
      <w:pPr>
        <w:pStyle w:val="ListParagraph"/>
        <w:numPr>
          <w:ilvl w:val="0"/>
          <w:numId w:val="6"/>
        </w:numPr>
        <w:tabs>
          <w:tab w:val="left" w:pos="1109"/>
        </w:tabs>
        <w:ind w:firstLine="0"/>
        <w:rPr>
          <w:sz w:val="24"/>
        </w:rPr>
      </w:pPr>
      <w:r>
        <w:rPr>
          <w:sz w:val="24"/>
        </w:rPr>
        <w:t>Statutory Exemptions to</w:t>
      </w:r>
      <w:r>
        <w:rPr>
          <w:spacing w:val="-8"/>
          <w:sz w:val="24"/>
        </w:rPr>
        <w:t xml:space="preserve"> </w:t>
      </w:r>
      <w:r w:rsidR="00601A1C">
        <w:rPr>
          <w:sz w:val="24"/>
        </w:rPr>
        <w:t>contributions</w:t>
      </w:r>
    </w:p>
    <w:p w14:paraId="4F9546E0" w14:textId="77777777" w:rsidR="00601A1C" w:rsidRPr="00601A1C" w:rsidRDefault="00601A1C" w:rsidP="00601A1C">
      <w:pPr>
        <w:pStyle w:val="ListParagraph"/>
        <w:rPr>
          <w:sz w:val="24"/>
        </w:rPr>
      </w:pPr>
    </w:p>
    <w:p w14:paraId="4BFF9C94" w14:textId="243E82C0" w:rsidR="004446C0" w:rsidRDefault="00CC7443" w:rsidP="00601A1C">
      <w:pPr>
        <w:pStyle w:val="ListParagraph"/>
        <w:numPr>
          <w:ilvl w:val="0"/>
          <w:numId w:val="6"/>
        </w:numPr>
        <w:tabs>
          <w:tab w:val="left" w:pos="1109"/>
        </w:tabs>
        <w:ind w:firstLine="0"/>
        <w:rPr>
          <w:sz w:val="24"/>
        </w:rPr>
      </w:pPr>
      <w:r>
        <w:rPr>
          <w:sz w:val="24"/>
        </w:rPr>
        <w:t>Non- Statutory Exemptions to</w:t>
      </w:r>
      <w:r>
        <w:rPr>
          <w:spacing w:val="-8"/>
          <w:sz w:val="24"/>
        </w:rPr>
        <w:t xml:space="preserve"> </w:t>
      </w:r>
      <w:r>
        <w:rPr>
          <w:sz w:val="24"/>
        </w:rPr>
        <w:t>c</w:t>
      </w:r>
      <w:r w:rsidR="00601A1C">
        <w:rPr>
          <w:sz w:val="24"/>
        </w:rPr>
        <w:t>ontributions</w:t>
      </w:r>
    </w:p>
    <w:p w14:paraId="7E4EE947" w14:textId="77777777" w:rsidR="00601A1C" w:rsidRPr="00601A1C" w:rsidRDefault="00601A1C" w:rsidP="00601A1C">
      <w:pPr>
        <w:pStyle w:val="ListParagraph"/>
        <w:rPr>
          <w:sz w:val="24"/>
        </w:rPr>
      </w:pPr>
    </w:p>
    <w:p w14:paraId="2826B375" w14:textId="2F1A4A95" w:rsidR="004446C0" w:rsidRDefault="00CC7443" w:rsidP="00601A1C">
      <w:pPr>
        <w:pStyle w:val="ListParagraph"/>
        <w:numPr>
          <w:ilvl w:val="0"/>
          <w:numId w:val="6"/>
        </w:numPr>
        <w:tabs>
          <w:tab w:val="left" w:pos="1109"/>
        </w:tabs>
        <w:ind w:firstLine="0"/>
        <w:rPr>
          <w:sz w:val="24"/>
        </w:rPr>
      </w:pPr>
      <w:r>
        <w:rPr>
          <w:sz w:val="24"/>
        </w:rPr>
        <w:t>Scope of the</w:t>
      </w:r>
      <w:r>
        <w:rPr>
          <w:spacing w:val="-5"/>
          <w:sz w:val="24"/>
        </w:rPr>
        <w:t xml:space="preserve"> </w:t>
      </w:r>
      <w:r>
        <w:rPr>
          <w:sz w:val="24"/>
        </w:rPr>
        <w:t>Policy</w:t>
      </w:r>
    </w:p>
    <w:p w14:paraId="47B7283E" w14:textId="77777777" w:rsidR="00601A1C" w:rsidRPr="00601A1C" w:rsidRDefault="00601A1C" w:rsidP="00601A1C">
      <w:pPr>
        <w:pStyle w:val="ListParagraph"/>
        <w:rPr>
          <w:sz w:val="24"/>
        </w:rPr>
      </w:pPr>
    </w:p>
    <w:p w14:paraId="6FBF533D" w14:textId="67EAF2E5" w:rsidR="004446C0" w:rsidRDefault="00CC7443" w:rsidP="00601A1C">
      <w:pPr>
        <w:pStyle w:val="ListParagraph"/>
        <w:numPr>
          <w:ilvl w:val="0"/>
          <w:numId w:val="6"/>
        </w:numPr>
        <w:tabs>
          <w:tab w:val="left" w:pos="1109"/>
        </w:tabs>
        <w:ind w:firstLine="0"/>
        <w:rPr>
          <w:sz w:val="24"/>
        </w:rPr>
      </w:pPr>
      <w:r>
        <w:rPr>
          <w:sz w:val="24"/>
        </w:rPr>
        <w:t>Financial</w:t>
      </w:r>
      <w:r>
        <w:rPr>
          <w:spacing w:val="-1"/>
          <w:sz w:val="24"/>
        </w:rPr>
        <w:t xml:space="preserve"> </w:t>
      </w:r>
      <w:r>
        <w:rPr>
          <w:sz w:val="24"/>
        </w:rPr>
        <w:t>Assessments</w:t>
      </w:r>
    </w:p>
    <w:p w14:paraId="1B21071E" w14:textId="77777777" w:rsidR="00601A1C" w:rsidRPr="00601A1C" w:rsidRDefault="00601A1C" w:rsidP="00601A1C">
      <w:pPr>
        <w:pStyle w:val="ListParagraph"/>
        <w:rPr>
          <w:sz w:val="24"/>
        </w:rPr>
      </w:pPr>
    </w:p>
    <w:p w14:paraId="19E92CCB" w14:textId="469BA0EC" w:rsidR="004446C0" w:rsidRDefault="00CC7443" w:rsidP="00601A1C">
      <w:pPr>
        <w:pStyle w:val="ListParagraph"/>
        <w:numPr>
          <w:ilvl w:val="0"/>
          <w:numId w:val="6"/>
        </w:numPr>
        <w:tabs>
          <w:tab w:val="left" w:pos="1109"/>
        </w:tabs>
        <w:ind w:firstLine="0"/>
        <w:rPr>
          <w:sz w:val="24"/>
        </w:rPr>
      </w:pPr>
      <w:r>
        <w:rPr>
          <w:sz w:val="24"/>
        </w:rPr>
        <w:t>Guardians</w:t>
      </w:r>
    </w:p>
    <w:p w14:paraId="57D12334" w14:textId="77777777" w:rsidR="00601A1C" w:rsidRPr="00601A1C" w:rsidRDefault="00601A1C" w:rsidP="00601A1C">
      <w:pPr>
        <w:pStyle w:val="ListParagraph"/>
        <w:rPr>
          <w:sz w:val="24"/>
        </w:rPr>
      </w:pPr>
    </w:p>
    <w:p w14:paraId="2168354D" w14:textId="2FCD8565" w:rsidR="004446C0" w:rsidRDefault="00CC7443" w:rsidP="00601A1C">
      <w:pPr>
        <w:pStyle w:val="ListParagraph"/>
        <w:numPr>
          <w:ilvl w:val="0"/>
          <w:numId w:val="6"/>
        </w:numPr>
        <w:tabs>
          <w:tab w:val="left" w:pos="1109"/>
        </w:tabs>
        <w:ind w:firstLine="0"/>
        <w:rPr>
          <w:sz w:val="24"/>
        </w:rPr>
      </w:pPr>
      <w:r>
        <w:rPr>
          <w:sz w:val="24"/>
        </w:rPr>
        <w:t>Charging</w:t>
      </w:r>
      <w:r>
        <w:rPr>
          <w:spacing w:val="-2"/>
          <w:sz w:val="24"/>
        </w:rPr>
        <w:t xml:space="preserve"> </w:t>
      </w:r>
      <w:r>
        <w:rPr>
          <w:sz w:val="24"/>
        </w:rPr>
        <w:t>Formula</w:t>
      </w:r>
    </w:p>
    <w:p w14:paraId="17486E5A" w14:textId="77777777" w:rsidR="00601A1C" w:rsidRPr="00601A1C" w:rsidRDefault="00601A1C" w:rsidP="00601A1C">
      <w:pPr>
        <w:pStyle w:val="ListParagraph"/>
        <w:rPr>
          <w:sz w:val="24"/>
        </w:rPr>
      </w:pPr>
    </w:p>
    <w:p w14:paraId="733C3DB0" w14:textId="34BCD39F" w:rsidR="00601A1C" w:rsidRDefault="00CC7443" w:rsidP="00601A1C">
      <w:pPr>
        <w:pStyle w:val="ListParagraph"/>
        <w:numPr>
          <w:ilvl w:val="0"/>
          <w:numId w:val="6"/>
        </w:numPr>
        <w:tabs>
          <w:tab w:val="left" w:pos="1109"/>
        </w:tabs>
        <w:ind w:right="6522" w:firstLine="0"/>
        <w:rPr>
          <w:sz w:val="24"/>
        </w:rPr>
      </w:pPr>
      <w:r>
        <w:rPr>
          <w:sz w:val="24"/>
        </w:rPr>
        <w:t>Notification of</w:t>
      </w:r>
      <w:r w:rsidR="00804624">
        <w:rPr>
          <w:sz w:val="24"/>
        </w:rPr>
        <w:t xml:space="preserve">  </w:t>
      </w:r>
      <w:r w:rsidR="00601A1C">
        <w:rPr>
          <w:sz w:val="24"/>
        </w:rPr>
        <w:t xml:space="preserve">Contributions </w:t>
      </w:r>
      <w:r>
        <w:rPr>
          <w:sz w:val="24"/>
        </w:rPr>
        <w:t xml:space="preserve"> </w:t>
      </w:r>
    </w:p>
    <w:p w14:paraId="69176B51" w14:textId="77777777" w:rsidR="00601A1C" w:rsidRPr="00601A1C" w:rsidRDefault="00601A1C" w:rsidP="00601A1C">
      <w:pPr>
        <w:pStyle w:val="ListParagraph"/>
        <w:rPr>
          <w:sz w:val="24"/>
        </w:rPr>
      </w:pPr>
    </w:p>
    <w:p w14:paraId="5011F79D" w14:textId="77777777" w:rsidR="00601A1C" w:rsidRDefault="00CC7443" w:rsidP="00601A1C">
      <w:pPr>
        <w:pStyle w:val="ListParagraph"/>
        <w:tabs>
          <w:tab w:val="left" w:pos="1109"/>
        </w:tabs>
        <w:ind w:left="760" w:right="6522" w:firstLine="0"/>
        <w:rPr>
          <w:sz w:val="24"/>
        </w:rPr>
      </w:pPr>
      <w:r>
        <w:rPr>
          <w:sz w:val="24"/>
        </w:rPr>
        <w:t xml:space="preserve">10.Compensation Packages </w:t>
      </w:r>
    </w:p>
    <w:p w14:paraId="5AE6721E" w14:textId="29C6F0D5" w:rsidR="00601A1C" w:rsidRDefault="00487AFC" w:rsidP="00601A1C">
      <w:pPr>
        <w:pStyle w:val="ListParagraph"/>
        <w:tabs>
          <w:tab w:val="left" w:pos="1109"/>
        </w:tabs>
        <w:ind w:left="760" w:right="6522" w:firstLine="0"/>
        <w:rPr>
          <w:sz w:val="24"/>
        </w:rPr>
      </w:pPr>
      <w:r>
        <w:rPr>
          <w:sz w:val="24"/>
        </w:rPr>
        <w:t xml:space="preserve"> </w:t>
      </w:r>
    </w:p>
    <w:p w14:paraId="4B8DAA58" w14:textId="14CCCC2F" w:rsidR="00601A1C" w:rsidRDefault="00CC7443" w:rsidP="00601A1C">
      <w:pPr>
        <w:pStyle w:val="ListParagraph"/>
        <w:tabs>
          <w:tab w:val="left" w:pos="1109"/>
        </w:tabs>
        <w:ind w:left="760" w:right="6522" w:firstLine="0"/>
        <w:rPr>
          <w:sz w:val="24"/>
        </w:rPr>
      </w:pPr>
      <w:r>
        <w:rPr>
          <w:sz w:val="24"/>
        </w:rPr>
        <w:t xml:space="preserve">11.Voluntary Contributions </w:t>
      </w:r>
    </w:p>
    <w:p w14:paraId="0FC1F53A" w14:textId="77777777" w:rsidR="00601A1C" w:rsidRDefault="00601A1C" w:rsidP="00601A1C">
      <w:pPr>
        <w:pStyle w:val="ListParagraph"/>
        <w:tabs>
          <w:tab w:val="left" w:pos="1109"/>
        </w:tabs>
        <w:ind w:left="760" w:right="6522" w:firstLine="0"/>
        <w:rPr>
          <w:sz w:val="24"/>
        </w:rPr>
      </w:pPr>
    </w:p>
    <w:p w14:paraId="35D17E60" w14:textId="1EE976DB" w:rsidR="004446C0" w:rsidRDefault="00CC7443" w:rsidP="00601A1C">
      <w:pPr>
        <w:pStyle w:val="ListParagraph"/>
        <w:tabs>
          <w:tab w:val="left" w:pos="1109"/>
        </w:tabs>
        <w:ind w:left="760" w:right="6522" w:firstLine="0"/>
        <w:rPr>
          <w:sz w:val="24"/>
        </w:rPr>
      </w:pPr>
      <w:r>
        <w:rPr>
          <w:sz w:val="24"/>
        </w:rPr>
        <w:t>12.Waivers</w:t>
      </w:r>
    </w:p>
    <w:p w14:paraId="7D817FA7" w14:textId="77777777" w:rsidR="00601A1C" w:rsidRDefault="00601A1C" w:rsidP="00601A1C">
      <w:pPr>
        <w:pStyle w:val="ListParagraph"/>
        <w:tabs>
          <w:tab w:val="left" w:pos="1109"/>
        </w:tabs>
        <w:ind w:left="760" w:right="6522" w:firstLine="0"/>
        <w:rPr>
          <w:sz w:val="24"/>
        </w:rPr>
      </w:pPr>
    </w:p>
    <w:p w14:paraId="0451F62D" w14:textId="575DE04E" w:rsidR="00601A1C" w:rsidRDefault="00CC7443" w:rsidP="00601A1C">
      <w:pPr>
        <w:pStyle w:val="BodyText"/>
        <w:ind w:left="760" w:right="6438"/>
      </w:pPr>
      <w:r>
        <w:t xml:space="preserve">13.Change in Circumstances </w:t>
      </w:r>
    </w:p>
    <w:p w14:paraId="477306DF" w14:textId="77777777" w:rsidR="00601A1C" w:rsidRDefault="00601A1C" w:rsidP="00601A1C">
      <w:pPr>
        <w:pStyle w:val="BodyText"/>
        <w:ind w:left="760" w:right="6438"/>
      </w:pPr>
    </w:p>
    <w:p w14:paraId="40E9F394" w14:textId="22DB807D" w:rsidR="004446C0" w:rsidRDefault="00CC7443" w:rsidP="00601A1C">
      <w:pPr>
        <w:pStyle w:val="BodyText"/>
        <w:ind w:left="760" w:right="6438"/>
      </w:pPr>
      <w:r>
        <w:t>14.Financial Review</w:t>
      </w:r>
    </w:p>
    <w:p w14:paraId="59DD0F54" w14:textId="77777777" w:rsidR="00601A1C" w:rsidRDefault="00601A1C" w:rsidP="00601A1C">
      <w:pPr>
        <w:pStyle w:val="BodyText"/>
        <w:ind w:left="760" w:right="6438"/>
      </w:pPr>
    </w:p>
    <w:p w14:paraId="301FCEC3" w14:textId="4F4BE5D5" w:rsidR="00601A1C" w:rsidRDefault="00CC7443" w:rsidP="00601A1C">
      <w:pPr>
        <w:pStyle w:val="BodyText"/>
        <w:ind w:left="760" w:right="4651"/>
      </w:pPr>
      <w:r>
        <w:t xml:space="preserve">15.Non- completion of Financial Assessments </w:t>
      </w:r>
    </w:p>
    <w:p w14:paraId="2DBCF1CC" w14:textId="77777777" w:rsidR="00601A1C" w:rsidRDefault="00601A1C" w:rsidP="00601A1C">
      <w:pPr>
        <w:pStyle w:val="BodyText"/>
        <w:ind w:left="760" w:right="4651"/>
      </w:pPr>
    </w:p>
    <w:p w14:paraId="6A325246" w14:textId="4494FBA5" w:rsidR="004446C0" w:rsidRDefault="00CC7443" w:rsidP="00601A1C">
      <w:pPr>
        <w:pStyle w:val="BodyText"/>
        <w:ind w:left="760" w:right="4651"/>
      </w:pPr>
      <w:r>
        <w:t>16.Backdated Payments</w:t>
      </w:r>
    </w:p>
    <w:p w14:paraId="2286CF4C" w14:textId="77777777" w:rsidR="00601A1C" w:rsidRDefault="00601A1C" w:rsidP="00601A1C">
      <w:pPr>
        <w:pStyle w:val="BodyText"/>
        <w:ind w:left="760" w:right="4651"/>
      </w:pPr>
    </w:p>
    <w:p w14:paraId="278B3BA5" w14:textId="3E5CC7DD" w:rsidR="004446C0" w:rsidRDefault="00CC7443" w:rsidP="00601A1C">
      <w:pPr>
        <w:pStyle w:val="ListParagraph"/>
        <w:numPr>
          <w:ilvl w:val="0"/>
          <w:numId w:val="5"/>
        </w:numPr>
        <w:tabs>
          <w:tab w:val="left" w:pos="1109"/>
        </w:tabs>
        <w:ind w:firstLine="0"/>
        <w:rPr>
          <w:sz w:val="24"/>
        </w:rPr>
      </w:pPr>
      <w:r>
        <w:rPr>
          <w:sz w:val="24"/>
        </w:rPr>
        <w:t>Non- payment of assessed</w:t>
      </w:r>
      <w:r>
        <w:rPr>
          <w:spacing w:val="-2"/>
          <w:sz w:val="24"/>
        </w:rPr>
        <w:t xml:space="preserve"> </w:t>
      </w:r>
      <w:r w:rsidR="00601A1C">
        <w:rPr>
          <w:spacing w:val="-2"/>
          <w:sz w:val="24"/>
        </w:rPr>
        <w:t>contributions</w:t>
      </w:r>
    </w:p>
    <w:p w14:paraId="1A9837A6" w14:textId="77777777" w:rsidR="00601A1C" w:rsidRDefault="00601A1C" w:rsidP="00601A1C">
      <w:pPr>
        <w:pStyle w:val="ListParagraph"/>
        <w:tabs>
          <w:tab w:val="left" w:pos="1109"/>
        </w:tabs>
        <w:ind w:left="760" w:firstLine="0"/>
        <w:rPr>
          <w:sz w:val="24"/>
        </w:rPr>
      </w:pPr>
    </w:p>
    <w:p w14:paraId="58A44A9A" w14:textId="5119804B" w:rsidR="00601A1C" w:rsidRDefault="00CC7443" w:rsidP="00601A1C">
      <w:pPr>
        <w:pStyle w:val="ListParagraph"/>
        <w:numPr>
          <w:ilvl w:val="0"/>
          <w:numId w:val="5"/>
        </w:numPr>
        <w:tabs>
          <w:tab w:val="left" w:pos="1109"/>
        </w:tabs>
        <w:ind w:right="4228" w:firstLine="0"/>
        <w:rPr>
          <w:sz w:val="24"/>
        </w:rPr>
      </w:pPr>
      <w:r>
        <w:rPr>
          <w:sz w:val="24"/>
        </w:rPr>
        <w:t xml:space="preserve">Annual Review and Reassessment </w:t>
      </w:r>
    </w:p>
    <w:p w14:paraId="31CECD8A" w14:textId="77777777" w:rsidR="00601A1C" w:rsidRPr="00601A1C" w:rsidRDefault="00601A1C" w:rsidP="00601A1C">
      <w:pPr>
        <w:pStyle w:val="ListParagraph"/>
        <w:rPr>
          <w:sz w:val="24"/>
        </w:rPr>
      </w:pPr>
    </w:p>
    <w:p w14:paraId="237BF838" w14:textId="796B1BE5" w:rsidR="004446C0" w:rsidRDefault="00CC7443" w:rsidP="00601A1C">
      <w:pPr>
        <w:pStyle w:val="ListParagraph"/>
        <w:numPr>
          <w:ilvl w:val="0"/>
          <w:numId w:val="5"/>
        </w:numPr>
        <w:tabs>
          <w:tab w:val="left" w:pos="1109"/>
        </w:tabs>
        <w:ind w:right="4228" w:firstLine="0"/>
        <w:rPr>
          <w:sz w:val="24"/>
        </w:rPr>
      </w:pPr>
      <w:r>
        <w:rPr>
          <w:sz w:val="24"/>
        </w:rPr>
        <w:t>Absence from a</w:t>
      </w:r>
      <w:r>
        <w:rPr>
          <w:spacing w:val="-3"/>
          <w:sz w:val="24"/>
        </w:rPr>
        <w:t xml:space="preserve"> </w:t>
      </w:r>
      <w:r>
        <w:rPr>
          <w:sz w:val="24"/>
        </w:rPr>
        <w:t>Service</w:t>
      </w:r>
    </w:p>
    <w:p w14:paraId="65EE3690" w14:textId="77777777" w:rsidR="004446C0" w:rsidRDefault="004446C0" w:rsidP="00601A1C">
      <w:pPr>
        <w:rPr>
          <w:sz w:val="24"/>
        </w:rPr>
        <w:sectPr w:rsidR="004446C0">
          <w:headerReference w:type="default" r:id="rId10"/>
          <w:footerReference w:type="default" r:id="rId11"/>
          <w:pgSz w:w="11900" w:h="16850"/>
          <w:pgMar w:top="1340" w:right="560" w:bottom="820" w:left="1040" w:header="571" w:footer="638" w:gutter="0"/>
          <w:pgNumType w:start="2"/>
          <w:cols w:space="720"/>
        </w:sectPr>
      </w:pPr>
    </w:p>
    <w:p w14:paraId="541A6D06" w14:textId="769E37DC" w:rsidR="004446C0" w:rsidRDefault="005F7AE9">
      <w:pPr>
        <w:pStyle w:val="Heading1"/>
        <w:numPr>
          <w:ilvl w:val="0"/>
          <w:numId w:val="4"/>
        </w:numPr>
        <w:tabs>
          <w:tab w:val="left" w:pos="1121"/>
        </w:tabs>
        <w:spacing w:before="0"/>
        <w:ind w:firstLine="360"/>
        <w:jc w:val="left"/>
      </w:pPr>
      <w:r>
        <w:lastRenderedPageBreak/>
        <w:t xml:space="preserve">Introduction &amp; </w:t>
      </w:r>
      <w:r w:rsidR="00CC7443">
        <w:t>Background</w:t>
      </w:r>
    </w:p>
    <w:p w14:paraId="1B5E526A" w14:textId="77777777" w:rsidR="004F4266" w:rsidRDefault="004F4266" w:rsidP="004F4266">
      <w:pPr>
        <w:pStyle w:val="Heading1"/>
        <w:tabs>
          <w:tab w:val="left" w:pos="1121"/>
        </w:tabs>
        <w:spacing w:before="0"/>
      </w:pPr>
    </w:p>
    <w:p w14:paraId="2ED1DD9F" w14:textId="73B900BD" w:rsidR="004F4266" w:rsidRDefault="004F4266" w:rsidP="004F4266">
      <w:pPr>
        <w:pStyle w:val="Heading1"/>
        <w:tabs>
          <w:tab w:val="left" w:pos="1121"/>
        </w:tabs>
        <w:spacing w:before="0"/>
      </w:pPr>
      <w:r>
        <w:t xml:space="preserve">This policy aims to: </w:t>
      </w:r>
    </w:p>
    <w:p w14:paraId="363D963A" w14:textId="77777777" w:rsidR="004F4266" w:rsidRDefault="004F4266" w:rsidP="004F4266">
      <w:pPr>
        <w:pStyle w:val="Heading1"/>
        <w:tabs>
          <w:tab w:val="left" w:pos="1121"/>
        </w:tabs>
        <w:spacing w:before="0"/>
        <w:jc w:val="right"/>
      </w:pPr>
    </w:p>
    <w:p w14:paraId="14D56E3A" w14:textId="77777777" w:rsidR="004446C0" w:rsidRDefault="004446C0">
      <w:pPr>
        <w:pStyle w:val="BodyText"/>
        <w:rPr>
          <w:b/>
          <w:sz w:val="26"/>
        </w:rPr>
      </w:pPr>
    </w:p>
    <w:p w14:paraId="3CD9F973" w14:textId="72B9DE3E" w:rsidR="00C521C9" w:rsidRDefault="00C521C9" w:rsidP="00601A1C">
      <w:pPr>
        <w:pStyle w:val="ListParagraph"/>
        <w:numPr>
          <w:ilvl w:val="0"/>
          <w:numId w:val="3"/>
        </w:numPr>
        <w:tabs>
          <w:tab w:val="left" w:pos="1121"/>
        </w:tabs>
        <w:ind w:left="1117" w:right="881" w:hanging="357"/>
        <w:jc w:val="both"/>
        <w:rPr>
          <w:sz w:val="24"/>
        </w:rPr>
      </w:pPr>
      <w:r w:rsidRPr="00601A1C">
        <w:rPr>
          <w:sz w:val="24"/>
        </w:rPr>
        <w:t>Set out the approach to seeking parental contributions for children who become looked after under s20 Children Act 1989</w:t>
      </w:r>
    </w:p>
    <w:p w14:paraId="52129F35" w14:textId="734D2CBA" w:rsidR="006A200A" w:rsidRPr="00601A1C" w:rsidRDefault="006A200A" w:rsidP="00601A1C">
      <w:pPr>
        <w:pStyle w:val="ListParagraph"/>
        <w:numPr>
          <w:ilvl w:val="0"/>
          <w:numId w:val="3"/>
        </w:numPr>
        <w:tabs>
          <w:tab w:val="left" w:pos="1121"/>
        </w:tabs>
        <w:ind w:left="1117" w:right="881" w:hanging="357"/>
        <w:jc w:val="both"/>
        <w:rPr>
          <w:sz w:val="24"/>
        </w:rPr>
      </w:pPr>
      <w:r>
        <w:rPr>
          <w:sz w:val="24"/>
        </w:rPr>
        <w:t>Encourage the exercise of parental responsibility, by asking parents to contribute towards the cost of providing care and accommodation to their child</w:t>
      </w:r>
    </w:p>
    <w:p w14:paraId="2FBD2F0E" w14:textId="1AC8B53C" w:rsidR="004446C0" w:rsidRDefault="00CC7443" w:rsidP="00601A1C">
      <w:pPr>
        <w:pStyle w:val="ListParagraph"/>
        <w:numPr>
          <w:ilvl w:val="0"/>
          <w:numId w:val="3"/>
        </w:numPr>
        <w:tabs>
          <w:tab w:val="left" w:pos="1120"/>
          <w:tab w:val="left" w:pos="1121"/>
        </w:tabs>
        <w:ind w:left="1117" w:right="885" w:hanging="357"/>
        <w:rPr>
          <w:sz w:val="24"/>
        </w:rPr>
      </w:pPr>
      <w:r>
        <w:rPr>
          <w:sz w:val="24"/>
        </w:rPr>
        <w:t>Support the overall objectives of the Children Act 1989 that the welfare of the child is paramount and promotes parental</w:t>
      </w:r>
      <w:r>
        <w:rPr>
          <w:spacing w:val="-10"/>
          <w:sz w:val="24"/>
        </w:rPr>
        <w:t xml:space="preserve"> </w:t>
      </w:r>
      <w:r w:rsidR="00601A1C">
        <w:rPr>
          <w:sz w:val="24"/>
        </w:rPr>
        <w:t>responsibility.</w:t>
      </w:r>
    </w:p>
    <w:p w14:paraId="2F5FF1A0" w14:textId="0CA31A87" w:rsidR="004446C0" w:rsidRDefault="00CC7443">
      <w:pPr>
        <w:pStyle w:val="BodyText"/>
        <w:spacing w:before="205"/>
        <w:ind w:left="400" w:right="884"/>
        <w:jc w:val="both"/>
        <w:rPr>
          <w:b/>
        </w:rPr>
      </w:pPr>
      <w:r>
        <w:t xml:space="preserve">Any reference to residential care within this policy includes fostering </w:t>
      </w:r>
      <w:r w:rsidR="00601A1C">
        <w:t>placements but</w:t>
      </w:r>
      <w:r>
        <w:t xml:space="preserve"> does not include any aspect of respite provision</w:t>
      </w:r>
      <w:r>
        <w:rPr>
          <w:b/>
        </w:rPr>
        <w:t>.</w:t>
      </w:r>
    </w:p>
    <w:p w14:paraId="0EC564DD" w14:textId="77777777" w:rsidR="004446C0" w:rsidRDefault="004446C0">
      <w:pPr>
        <w:pStyle w:val="BodyText"/>
        <w:rPr>
          <w:b/>
          <w:sz w:val="26"/>
        </w:rPr>
      </w:pPr>
    </w:p>
    <w:p w14:paraId="45BB2EAD" w14:textId="77777777" w:rsidR="004446C0" w:rsidRDefault="00CC7443">
      <w:pPr>
        <w:pStyle w:val="Heading1"/>
        <w:numPr>
          <w:ilvl w:val="0"/>
          <w:numId w:val="4"/>
        </w:numPr>
        <w:tabs>
          <w:tab w:val="left" w:pos="1121"/>
        </w:tabs>
        <w:ind w:firstLine="360"/>
        <w:jc w:val="left"/>
      </w:pPr>
      <w:r>
        <w:t>Legislative</w:t>
      </w:r>
      <w:r>
        <w:rPr>
          <w:spacing w:val="-1"/>
        </w:rPr>
        <w:t xml:space="preserve"> </w:t>
      </w:r>
      <w:r>
        <w:t>framework</w:t>
      </w:r>
    </w:p>
    <w:p w14:paraId="38FA8C1F" w14:textId="77777777" w:rsidR="004446C0" w:rsidRDefault="004446C0">
      <w:pPr>
        <w:pStyle w:val="BodyText"/>
        <w:spacing w:before="6"/>
        <w:rPr>
          <w:b/>
          <w:sz w:val="34"/>
        </w:rPr>
      </w:pPr>
    </w:p>
    <w:p w14:paraId="7EDE62F7" w14:textId="77777777" w:rsidR="004446C0" w:rsidRDefault="00CC7443">
      <w:pPr>
        <w:pStyle w:val="BodyText"/>
        <w:ind w:left="400" w:right="875"/>
        <w:jc w:val="both"/>
      </w:pPr>
      <w:r>
        <w:t xml:space="preserve">Section 20(4) of the Children Act 1989 empowers local authorities to provide accommodation for any child within their area (even though a person with parental responsibility for him/her </w:t>
      </w:r>
      <w:proofErr w:type="gramStart"/>
      <w:r>
        <w:t>is able to</w:t>
      </w:r>
      <w:proofErr w:type="gramEnd"/>
      <w:r>
        <w:t xml:space="preserve"> provide him/her with accommodation) if they consider that to do so would safeguard or promote the child's welfare.</w:t>
      </w:r>
    </w:p>
    <w:p w14:paraId="3487988A" w14:textId="77777777" w:rsidR="004446C0" w:rsidRDefault="004446C0">
      <w:pPr>
        <w:pStyle w:val="BodyText"/>
      </w:pPr>
    </w:p>
    <w:p w14:paraId="50F3B4E2" w14:textId="3B62D79C" w:rsidR="004446C0" w:rsidRDefault="00DC377D">
      <w:pPr>
        <w:pStyle w:val="BodyText"/>
        <w:ind w:left="400" w:right="874"/>
        <w:jc w:val="both"/>
      </w:pPr>
      <w:r>
        <w:t>A</w:t>
      </w:r>
      <w:r w:rsidR="00CC7443">
        <w:t xml:space="preserve"> key feature of this provision is that accommodation cannot be provided if any person with parental responsibility objects, therefore it is 'voluntary'. Where children are accommodated for more than 24 hours pursuant to functions under section 20 then they are deemed to be 'looked after'.</w:t>
      </w:r>
    </w:p>
    <w:p w14:paraId="306F1845" w14:textId="77777777" w:rsidR="004446C0" w:rsidRDefault="004446C0">
      <w:pPr>
        <w:pStyle w:val="BodyText"/>
      </w:pPr>
    </w:p>
    <w:p w14:paraId="4834B55F" w14:textId="53C0BF8C" w:rsidR="004446C0" w:rsidRDefault="00CC7443" w:rsidP="006A200A">
      <w:pPr>
        <w:pStyle w:val="BodyText"/>
        <w:spacing w:before="1"/>
        <w:ind w:left="400" w:right="879"/>
        <w:jc w:val="both"/>
      </w:pPr>
      <w:r>
        <w:t>Where accommodation is provided under section 20 of the Children Act 1989</w:t>
      </w:r>
      <w:r w:rsidR="00C521C9">
        <w:t>,</w:t>
      </w:r>
      <w:r>
        <w:t xml:space="preserve"> Schedule 2</w:t>
      </w:r>
      <w:r w:rsidR="00DC377D">
        <w:t xml:space="preserve">, Part III, of the Act </w:t>
      </w:r>
      <w:r>
        <w:t>requires local authorities to consider whether they should recover contributions towards the child's maintenance from any person liable to</w:t>
      </w:r>
      <w:r w:rsidR="006A200A">
        <w:t xml:space="preserve"> </w:t>
      </w:r>
      <w:r>
        <w:t>contribute ('a contributor'). The costs of a child's maintenance include the costs of accommodation.</w:t>
      </w:r>
      <w:r w:rsidR="00360C35">
        <w:t xml:space="preserve"> There are prescribed exceptions to this requirement, but these are not relevant to charges to which this policy relates. </w:t>
      </w:r>
    </w:p>
    <w:p w14:paraId="291EDC5F" w14:textId="77777777" w:rsidR="004446C0" w:rsidRDefault="004446C0">
      <w:pPr>
        <w:pStyle w:val="BodyText"/>
      </w:pPr>
    </w:p>
    <w:p w14:paraId="1FF900B4" w14:textId="05561649" w:rsidR="004446C0" w:rsidRDefault="00CC7443">
      <w:pPr>
        <w:pStyle w:val="BodyText"/>
        <w:ind w:left="400"/>
      </w:pPr>
      <w:r>
        <w:t>A local authority may only recover contributions from a contributor if they consider it reasonable to do so</w:t>
      </w:r>
      <w:r w:rsidR="00C521C9">
        <w:t>.</w:t>
      </w:r>
      <w:r>
        <w:t xml:space="preserve">  </w:t>
      </w:r>
      <w:r w:rsidR="00C521C9">
        <w:t>T</w:t>
      </w:r>
      <w:r>
        <w:t>he persons liable to contribute are:</w:t>
      </w:r>
    </w:p>
    <w:p w14:paraId="2E9CCB37" w14:textId="77777777" w:rsidR="004446C0" w:rsidRDefault="004446C0">
      <w:pPr>
        <w:pStyle w:val="BodyText"/>
        <w:spacing w:before="1"/>
      </w:pPr>
    </w:p>
    <w:p w14:paraId="502CBDF1" w14:textId="60B0F658" w:rsidR="004446C0" w:rsidRDefault="00CC7443">
      <w:pPr>
        <w:pStyle w:val="ListParagraph"/>
        <w:numPr>
          <w:ilvl w:val="0"/>
          <w:numId w:val="3"/>
        </w:numPr>
        <w:tabs>
          <w:tab w:val="left" w:pos="1120"/>
          <w:tab w:val="left" w:pos="1121"/>
        </w:tabs>
        <w:rPr>
          <w:sz w:val="24"/>
        </w:rPr>
      </w:pPr>
      <w:r>
        <w:rPr>
          <w:sz w:val="24"/>
        </w:rPr>
        <w:t>Where the child is under</w:t>
      </w:r>
      <w:r>
        <w:rPr>
          <w:spacing w:val="-6"/>
          <w:sz w:val="24"/>
        </w:rPr>
        <w:t xml:space="preserve"> </w:t>
      </w:r>
      <w:r>
        <w:rPr>
          <w:sz w:val="24"/>
        </w:rPr>
        <w:t>16</w:t>
      </w:r>
      <w:r w:rsidR="00C521C9">
        <w:rPr>
          <w:sz w:val="24"/>
        </w:rPr>
        <w:t xml:space="preserve"> – the parent </w:t>
      </w:r>
      <w:r w:rsidR="00360C35">
        <w:rPr>
          <w:sz w:val="24"/>
        </w:rPr>
        <w:t xml:space="preserve">of the child </w:t>
      </w:r>
    </w:p>
    <w:p w14:paraId="5F7FB2E5" w14:textId="1E647F79" w:rsidR="004446C0" w:rsidRDefault="00CC7443">
      <w:pPr>
        <w:pStyle w:val="ListParagraph"/>
        <w:numPr>
          <w:ilvl w:val="0"/>
          <w:numId w:val="3"/>
        </w:numPr>
        <w:tabs>
          <w:tab w:val="left" w:pos="1120"/>
          <w:tab w:val="left" w:pos="1121"/>
        </w:tabs>
        <w:spacing w:before="42"/>
        <w:rPr>
          <w:sz w:val="24"/>
        </w:rPr>
      </w:pPr>
      <w:r>
        <w:rPr>
          <w:sz w:val="24"/>
        </w:rPr>
        <w:t xml:space="preserve">Where </w:t>
      </w:r>
      <w:r w:rsidR="00C521C9">
        <w:rPr>
          <w:sz w:val="24"/>
        </w:rPr>
        <w:t xml:space="preserve">the child is aged 16 </w:t>
      </w:r>
      <w:r w:rsidR="00360C35">
        <w:rPr>
          <w:sz w:val="24"/>
        </w:rPr>
        <w:t>- the</w:t>
      </w:r>
      <w:r>
        <w:rPr>
          <w:sz w:val="24"/>
        </w:rPr>
        <w:t xml:space="preserve"> child</w:t>
      </w:r>
      <w:r>
        <w:rPr>
          <w:spacing w:val="-17"/>
          <w:sz w:val="24"/>
        </w:rPr>
        <w:t xml:space="preserve"> </w:t>
      </w:r>
      <w:r w:rsidR="00360C35">
        <w:rPr>
          <w:spacing w:val="-17"/>
          <w:sz w:val="24"/>
        </w:rPr>
        <w:t>themselves</w:t>
      </w:r>
    </w:p>
    <w:p w14:paraId="7A06DFA2" w14:textId="0F087DE5" w:rsidR="004446C0" w:rsidRDefault="00CC7443" w:rsidP="006A200A">
      <w:pPr>
        <w:tabs>
          <w:tab w:val="left" w:pos="1121"/>
        </w:tabs>
        <w:spacing w:before="218" w:line="276" w:lineRule="auto"/>
        <w:ind w:right="884"/>
        <w:jc w:val="both"/>
        <w:rPr>
          <w:sz w:val="24"/>
        </w:rPr>
      </w:pPr>
      <w:r w:rsidRPr="006A200A">
        <w:rPr>
          <w:sz w:val="24"/>
        </w:rPr>
        <w:t xml:space="preserve">In considering </w:t>
      </w:r>
      <w:r w:rsidR="00360C35">
        <w:rPr>
          <w:sz w:val="24"/>
        </w:rPr>
        <w:t>these</w:t>
      </w:r>
      <w:r w:rsidRPr="006A200A">
        <w:rPr>
          <w:sz w:val="24"/>
        </w:rPr>
        <w:t xml:space="preserve"> contributions</w:t>
      </w:r>
      <w:r w:rsidR="00360C35">
        <w:rPr>
          <w:sz w:val="24"/>
        </w:rPr>
        <w:t>,</w:t>
      </w:r>
      <w:r w:rsidRPr="006A200A">
        <w:rPr>
          <w:sz w:val="24"/>
        </w:rPr>
        <w:t xml:space="preserve"> the amount should not be more than would be paid for a local authority foster </w:t>
      </w:r>
      <w:r w:rsidR="00BB21AE" w:rsidRPr="006A200A">
        <w:rPr>
          <w:sz w:val="24"/>
        </w:rPr>
        <w:t xml:space="preserve">care </w:t>
      </w:r>
      <w:r w:rsidRPr="006A200A">
        <w:rPr>
          <w:sz w:val="24"/>
        </w:rPr>
        <w:t>placement and the local authority should consider that the amount is practicable for the parent/carer to pay</w:t>
      </w:r>
      <w:r w:rsidR="0043444F">
        <w:rPr>
          <w:sz w:val="24"/>
        </w:rPr>
        <w:t xml:space="preserve">, </w:t>
      </w:r>
      <w:r w:rsidRPr="006A200A">
        <w:rPr>
          <w:sz w:val="24"/>
        </w:rPr>
        <w:t xml:space="preserve">having regard to </w:t>
      </w:r>
      <w:r w:rsidR="006A200A">
        <w:rPr>
          <w:sz w:val="24"/>
        </w:rPr>
        <w:t xml:space="preserve">their </w:t>
      </w:r>
      <w:r w:rsidRPr="006A200A">
        <w:rPr>
          <w:sz w:val="24"/>
        </w:rPr>
        <w:t>means.</w:t>
      </w:r>
    </w:p>
    <w:p w14:paraId="53138A97" w14:textId="5F8FE855" w:rsidR="006A200A" w:rsidRDefault="006A200A" w:rsidP="006A200A">
      <w:pPr>
        <w:tabs>
          <w:tab w:val="left" w:pos="1121"/>
        </w:tabs>
        <w:spacing w:before="218" w:line="276" w:lineRule="auto"/>
        <w:ind w:right="884"/>
        <w:jc w:val="both"/>
        <w:rPr>
          <w:sz w:val="24"/>
        </w:rPr>
      </w:pPr>
    </w:p>
    <w:p w14:paraId="2ED0EFCE" w14:textId="208C6D08" w:rsidR="006A200A" w:rsidRDefault="006A200A" w:rsidP="006A200A">
      <w:pPr>
        <w:tabs>
          <w:tab w:val="left" w:pos="1121"/>
        </w:tabs>
        <w:spacing w:before="218" w:line="276" w:lineRule="auto"/>
        <w:ind w:right="884"/>
        <w:jc w:val="both"/>
        <w:rPr>
          <w:sz w:val="24"/>
        </w:rPr>
      </w:pPr>
    </w:p>
    <w:p w14:paraId="463F926A" w14:textId="77777777" w:rsidR="006A200A" w:rsidRDefault="006A200A" w:rsidP="006A200A">
      <w:pPr>
        <w:tabs>
          <w:tab w:val="left" w:pos="1121"/>
        </w:tabs>
        <w:spacing w:before="218" w:line="276" w:lineRule="auto"/>
        <w:ind w:right="884"/>
        <w:jc w:val="both"/>
        <w:rPr>
          <w:sz w:val="24"/>
        </w:rPr>
      </w:pPr>
    </w:p>
    <w:p w14:paraId="5C25FEE2" w14:textId="77777777" w:rsidR="006A200A" w:rsidRPr="006A200A" w:rsidRDefault="006A200A" w:rsidP="006A200A">
      <w:pPr>
        <w:tabs>
          <w:tab w:val="left" w:pos="1121"/>
        </w:tabs>
        <w:spacing w:before="218" w:line="276" w:lineRule="auto"/>
        <w:ind w:right="884"/>
        <w:jc w:val="both"/>
        <w:rPr>
          <w:sz w:val="24"/>
        </w:rPr>
      </w:pPr>
    </w:p>
    <w:p w14:paraId="42EF6FA0" w14:textId="3BE42D13" w:rsidR="004446C0" w:rsidRDefault="00CC7443">
      <w:pPr>
        <w:pStyle w:val="Heading1"/>
        <w:numPr>
          <w:ilvl w:val="0"/>
          <w:numId w:val="4"/>
        </w:numPr>
        <w:tabs>
          <w:tab w:val="left" w:pos="912"/>
        </w:tabs>
        <w:spacing w:before="177"/>
        <w:ind w:left="911" w:hanging="511"/>
        <w:jc w:val="both"/>
      </w:pPr>
      <w:r>
        <w:lastRenderedPageBreak/>
        <w:t>Statutory Exemptions to</w:t>
      </w:r>
      <w:r>
        <w:rPr>
          <w:spacing w:val="-6"/>
        </w:rPr>
        <w:t xml:space="preserve"> </w:t>
      </w:r>
      <w:r w:rsidR="00223557" w:rsidRPr="00223557">
        <w:t>contribution</w:t>
      </w:r>
      <w:r w:rsidRPr="00223557">
        <w:t>s</w:t>
      </w:r>
    </w:p>
    <w:p w14:paraId="769A17FA" w14:textId="77777777" w:rsidR="004446C0" w:rsidRDefault="004446C0">
      <w:pPr>
        <w:pStyle w:val="BodyText"/>
        <w:spacing w:before="5"/>
        <w:rPr>
          <w:b/>
          <w:sz w:val="34"/>
        </w:rPr>
      </w:pPr>
    </w:p>
    <w:p w14:paraId="1096BD45" w14:textId="002DB3C3" w:rsidR="004446C0" w:rsidRDefault="00CC7443" w:rsidP="00223557">
      <w:pPr>
        <w:pStyle w:val="ListParagraph"/>
        <w:numPr>
          <w:ilvl w:val="0"/>
          <w:numId w:val="2"/>
        </w:numPr>
        <w:tabs>
          <w:tab w:val="left" w:pos="761"/>
        </w:tabs>
        <w:spacing w:before="1"/>
        <w:jc w:val="both"/>
        <w:rPr>
          <w:sz w:val="24"/>
        </w:rPr>
      </w:pPr>
      <w:r>
        <w:rPr>
          <w:sz w:val="24"/>
        </w:rPr>
        <w:t>A parent is not liable to contribute during any period when he/she is in receipt</w:t>
      </w:r>
      <w:r>
        <w:rPr>
          <w:spacing w:val="-22"/>
          <w:sz w:val="24"/>
        </w:rPr>
        <w:t xml:space="preserve"> </w:t>
      </w:r>
      <w:r>
        <w:rPr>
          <w:sz w:val="24"/>
        </w:rPr>
        <w:t>of:</w:t>
      </w:r>
    </w:p>
    <w:p w14:paraId="7455FACE" w14:textId="77777777" w:rsidR="00223557" w:rsidRDefault="00223557" w:rsidP="00223557">
      <w:pPr>
        <w:pStyle w:val="ListParagraph"/>
        <w:tabs>
          <w:tab w:val="left" w:pos="761"/>
        </w:tabs>
        <w:spacing w:before="1"/>
        <w:ind w:left="760" w:firstLine="0"/>
        <w:jc w:val="both"/>
        <w:rPr>
          <w:sz w:val="24"/>
        </w:rPr>
      </w:pPr>
    </w:p>
    <w:p w14:paraId="01E7C5D4" w14:textId="65AC7FA0" w:rsidR="004446C0" w:rsidRDefault="00CC7443" w:rsidP="00223557">
      <w:pPr>
        <w:pStyle w:val="ListParagraph"/>
        <w:numPr>
          <w:ilvl w:val="1"/>
          <w:numId w:val="2"/>
        </w:numPr>
        <w:tabs>
          <w:tab w:val="left" w:pos="1121"/>
        </w:tabs>
        <w:spacing w:before="41"/>
        <w:jc w:val="both"/>
        <w:rPr>
          <w:sz w:val="24"/>
        </w:rPr>
      </w:pPr>
      <w:r>
        <w:rPr>
          <w:sz w:val="24"/>
        </w:rPr>
        <w:t>Universal</w:t>
      </w:r>
      <w:r>
        <w:rPr>
          <w:spacing w:val="-1"/>
          <w:sz w:val="24"/>
        </w:rPr>
        <w:t xml:space="preserve"> </w:t>
      </w:r>
      <w:r w:rsidR="00223557">
        <w:rPr>
          <w:sz w:val="24"/>
        </w:rPr>
        <w:t>Credit</w:t>
      </w:r>
    </w:p>
    <w:p w14:paraId="020415E8" w14:textId="3F83AB93" w:rsidR="00BB21AE" w:rsidRDefault="00BB21AE" w:rsidP="00223557">
      <w:pPr>
        <w:pStyle w:val="ListParagraph"/>
        <w:numPr>
          <w:ilvl w:val="1"/>
          <w:numId w:val="2"/>
        </w:numPr>
        <w:tabs>
          <w:tab w:val="left" w:pos="1121"/>
        </w:tabs>
        <w:spacing w:before="41"/>
        <w:jc w:val="both"/>
        <w:rPr>
          <w:sz w:val="24"/>
        </w:rPr>
      </w:pPr>
      <w:r>
        <w:rPr>
          <w:sz w:val="24"/>
        </w:rPr>
        <w:t xml:space="preserve">Income Support </w:t>
      </w:r>
    </w:p>
    <w:p w14:paraId="2B201156" w14:textId="778E77C7" w:rsidR="004446C0" w:rsidRPr="00223557" w:rsidRDefault="00CC7443" w:rsidP="00223557">
      <w:pPr>
        <w:pStyle w:val="ListParagraph"/>
        <w:numPr>
          <w:ilvl w:val="1"/>
          <w:numId w:val="2"/>
        </w:numPr>
        <w:tabs>
          <w:tab w:val="left" w:pos="1121"/>
        </w:tabs>
        <w:spacing w:before="19"/>
        <w:jc w:val="both"/>
        <w:rPr>
          <w:sz w:val="24"/>
        </w:rPr>
      </w:pPr>
      <w:r w:rsidRPr="00223557">
        <w:rPr>
          <w:sz w:val="24"/>
        </w:rPr>
        <w:t>Any element of child tax credit other than the family</w:t>
      </w:r>
      <w:r w:rsidRPr="00223557">
        <w:rPr>
          <w:spacing w:val="-16"/>
          <w:sz w:val="24"/>
        </w:rPr>
        <w:t xml:space="preserve"> </w:t>
      </w:r>
      <w:r w:rsidR="00223557" w:rsidRPr="00223557">
        <w:rPr>
          <w:sz w:val="24"/>
        </w:rPr>
        <w:t xml:space="preserve">element of </w:t>
      </w:r>
      <w:r w:rsidRPr="00223557">
        <w:rPr>
          <w:sz w:val="24"/>
        </w:rPr>
        <w:t>Working Tax Credit,</w:t>
      </w:r>
      <w:r w:rsidRPr="00223557">
        <w:rPr>
          <w:spacing w:val="-4"/>
          <w:sz w:val="24"/>
        </w:rPr>
        <w:t xml:space="preserve"> </w:t>
      </w:r>
      <w:r w:rsidRPr="00223557">
        <w:rPr>
          <w:sz w:val="24"/>
        </w:rPr>
        <w:t>or</w:t>
      </w:r>
    </w:p>
    <w:p w14:paraId="0845DDCC" w14:textId="4C66CC01" w:rsidR="004446C0" w:rsidRDefault="00CC7443" w:rsidP="00223557">
      <w:pPr>
        <w:pStyle w:val="ListParagraph"/>
        <w:numPr>
          <w:ilvl w:val="1"/>
          <w:numId w:val="2"/>
        </w:numPr>
        <w:tabs>
          <w:tab w:val="left" w:pos="1121"/>
        </w:tabs>
        <w:spacing w:before="22"/>
        <w:jc w:val="both"/>
        <w:rPr>
          <w:sz w:val="24"/>
        </w:rPr>
      </w:pPr>
      <w:r>
        <w:rPr>
          <w:sz w:val="24"/>
        </w:rPr>
        <w:t>Income-based Jobseeker's</w:t>
      </w:r>
      <w:r>
        <w:rPr>
          <w:spacing w:val="-1"/>
          <w:sz w:val="24"/>
        </w:rPr>
        <w:t xml:space="preserve"> </w:t>
      </w:r>
      <w:r w:rsidR="00223557">
        <w:rPr>
          <w:sz w:val="24"/>
        </w:rPr>
        <w:t>Allowance</w:t>
      </w:r>
    </w:p>
    <w:p w14:paraId="7B5A8E82" w14:textId="1EAD17DC" w:rsidR="004446C0" w:rsidRDefault="00CC7443" w:rsidP="00223557">
      <w:pPr>
        <w:pStyle w:val="BodyText"/>
        <w:numPr>
          <w:ilvl w:val="1"/>
          <w:numId w:val="2"/>
        </w:numPr>
        <w:spacing w:before="20"/>
        <w:jc w:val="both"/>
      </w:pPr>
      <w:r>
        <w:t>Income-related employment and support allowance</w:t>
      </w:r>
    </w:p>
    <w:p w14:paraId="5C1A024B" w14:textId="77777777" w:rsidR="004446C0" w:rsidRDefault="00CC7443" w:rsidP="00223557">
      <w:pPr>
        <w:pStyle w:val="ListParagraph"/>
        <w:numPr>
          <w:ilvl w:val="1"/>
          <w:numId w:val="2"/>
        </w:numPr>
        <w:tabs>
          <w:tab w:val="left" w:pos="1121"/>
        </w:tabs>
        <w:spacing w:before="41" w:line="256" w:lineRule="auto"/>
        <w:ind w:right="881"/>
        <w:jc w:val="both"/>
        <w:rPr>
          <w:sz w:val="24"/>
        </w:rPr>
      </w:pPr>
      <w:r>
        <w:rPr>
          <w:sz w:val="24"/>
        </w:rPr>
        <w:t>State pension or where they are a couple with one person receiving state pension</w:t>
      </w:r>
      <w:r>
        <w:rPr>
          <w:spacing w:val="-1"/>
          <w:sz w:val="24"/>
        </w:rPr>
        <w:t xml:space="preserve"> </w:t>
      </w:r>
      <w:r>
        <w:rPr>
          <w:sz w:val="24"/>
        </w:rPr>
        <w:t>credit.</w:t>
      </w:r>
    </w:p>
    <w:p w14:paraId="6CD6D4D4" w14:textId="77777777" w:rsidR="004446C0" w:rsidRDefault="004446C0" w:rsidP="00223557">
      <w:pPr>
        <w:pStyle w:val="BodyText"/>
        <w:spacing w:before="2"/>
        <w:jc w:val="both"/>
        <w:rPr>
          <w:sz w:val="36"/>
        </w:rPr>
      </w:pPr>
    </w:p>
    <w:p w14:paraId="3BCED443" w14:textId="1F0B9398" w:rsidR="00223557" w:rsidRDefault="00CC7443" w:rsidP="00223557">
      <w:pPr>
        <w:pStyle w:val="ListParagraph"/>
        <w:numPr>
          <w:ilvl w:val="0"/>
          <w:numId w:val="2"/>
        </w:numPr>
        <w:tabs>
          <w:tab w:val="left" w:pos="761"/>
        </w:tabs>
        <w:spacing w:line="276" w:lineRule="auto"/>
        <w:ind w:right="881"/>
        <w:jc w:val="both"/>
        <w:rPr>
          <w:sz w:val="24"/>
        </w:rPr>
      </w:pPr>
      <w:r>
        <w:rPr>
          <w:sz w:val="24"/>
        </w:rPr>
        <w:t>A parent is not liable for any contribution where the child or young person is</w:t>
      </w:r>
      <w:r>
        <w:rPr>
          <w:spacing w:val="-28"/>
          <w:sz w:val="24"/>
        </w:rPr>
        <w:t xml:space="preserve"> </w:t>
      </w:r>
      <w:r>
        <w:rPr>
          <w:sz w:val="24"/>
        </w:rPr>
        <w:t xml:space="preserve">being looked after by the local authority under </w:t>
      </w:r>
    </w:p>
    <w:p w14:paraId="1A29EC56" w14:textId="77777777" w:rsidR="00223557" w:rsidRDefault="00223557" w:rsidP="00223557">
      <w:pPr>
        <w:pStyle w:val="ListParagraph"/>
        <w:tabs>
          <w:tab w:val="left" w:pos="761"/>
        </w:tabs>
        <w:spacing w:line="276" w:lineRule="auto"/>
        <w:ind w:left="760" w:right="881" w:firstLine="0"/>
        <w:jc w:val="both"/>
        <w:rPr>
          <w:sz w:val="24"/>
        </w:rPr>
      </w:pPr>
    </w:p>
    <w:p w14:paraId="3501BF10" w14:textId="77777777" w:rsidR="00223557" w:rsidRDefault="00CC7443" w:rsidP="00223557">
      <w:pPr>
        <w:pStyle w:val="ListParagraph"/>
        <w:numPr>
          <w:ilvl w:val="1"/>
          <w:numId w:val="2"/>
        </w:numPr>
        <w:tabs>
          <w:tab w:val="left" w:pos="761"/>
        </w:tabs>
        <w:spacing w:line="276" w:lineRule="auto"/>
        <w:ind w:right="881"/>
        <w:jc w:val="both"/>
        <w:rPr>
          <w:sz w:val="24"/>
        </w:rPr>
      </w:pPr>
      <w:r>
        <w:rPr>
          <w:sz w:val="24"/>
        </w:rPr>
        <w:t>an Interim Care Order (</w:t>
      </w:r>
      <w:r w:rsidR="00223557">
        <w:rPr>
          <w:sz w:val="24"/>
        </w:rPr>
        <w:t>s38 Children Act 198)</w:t>
      </w:r>
      <w:r>
        <w:rPr>
          <w:sz w:val="24"/>
        </w:rPr>
        <w:t xml:space="preserve"> or</w:t>
      </w:r>
      <w:r w:rsidR="00223557">
        <w:rPr>
          <w:sz w:val="24"/>
        </w:rPr>
        <w:t>:</w:t>
      </w:r>
    </w:p>
    <w:p w14:paraId="08AFC434" w14:textId="1047FEAC" w:rsidR="004446C0" w:rsidRDefault="00CC7443" w:rsidP="00223557">
      <w:pPr>
        <w:pStyle w:val="ListParagraph"/>
        <w:numPr>
          <w:ilvl w:val="1"/>
          <w:numId w:val="2"/>
        </w:numPr>
        <w:tabs>
          <w:tab w:val="left" w:pos="761"/>
        </w:tabs>
        <w:spacing w:line="276" w:lineRule="auto"/>
        <w:ind w:right="881"/>
        <w:jc w:val="both"/>
        <w:rPr>
          <w:sz w:val="24"/>
        </w:rPr>
      </w:pPr>
      <w:r>
        <w:rPr>
          <w:sz w:val="24"/>
        </w:rPr>
        <w:t>an Emergency Protection Order</w:t>
      </w:r>
      <w:r>
        <w:rPr>
          <w:spacing w:val="-4"/>
          <w:sz w:val="24"/>
        </w:rPr>
        <w:t xml:space="preserve"> </w:t>
      </w:r>
      <w:r>
        <w:rPr>
          <w:sz w:val="24"/>
        </w:rPr>
        <w:t>(</w:t>
      </w:r>
      <w:r w:rsidR="00223557">
        <w:rPr>
          <w:sz w:val="24"/>
        </w:rPr>
        <w:t>s44 Children Act 1989)</w:t>
      </w:r>
    </w:p>
    <w:p w14:paraId="5A06A3AE" w14:textId="77777777" w:rsidR="004446C0" w:rsidRDefault="004446C0">
      <w:pPr>
        <w:pStyle w:val="BodyText"/>
        <w:spacing w:before="2"/>
        <w:rPr>
          <w:sz w:val="34"/>
        </w:rPr>
      </w:pPr>
    </w:p>
    <w:p w14:paraId="4BC22B2B" w14:textId="555C68F8" w:rsidR="004446C0" w:rsidRDefault="00CC7443">
      <w:pPr>
        <w:pStyle w:val="ListParagraph"/>
        <w:numPr>
          <w:ilvl w:val="0"/>
          <w:numId w:val="2"/>
        </w:numPr>
        <w:tabs>
          <w:tab w:val="left" w:pos="760"/>
          <w:tab w:val="left" w:pos="761"/>
        </w:tabs>
        <w:rPr>
          <w:sz w:val="24"/>
        </w:rPr>
      </w:pPr>
      <w:r>
        <w:rPr>
          <w:sz w:val="24"/>
        </w:rPr>
        <w:t>A parent is not liable for any contribution</w:t>
      </w:r>
      <w:r>
        <w:rPr>
          <w:spacing w:val="-9"/>
          <w:sz w:val="24"/>
        </w:rPr>
        <w:t xml:space="preserve"> </w:t>
      </w:r>
      <w:r>
        <w:rPr>
          <w:sz w:val="24"/>
        </w:rPr>
        <w:t>where:</w:t>
      </w:r>
    </w:p>
    <w:p w14:paraId="5533E81B" w14:textId="77777777" w:rsidR="00223557" w:rsidRDefault="00223557" w:rsidP="00223557">
      <w:pPr>
        <w:pStyle w:val="ListParagraph"/>
        <w:tabs>
          <w:tab w:val="left" w:pos="760"/>
          <w:tab w:val="left" w:pos="761"/>
        </w:tabs>
        <w:ind w:left="760" w:firstLine="0"/>
        <w:rPr>
          <w:sz w:val="24"/>
        </w:rPr>
      </w:pPr>
    </w:p>
    <w:p w14:paraId="72FEEC1B" w14:textId="2F95F7B1" w:rsidR="004446C0" w:rsidRDefault="00CC7443">
      <w:pPr>
        <w:pStyle w:val="ListParagraph"/>
        <w:numPr>
          <w:ilvl w:val="1"/>
          <w:numId w:val="2"/>
        </w:numPr>
        <w:tabs>
          <w:tab w:val="left" w:pos="1121"/>
        </w:tabs>
        <w:spacing w:before="41" w:line="256" w:lineRule="auto"/>
        <w:ind w:right="885"/>
        <w:rPr>
          <w:sz w:val="24"/>
        </w:rPr>
      </w:pPr>
      <w:r>
        <w:rPr>
          <w:sz w:val="24"/>
        </w:rPr>
        <w:t>Services are provided as 'After Care' under Section 117 of the Mental Health Act</w:t>
      </w:r>
      <w:r>
        <w:rPr>
          <w:spacing w:val="-1"/>
          <w:sz w:val="24"/>
        </w:rPr>
        <w:t xml:space="preserve"> </w:t>
      </w:r>
      <w:r>
        <w:rPr>
          <w:sz w:val="24"/>
        </w:rPr>
        <w:t>1983</w:t>
      </w:r>
    </w:p>
    <w:p w14:paraId="092ADB1F" w14:textId="55B92242" w:rsidR="004446C0" w:rsidRDefault="00CC7443" w:rsidP="00223557">
      <w:pPr>
        <w:pStyle w:val="ListParagraph"/>
        <w:numPr>
          <w:ilvl w:val="1"/>
          <w:numId w:val="2"/>
        </w:numPr>
        <w:tabs>
          <w:tab w:val="left" w:pos="1121"/>
        </w:tabs>
        <w:spacing w:before="22" w:line="259" w:lineRule="auto"/>
        <w:ind w:right="886"/>
        <w:jc w:val="both"/>
        <w:rPr>
          <w:sz w:val="24"/>
        </w:rPr>
      </w:pPr>
      <w:r>
        <w:rPr>
          <w:sz w:val="24"/>
        </w:rPr>
        <w:t>The child or young person is being looked after under Section 21 of the Children Act 1989</w:t>
      </w:r>
      <w:r w:rsidR="00223557">
        <w:rPr>
          <w:sz w:val="24"/>
        </w:rPr>
        <w:t xml:space="preserve"> (Police Protection)</w:t>
      </w:r>
    </w:p>
    <w:p w14:paraId="4C24E45E" w14:textId="31DD88FC" w:rsidR="004446C0" w:rsidRPr="00A96E3E" w:rsidRDefault="00223557" w:rsidP="00A96E3E">
      <w:pPr>
        <w:pStyle w:val="ListParagraph"/>
        <w:numPr>
          <w:ilvl w:val="1"/>
          <w:numId w:val="2"/>
        </w:numPr>
        <w:tabs>
          <w:tab w:val="left" w:pos="1480"/>
          <w:tab w:val="left" w:pos="1481"/>
        </w:tabs>
        <w:spacing w:before="5" w:line="235" w:lineRule="auto"/>
        <w:ind w:right="884"/>
        <w:rPr>
          <w:sz w:val="24"/>
        </w:rPr>
      </w:pPr>
      <w:r w:rsidRPr="00A96E3E">
        <w:rPr>
          <w:sz w:val="24"/>
        </w:rPr>
        <w:t xml:space="preserve">The child is accommodated under </w:t>
      </w:r>
      <w:r w:rsidR="00CC7443" w:rsidRPr="00A96E3E">
        <w:rPr>
          <w:sz w:val="24"/>
        </w:rPr>
        <w:t>Section 38 of the Police and Criminal Evidence Act (PACE)</w:t>
      </w:r>
      <w:r w:rsidR="00CC7443" w:rsidRPr="00A96E3E">
        <w:rPr>
          <w:spacing w:val="-1"/>
          <w:sz w:val="24"/>
        </w:rPr>
        <w:t xml:space="preserve"> </w:t>
      </w:r>
      <w:proofErr w:type="gramStart"/>
      <w:r w:rsidR="00CC7443" w:rsidRPr="00A96E3E">
        <w:rPr>
          <w:sz w:val="24"/>
        </w:rPr>
        <w:t>1984;</w:t>
      </w:r>
      <w:proofErr w:type="gramEnd"/>
    </w:p>
    <w:p w14:paraId="49A34068" w14:textId="24812D6F" w:rsidR="00BB21AE" w:rsidRDefault="00A96E3E" w:rsidP="00A96E3E">
      <w:pPr>
        <w:pStyle w:val="ListParagraph"/>
        <w:numPr>
          <w:ilvl w:val="1"/>
          <w:numId w:val="2"/>
        </w:numPr>
        <w:tabs>
          <w:tab w:val="left" w:pos="1480"/>
          <w:tab w:val="left" w:pos="1481"/>
        </w:tabs>
        <w:spacing w:before="90"/>
        <w:ind w:right="884"/>
        <w:rPr>
          <w:sz w:val="24"/>
        </w:rPr>
      </w:pPr>
      <w:r>
        <w:rPr>
          <w:sz w:val="24"/>
        </w:rPr>
        <w:t>The child is s</w:t>
      </w:r>
      <w:r w:rsidR="00BB21AE" w:rsidRPr="00A96E3E">
        <w:rPr>
          <w:sz w:val="24"/>
        </w:rPr>
        <w:t xml:space="preserve">ubject to s92 of the Powers of the Criminal Courts </w:t>
      </w:r>
      <w:r w:rsidRPr="00A96E3E">
        <w:rPr>
          <w:sz w:val="24"/>
        </w:rPr>
        <w:t>(Sentencing</w:t>
      </w:r>
      <w:r w:rsidR="00BB21AE" w:rsidRPr="00A96E3E">
        <w:rPr>
          <w:sz w:val="24"/>
        </w:rPr>
        <w:t xml:space="preserve"> Act 2000 or Section 260 of the Sentencing Code</w:t>
      </w:r>
    </w:p>
    <w:p w14:paraId="7706C702" w14:textId="77777777" w:rsidR="00A96E3E" w:rsidRPr="00A96E3E" w:rsidRDefault="00A96E3E" w:rsidP="00A96E3E">
      <w:pPr>
        <w:pStyle w:val="ListParagraph"/>
        <w:rPr>
          <w:sz w:val="24"/>
        </w:rPr>
      </w:pPr>
    </w:p>
    <w:p w14:paraId="3B318857" w14:textId="6989EED5" w:rsidR="004446C0" w:rsidRDefault="00CC7443">
      <w:pPr>
        <w:pStyle w:val="ListParagraph"/>
        <w:numPr>
          <w:ilvl w:val="0"/>
          <w:numId w:val="2"/>
        </w:numPr>
        <w:tabs>
          <w:tab w:val="left" w:pos="761"/>
        </w:tabs>
        <w:spacing w:line="276" w:lineRule="auto"/>
        <w:ind w:right="881"/>
        <w:jc w:val="both"/>
        <w:rPr>
          <w:sz w:val="24"/>
        </w:rPr>
      </w:pPr>
      <w:r>
        <w:rPr>
          <w:sz w:val="24"/>
        </w:rPr>
        <w:t>A person is not liable to contribute towards maintenance costs in respect of any period during which the child is allowed by the local authority (under section 23 (5)) to live with</w:t>
      </w:r>
      <w:r w:rsidR="00A96E3E">
        <w:rPr>
          <w:sz w:val="24"/>
        </w:rPr>
        <w:t xml:space="preserve"> their parent(s)</w:t>
      </w:r>
      <w:r>
        <w:rPr>
          <w:sz w:val="24"/>
        </w:rPr>
        <w:t>.</w:t>
      </w:r>
    </w:p>
    <w:p w14:paraId="7648327E" w14:textId="77777777" w:rsidR="004446C0" w:rsidRDefault="004446C0">
      <w:pPr>
        <w:pStyle w:val="BodyText"/>
        <w:rPr>
          <w:sz w:val="26"/>
        </w:rPr>
      </w:pPr>
    </w:p>
    <w:p w14:paraId="4AC5F127" w14:textId="4F8FED63" w:rsidR="004446C0" w:rsidRDefault="00CC7443">
      <w:pPr>
        <w:pStyle w:val="Heading1"/>
        <w:numPr>
          <w:ilvl w:val="0"/>
          <w:numId w:val="4"/>
        </w:numPr>
        <w:tabs>
          <w:tab w:val="left" w:pos="911"/>
          <w:tab w:val="left" w:pos="912"/>
        </w:tabs>
        <w:spacing w:before="178"/>
        <w:ind w:left="911" w:hanging="511"/>
        <w:jc w:val="left"/>
      </w:pPr>
      <w:r>
        <w:t>Non-statutory exemptions to</w:t>
      </w:r>
      <w:r>
        <w:rPr>
          <w:spacing w:val="-9"/>
        </w:rPr>
        <w:t xml:space="preserve"> </w:t>
      </w:r>
      <w:r w:rsidR="00223557">
        <w:t>contribution</w:t>
      </w:r>
      <w:r>
        <w:t>s</w:t>
      </w:r>
    </w:p>
    <w:p w14:paraId="26C135DE" w14:textId="77777777" w:rsidR="004446C0" w:rsidRDefault="004446C0">
      <w:pPr>
        <w:pStyle w:val="BodyText"/>
        <w:spacing w:before="5"/>
        <w:rPr>
          <w:b/>
          <w:sz w:val="34"/>
        </w:rPr>
      </w:pPr>
    </w:p>
    <w:p w14:paraId="3A4CC81F" w14:textId="77777777" w:rsidR="00360C35" w:rsidRDefault="00613EE8">
      <w:pPr>
        <w:pStyle w:val="BodyText"/>
        <w:ind w:left="400" w:right="885"/>
        <w:jc w:val="both"/>
      </w:pPr>
      <w:r>
        <w:t xml:space="preserve">Parental </w:t>
      </w:r>
      <w:r w:rsidR="00DC377D">
        <w:t>Contributions will</w:t>
      </w:r>
      <w:r w:rsidR="00CC7443">
        <w:t xml:space="preserve"> not be </w:t>
      </w:r>
      <w:r>
        <w:t xml:space="preserve">expected </w:t>
      </w:r>
      <w:r w:rsidR="00CC7443">
        <w:t>for</w:t>
      </w:r>
      <w:r w:rsidR="00360C35">
        <w:t>:</w:t>
      </w:r>
    </w:p>
    <w:p w14:paraId="37C3BBC8" w14:textId="77777777" w:rsidR="00360C35" w:rsidRDefault="00360C35">
      <w:pPr>
        <w:pStyle w:val="BodyText"/>
        <w:ind w:left="400" w:right="885"/>
        <w:jc w:val="both"/>
      </w:pPr>
    </w:p>
    <w:p w14:paraId="5D3C512D" w14:textId="2979870A" w:rsidR="004446C0" w:rsidRDefault="00CC7443" w:rsidP="00360C35">
      <w:pPr>
        <w:pStyle w:val="BodyText"/>
        <w:numPr>
          <w:ilvl w:val="0"/>
          <w:numId w:val="7"/>
        </w:numPr>
        <w:ind w:right="885"/>
        <w:jc w:val="both"/>
      </w:pPr>
      <w:r>
        <w:t xml:space="preserve">residential services provided or commissioned by </w:t>
      </w:r>
      <w:r w:rsidR="00357164">
        <w:t xml:space="preserve">Haringey Council </w:t>
      </w:r>
      <w:r>
        <w:t>where the child is subject to a Child Protection Plan and the service is part of the Protection Plan.</w:t>
      </w:r>
    </w:p>
    <w:p w14:paraId="363E502B" w14:textId="343E774B" w:rsidR="00360C35" w:rsidRPr="00804624" w:rsidRDefault="00360C35" w:rsidP="00360C35">
      <w:pPr>
        <w:pStyle w:val="BodyText"/>
        <w:numPr>
          <w:ilvl w:val="0"/>
          <w:numId w:val="7"/>
        </w:numPr>
        <w:ind w:right="885"/>
        <w:jc w:val="both"/>
        <w:rPr>
          <w:color w:val="000000" w:themeColor="text1"/>
        </w:rPr>
      </w:pPr>
      <w:r w:rsidRPr="00804624">
        <w:rPr>
          <w:color w:val="000000" w:themeColor="text1"/>
        </w:rPr>
        <w:t xml:space="preserve">Children accommodated in an emergency on a </w:t>
      </w:r>
      <w:proofErr w:type="gramStart"/>
      <w:r w:rsidRPr="00804624">
        <w:rPr>
          <w:color w:val="000000" w:themeColor="text1"/>
        </w:rPr>
        <w:t>short term</w:t>
      </w:r>
      <w:proofErr w:type="gramEnd"/>
      <w:r w:rsidRPr="00804624">
        <w:rPr>
          <w:color w:val="000000" w:themeColor="text1"/>
        </w:rPr>
        <w:t xml:space="preserve"> basis for less than </w:t>
      </w:r>
      <w:r w:rsidR="00804624" w:rsidRPr="00804624">
        <w:rPr>
          <w:color w:val="000000" w:themeColor="text1"/>
        </w:rPr>
        <w:t>three</w:t>
      </w:r>
      <w:r w:rsidRPr="00804624">
        <w:rPr>
          <w:color w:val="000000" w:themeColor="text1"/>
        </w:rPr>
        <w:t xml:space="preserve"> nights.</w:t>
      </w:r>
    </w:p>
    <w:p w14:paraId="567758E5" w14:textId="62845B94" w:rsidR="00360C35" w:rsidRPr="00804624" w:rsidRDefault="00360C35" w:rsidP="00360C35">
      <w:pPr>
        <w:pStyle w:val="BodyText"/>
        <w:numPr>
          <w:ilvl w:val="0"/>
          <w:numId w:val="7"/>
        </w:numPr>
        <w:ind w:right="885"/>
        <w:jc w:val="both"/>
        <w:rPr>
          <w:color w:val="000000" w:themeColor="text1"/>
        </w:rPr>
      </w:pPr>
      <w:r w:rsidRPr="00804624">
        <w:rPr>
          <w:color w:val="000000" w:themeColor="text1"/>
        </w:rPr>
        <w:t xml:space="preserve">Children accommodated in residential placements subject to a Statement of Special Educational needs or an Education, Health and Care plan. </w:t>
      </w:r>
    </w:p>
    <w:p w14:paraId="6E0308C8" w14:textId="619220C1" w:rsidR="004446C0" w:rsidRDefault="004446C0">
      <w:pPr>
        <w:pStyle w:val="BodyText"/>
        <w:rPr>
          <w:sz w:val="26"/>
        </w:rPr>
      </w:pPr>
    </w:p>
    <w:p w14:paraId="3DFF710B" w14:textId="0BA0802D" w:rsidR="00360C35" w:rsidRDefault="00360C35">
      <w:pPr>
        <w:pStyle w:val="BodyText"/>
        <w:rPr>
          <w:sz w:val="26"/>
        </w:rPr>
      </w:pPr>
    </w:p>
    <w:p w14:paraId="2761F546" w14:textId="77777777" w:rsidR="00360C35" w:rsidRDefault="00360C35">
      <w:pPr>
        <w:pStyle w:val="BodyText"/>
        <w:rPr>
          <w:sz w:val="26"/>
        </w:rPr>
      </w:pPr>
    </w:p>
    <w:p w14:paraId="0574CDE8" w14:textId="77777777" w:rsidR="004446C0" w:rsidRDefault="00CC7443">
      <w:pPr>
        <w:pStyle w:val="Heading1"/>
        <w:numPr>
          <w:ilvl w:val="0"/>
          <w:numId w:val="4"/>
        </w:numPr>
        <w:tabs>
          <w:tab w:val="left" w:pos="911"/>
          <w:tab w:val="left" w:pos="912"/>
        </w:tabs>
        <w:ind w:left="911" w:hanging="511"/>
        <w:jc w:val="left"/>
      </w:pPr>
      <w:r>
        <w:lastRenderedPageBreak/>
        <w:t>Scope of the</w:t>
      </w:r>
      <w:r>
        <w:rPr>
          <w:spacing w:val="-1"/>
        </w:rPr>
        <w:t xml:space="preserve"> </w:t>
      </w:r>
      <w:r>
        <w:t>policy</w:t>
      </w:r>
    </w:p>
    <w:p w14:paraId="6D0BEA76" w14:textId="77777777" w:rsidR="004446C0" w:rsidRDefault="004446C0">
      <w:pPr>
        <w:pStyle w:val="BodyText"/>
        <w:spacing w:before="6"/>
        <w:rPr>
          <w:b/>
          <w:sz w:val="34"/>
        </w:rPr>
      </w:pPr>
    </w:p>
    <w:p w14:paraId="7D2E9F02" w14:textId="581A86B7" w:rsidR="004446C0" w:rsidRDefault="00CC7443">
      <w:pPr>
        <w:pStyle w:val="ListParagraph"/>
        <w:numPr>
          <w:ilvl w:val="0"/>
          <w:numId w:val="1"/>
        </w:numPr>
        <w:tabs>
          <w:tab w:val="left" w:pos="1121"/>
        </w:tabs>
        <w:ind w:right="880"/>
        <w:jc w:val="both"/>
        <w:rPr>
          <w:sz w:val="24"/>
        </w:rPr>
      </w:pPr>
      <w:r>
        <w:rPr>
          <w:sz w:val="24"/>
        </w:rPr>
        <w:t xml:space="preserve">The term 'residential placement' within this policy also includes fostering </w:t>
      </w:r>
      <w:proofErr w:type="gramStart"/>
      <w:r>
        <w:rPr>
          <w:sz w:val="24"/>
        </w:rPr>
        <w:t>placements, but</w:t>
      </w:r>
      <w:proofErr w:type="gramEnd"/>
      <w:r>
        <w:rPr>
          <w:sz w:val="24"/>
        </w:rPr>
        <w:t xml:space="preserve"> does not include any aspect of respite</w:t>
      </w:r>
      <w:r>
        <w:rPr>
          <w:spacing w:val="-17"/>
          <w:sz w:val="24"/>
        </w:rPr>
        <w:t xml:space="preserve"> </w:t>
      </w:r>
      <w:r w:rsidR="00DC377D">
        <w:rPr>
          <w:sz w:val="24"/>
        </w:rPr>
        <w:t>provision.</w:t>
      </w:r>
    </w:p>
    <w:p w14:paraId="00971088" w14:textId="26E79591" w:rsidR="004446C0" w:rsidRDefault="00CC7443">
      <w:pPr>
        <w:pStyle w:val="ListParagraph"/>
        <w:numPr>
          <w:ilvl w:val="0"/>
          <w:numId w:val="1"/>
        </w:numPr>
        <w:tabs>
          <w:tab w:val="left" w:pos="1121"/>
        </w:tabs>
        <w:spacing w:before="4" w:line="235" w:lineRule="auto"/>
        <w:ind w:right="886"/>
        <w:jc w:val="both"/>
        <w:rPr>
          <w:sz w:val="24"/>
        </w:rPr>
      </w:pPr>
      <w:r>
        <w:rPr>
          <w:sz w:val="24"/>
        </w:rPr>
        <w:t xml:space="preserve">Reference to 'legal parent' means birth parents, adoptive parents where a child has been adopted and </w:t>
      </w:r>
      <w:r w:rsidR="00DC377D">
        <w:rPr>
          <w:sz w:val="24"/>
        </w:rPr>
        <w:t xml:space="preserve">any person </w:t>
      </w:r>
      <w:r>
        <w:rPr>
          <w:sz w:val="24"/>
        </w:rPr>
        <w:t>with Parental Responsibility</w:t>
      </w:r>
      <w:r>
        <w:rPr>
          <w:spacing w:val="-11"/>
          <w:sz w:val="24"/>
        </w:rPr>
        <w:t xml:space="preserve"> </w:t>
      </w:r>
      <w:r>
        <w:rPr>
          <w:sz w:val="24"/>
        </w:rPr>
        <w:t>(PR).</w:t>
      </w:r>
    </w:p>
    <w:p w14:paraId="3E61EE2C" w14:textId="436A1515" w:rsidR="004446C0" w:rsidRDefault="00CC7443">
      <w:pPr>
        <w:pStyle w:val="ListParagraph"/>
        <w:numPr>
          <w:ilvl w:val="0"/>
          <w:numId w:val="1"/>
        </w:numPr>
        <w:tabs>
          <w:tab w:val="left" w:pos="1121"/>
        </w:tabs>
        <w:spacing w:before="3"/>
        <w:ind w:right="885"/>
        <w:jc w:val="both"/>
        <w:rPr>
          <w:sz w:val="24"/>
        </w:rPr>
      </w:pPr>
      <w:r>
        <w:rPr>
          <w:sz w:val="24"/>
        </w:rPr>
        <w:t xml:space="preserve">This policy covers all children under the age of 16 years who are in a residential placement commissioned/provided by </w:t>
      </w:r>
      <w:r w:rsidR="00357164">
        <w:rPr>
          <w:sz w:val="24"/>
        </w:rPr>
        <w:t xml:space="preserve">Haringey Council </w:t>
      </w:r>
      <w:r>
        <w:rPr>
          <w:sz w:val="24"/>
        </w:rPr>
        <w:t>(apart from the exemptions as outlined in paragraphs 3 and 4</w:t>
      </w:r>
      <w:r>
        <w:rPr>
          <w:spacing w:val="-19"/>
          <w:sz w:val="24"/>
        </w:rPr>
        <w:t xml:space="preserve"> </w:t>
      </w:r>
      <w:r>
        <w:rPr>
          <w:sz w:val="24"/>
        </w:rPr>
        <w:t>above)</w:t>
      </w:r>
      <w:r w:rsidR="00DC377D">
        <w:rPr>
          <w:sz w:val="24"/>
        </w:rPr>
        <w:t>.</w:t>
      </w:r>
    </w:p>
    <w:p w14:paraId="4DFAF3BD" w14:textId="6DCFF061" w:rsidR="004446C0" w:rsidRDefault="00CC7443">
      <w:pPr>
        <w:pStyle w:val="ListParagraph"/>
        <w:numPr>
          <w:ilvl w:val="0"/>
          <w:numId w:val="1"/>
        </w:numPr>
        <w:tabs>
          <w:tab w:val="left" w:pos="1121"/>
        </w:tabs>
        <w:ind w:right="884"/>
        <w:jc w:val="both"/>
        <w:rPr>
          <w:sz w:val="24"/>
        </w:rPr>
      </w:pPr>
      <w:r>
        <w:rPr>
          <w:sz w:val="24"/>
        </w:rPr>
        <w:t xml:space="preserve">The policy also includes young people aged 16 and over in residential care, who will be financially </w:t>
      </w:r>
      <w:r w:rsidR="00360C35">
        <w:rPr>
          <w:sz w:val="24"/>
        </w:rPr>
        <w:t xml:space="preserve">assessed to determine whether they are able to contribute. </w:t>
      </w:r>
    </w:p>
    <w:p w14:paraId="2F65723A" w14:textId="77777777" w:rsidR="004446C0" w:rsidRDefault="004446C0">
      <w:pPr>
        <w:pStyle w:val="BodyText"/>
        <w:rPr>
          <w:sz w:val="26"/>
        </w:rPr>
      </w:pPr>
    </w:p>
    <w:p w14:paraId="61DBE95E" w14:textId="77777777" w:rsidR="004446C0" w:rsidRDefault="00CC7443">
      <w:pPr>
        <w:pStyle w:val="Heading1"/>
        <w:numPr>
          <w:ilvl w:val="0"/>
          <w:numId w:val="4"/>
        </w:numPr>
        <w:tabs>
          <w:tab w:val="left" w:pos="911"/>
          <w:tab w:val="left" w:pos="912"/>
        </w:tabs>
        <w:spacing w:before="178"/>
        <w:ind w:left="911" w:hanging="511"/>
        <w:jc w:val="left"/>
      </w:pPr>
      <w:r>
        <w:t>Financial</w:t>
      </w:r>
      <w:r>
        <w:rPr>
          <w:spacing w:val="1"/>
        </w:rPr>
        <w:t xml:space="preserve"> </w:t>
      </w:r>
      <w:r>
        <w:t>Assessment</w:t>
      </w:r>
    </w:p>
    <w:p w14:paraId="4C94B43B" w14:textId="77777777" w:rsidR="004446C0" w:rsidRDefault="004446C0">
      <w:pPr>
        <w:pStyle w:val="BodyText"/>
        <w:spacing w:before="5"/>
        <w:rPr>
          <w:b/>
          <w:sz w:val="34"/>
        </w:rPr>
      </w:pPr>
    </w:p>
    <w:p w14:paraId="7FD329A6" w14:textId="67C22850" w:rsidR="004446C0" w:rsidRDefault="00CC7443">
      <w:pPr>
        <w:pStyle w:val="BodyText"/>
        <w:spacing w:before="1"/>
        <w:ind w:left="400" w:right="877"/>
        <w:jc w:val="both"/>
      </w:pPr>
      <w:r>
        <w:t xml:space="preserve">The financial assessment will be conducted by the </w:t>
      </w:r>
      <w:commentRangeStart w:id="0"/>
      <w:r>
        <w:t xml:space="preserve">Care Finance Team </w:t>
      </w:r>
      <w:commentRangeEnd w:id="0"/>
      <w:r w:rsidR="004F4266">
        <w:rPr>
          <w:rStyle w:val="CommentReference"/>
        </w:rPr>
        <w:commentReference w:id="0"/>
      </w:r>
      <w:r>
        <w:t xml:space="preserve">in </w:t>
      </w:r>
      <w:r w:rsidR="004F4266">
        <w:t xml:space="preserve">the Brokerage </w:t>
      </w:r>
      <w:r>
        <w:t xml:space="preserve">Services. The assessment will determine the ability to pay and the affordable weekly payment </w:t>
      </w:r>
      <w:r w:rsidR="00DC377D">
        <w:t xml:space="preserve">which </w:t>
      </w:r>
      <w:r>
        <w:t xml:space="preserve">the parent </w:t>
      </w:r>
      <w:r w:rsidR="00360C35">
        <w:t xml:space="preserve">or child </w:t>
      </w:r>
      <w:r>
        <w:t xml:space="preserve">is able to contribute. There will be an automatic reassessment of all </w:t>
      </w:r>
      <w:r w:rsidR="00223557">
        <w:t>contribution</w:t>
      </w:r>
      <w:r>
        <w:t>s and/ or when there is a change of financial circumstance of those liable to</w:t>
      </w:r>
      <w:r>
        <w:rPr>
          <w:spacing w:val="-1"/>
        </w:rPr>
        <w:t xml:space="preserve"> </w:t>
      </w:r>
      <w:r>
        <w:t>contribute.</w:t>
      </w:r>
    </w:p>
    <w:p w14:paraId="62F1CCEC" w14:textId="77777777" w:rsidR="004446C0" w:rsidRDefault="004446C0">
      <w:pPr>
        <w:pStyle w:val="BodyText"/>
        <w:spacing w:before="5"/>
        <w:rPr>
          <w:sz w:val="34"/>
        </w:rPr>
      </w:pPr>
    </w:p>
    <w:p w14:paraId="714F713E" w14:textId="00CEB42D" w:rsidR="004446C0" w:rsidRDefault="00CC7443">
      <w:pPr>
        <w:pStyle w:val="BodyText"/>
        <w:ind w:left="400" w:right="876"/>
        <w:jc w:val="both"/>
      </w:pPr>
      <w:r>
        <w:t>Social workers must advise carers</w:t>
      </w:r>
      <w:r w:rsidR="00C43701">
        <w:t xml:space="preserve"> and children over 16, </w:t>
      </w:r>
      <w:r>
        <w:t xml:space="preserve">that a financial assessment will be conducted by an experienced officer from the Care Finance Team. </w:t>
      </w:r>
      <w:r w:rsidR="00DC377D">
        <w:t xml:space="preserve">Parents </w:t>
      </w:r>
      <w:r>
        <w:t xml:space="preserve">must provide any relevant information to demonstrate the reason why they are exempt from </w:t>
      </w:r>
      <w:r w:rsidR="00202ADD">
        <w:t>contributing</w:t>
      </w:r>
      <w:r>
        <w:t>. Otherwise, the Social Worker will contact the Care Finance Team to initiate the assessment</w:t>
      </w:r>
      <w:r>
        <w:rPr>
          <w:spacing w:val="-3"/>
        </w:rPr>
        <w:t xml:space="preserve"> </w:t>
      </w:r>
      <w:r>
        <w:t>process.</w:t>
      </w:r>
    </w:p>
    <w:p w14:paraId="0FB84CDD" w14:textId="77777777" w:rsidR="004446C0" w:rsidRDefault="004446C0">
      <w:pPr>
        <w:pStyle w:val="BodyText"/>
        <w:spacing w:before="5"/>
        <w:rPr>
          <w:sz w:val="34"/>
        </w:rPr>
      </w:pPr>
    </w:p>
    <w:p w14:paraId="2C697F25" w14:textId="77777777" w:rsidR="004446C0" w:rsidRDefault="00CC7443">
      <w:pPr>
        <w:pStyle w:val="Heading1"/>
        <w:spacing w:before="0"/>
        <w:ind w:left="400" w:firstLine="0"/>
        <w:jc w:val="both"/>
      </w:pPr>
      <w:r>
        <w:t>See Flowchart for process.</w:t>
      </w:r>
    </w:p>
    <w:p w14:paraId="663F8582" w14:textId="77777777" w:rsidR="004446C0" w:rsidRDefault="004446C0">
      <w:pPr>
        <w:jc w:val="both"/>
        <w:sectPr w:rsidR="004446C0">
          <w:pgSz w:w="11900" w:h="16850"/>
          <w:pgMar w:top="1340" w:right="560" w:bottom="820" w:left="1040" w:header="571" w:footer="638" w:gutter="0"/>
          <w:cols w:space="720"/>
        </w:sectPr>
      </w:pPr>
    </w:p>
    <w:p w14:paraId="2DF1A89D" w14:textId="3036049E" w:rsidR="004446C0" w:rsidRDefault="00CC7443">
      <w:pPr>
        <w:pStyle w:val="ListParagraph"/>
        <w:numPr>
          <w:ilvl w:val="0"/>
          <w:numId w:val="1"/>
        </w:numPr>
        <w:tabs>
          <w:tab w:val="left" w:pos="1121"/>
        </w:tabs>
        <w:spacing w:before="90"/>
        <w:ind w:right="875"/>
        <w:jc w:val="both"/>
        <w:rPr>
          <w:sz w:val="24"/>
        </w:rPr>
      </w:pPr>
      <w:r>
        <w:rPr>
          <w:sz w:val="24"/>
        </w:rPr>
        <w:lastRenderedPageBreak/>
        <w:t>Apart from those exceptions listed within paragraphs 3 and 4 above, parents (</w:t>
      </w:r>
      <w:proofErr w:type="gramStart"/>
      <w:r>
        <w:rPr>
          <w:sz w:val="24"/>
        </w:rPr>
        <w:t>whether or not</w:t>
      </w:r>
      <w:proofErr w:type="gramEnd"/>
      <w:r>
        <w:rPr>
          <w:sz w:val="24"/>
        </w:rPr>
        <w:t xml:space="preserve"> currently caring for the child/living elsewhere) will be financially assessed when a child is to </w:t>
      </w:r>
      <w:r w:rsidR="00DC377D">
        <w:rPr>
          <w:sz w:val="24"/>
        </w:rPr>
        <w:t>be accommodated</w:t>
      </w:r>
      <w:r>
        <w:rPr>
          <w:sz w:val="24"/>
        </w:rPr>
        <w:t xml:space="preserve"> (see the definition of legal parent at paragraph 5</w:t>
      </w:r>
      <w:r>
        <w:rPr>
          <w:spacing w:val="-5"/>
          <w:sz w:val="24"/>
        </w:rPr>
        <w:t xml:space="preserve"> </w:t>
      </w:r>
      <w:r>
        <w:rPr>
          <w:sz w:val="24"/>
        </w:rPr>
        <w:t>above</w:t>
      </w:r>
      <w:r w:rsidR="00202ADD">
        <w:rPr>
          <w:sz w:val="24"/>
        </w:rPr>
        <w:t>).</w:t>
      </w:r>
    </w:p>
    <w:p w14:paraId="2ADE6774" w14:textId="660CBD7B" w:rsidR="004446C0" w:rsidRDefault="00CC7443">
      <w:pPr>
        <w:pStyle w:val="ListParagraph"/>
        <w:numPr>
          <w:ilvl w:val="0"/>
          <w:numId w:val="1"/>
        </w:numPr>
        <w:tabs>
          <w:tab w:val="left" w:pos="1121"/>
        </w:tabs>
        <w:spacing w:before="63" w:line="235" w:lineRule="auto"/>
        <w:ind w:right="883"/>
        <w:jc w:val="both"/>
        <w:rPr>
          <w:sz w:val="24"/>
        </w:rPr>
      </w:pPr>
      <w:r>
        <w:rPr>
          <w:sz w:val="24"/>
        </w:rPr>
        <w:t xml:space="preserve">Financial assessments will be completed jointly unless the couple request individual assessments, or the parent is a sole </w:t>
      </w:r>
      <w:r w:rsidR="00202ADD">
        <w:rPr>
          <w:sz w:val="24"/>
        </w:rPr>
        <w:t>carer.</w:t>
      </w:r>
    </w:p>
    <w:p w14:paraId="31338D81" w14:textId="25D2F7D7" w:rsidR="004446C0" w:rsidRDefault="00CC7443">
      <w:pPr>
        <w:pStyle w:val="ListParagraph"/>
        <w:numPr>
          <w:ilvl w:val="0"/>
          <w:numId w:val="1"/>
        </w:numPr>
        <w:tabs>
          <w:tab w:val="left" w:pos="1121"/>
        </w:tabs>
        <w:spacing w:before="63"/>
        <w:ind w:right="881"/>
        <w:jc w:val="both"/>
        <w:rPr>
          <w:sz w:val="24"/>
        </w:rPr>
      </w:pPr>
      <w:r>
        <w:rPr>
          <w:sz w:val="24"/>
        </w:rPr>
        <w:t>Where both parents are liable to pay contributions but are living apart each parent will be liable to contribute in proportion to their means as outlined by the financial assessment</w:t>
      </w:r>
      <w:r>
        <w:rPr>
          <w:spacing w:val="-5"/>
          <w:sz w:val="24"/>
        </w:rPr>
        <w:t xml:space="preserve"> </w:t>
      </w:r>
      <w:r w:rsidR="00202ADD">
        <w:rPr>
          <w:sz w:val="24"/>
        </w:rPr>
        <w:t>process.</w:t>
      </w:r>
    </w:p>
    <w:p w14:paraId="21C868D4" w14:textId="2C495DA7" w:rsidR="004446C0" w:rsidRDefault="00CC7443">
      <w:pPr>
        <w:pStyle w:val="ListParagraph"/>
        <w:numPr>
          <w:ilvl w:val="0"/>
          <w:numId w:val="1"/>
        </w:numPr>
        <w:tabs>
          <w:tab w:val="left" w:pos="1121"/>
        </w:tabs>
        <w:spacing w:before="59"/>
        <w:ind w:right="872"/>
        <w:jc w:val="both"/>
        <w:rPr>
          <w:sz w:val="24"/>
        </w:rPr>
      </w:pPr>
      <w:r>
        <w:rPr>
          <w:sz w:val="24"/>
        </w:rPr>
        <w:t xml:space="preserve">Where one parent is in receipt of welfare benefits and would not normally contribute, the other parent will be liable for a contribution up to the maximum </w:t>
      </w:r>
      <w:r w:rsidR="00202ADD">
        <w:rPr>
          <w:sz w:val="24"/>
        </w:rPr>
        <w:t>amount.</w:t>
      </w:r>
    </w:p>
    <w:p w14:paraId="206A5420" w14:textId="679F8654" w:rsidR="004446C0" w:rsidRDefault="00CC7443">
      <w:pPr>
        <w:pStyle w:val="ListParagraph"/>
        <w:numPr>
          <w:ilvl w:val="0"/>
          <w:numId w:val="1"/>
        </w:numPr>
        <w:tabs>
          <w:tab w:val="left" w:pos="1121"/>
        </w:tabs>
        <w:spacing w:before="60"/>
        <w:ind w:right="883"/>
        <w:jc w:val="both"/>
        <w:rPr>
          <w:sz w:val="24"/>
        </w:rPr>
      </w:pPr>
      <w:r>
        <w:rPr>
          <w:sz w:val="24"/>
        </w:rPr>
        <w:t xml:space="preserve">Where the parents are living apart, or are divorced and remarried, or are cohabiting, the income of the partner(s) will not be </w:t>
      </w:r>
      <w:proofErr w:type="gramStart"/>
      <w:r>
        <w:rPr>
          <w:sz w:val="24"/>
        </w:rPr>
        <w:t>taken into</w:t>
      </w:r>
      <w:r>
        <w:rPr>
          <w:spacing w:val="-17"/>
          <w:sz w:val="24"/>
        </w:rPr>
        <w:t xml:space="preserve"> </w:t>
      </w:r>
      <w:r w:rsidR="00202ADD">
        <w:rPr>
          <w:sz w:val="24"/>
        </w:rPr>
        <w:t>account</w:t>
      </w:r>
      <w:proofErr w:type="gramEnd"/>
      <w:r w:rsidR="00202ADD">
        <w:rPr>
          <w:sz w:val="24"/>
        </w:rPr>
        <w:t>.</w:t>
      </w:r>
    </w:p>
    <w:p w14:paraId="2A2A1190" w14:textId="5BAC9B1A" w:rsidR="004446C0" w:rsidRPr="00613EE8" w:rsidRDefault="00CC7443">
      <w:pPr>
        <w:pStyle w:val="ListParagraph"/>
        <w:numPr>
          <w:ilvl w:val="0"/>
          <w:numId w:val="1"/>
        </w:numPr>
        <w:tabs>
          <w:tab w:val="left" w:pos="1121"/>
        </w:tabs>
        <w:spacing w:before="61" w:line="237" w:lineRule="auto"/>
        <w:ind w:right="884"/>
        <w:jc w:val="both"/>
        <w:rPr>
          <w:sz w:val="24"/>
        </w:rPr>
      </w:pPr>
      <w:r w:rsidRPr="00613EE8">
        <w:rPr>
          <w:sz w:val="24"/>
        </w:rPr>
        <w:t>Where the main carer is receiving any allowances, benefit or maintenance via a Court Order, the Child Support Agency, or directly from the other parent</w:t>
      </w:r>
      <w:r w:rsidR="00613EE8">
        <w:rPr>
          <w:sz w:val="24"/>
        </w:rPr>
        <w:t>, these payments will be considered within the financial assessment.</w:t>
      </w:r>
    </w:p>
    <w:p w14:paraId="2AF09529" w14:textId="743E05D3" w:rsidR="004446C0" w:rsidRDefault="00CC7443">
      <w:pPr>
        <w:pStyle w:val="ListParagraph"/>
        <w:numPr>
          <w:ilvl w:val="0"/>
          <w:numId w:val="1"/>
        </w:numPr>
        <w:tabs>
          <w:tab w:val="left" w:pos="1121"/>
        </w:tabs>
        <w:spacing w:before="65"/>
        <w:ind w:right="880"/>
        <w:jc w:val="both"/>
        <w:rPr>
          <w:sz w:val="24"/>
        </w:rPr>
      </w:pPr>
      <w:r>
        <w:rPr>
          <w:sz w:val="24"/>
        </w:rPr>
        <w:t xml:space="preserve">Where a parent has been required to pay a maintenance payment by the Child Support Agency or a court then that parent will not be financially assessed further. However, where informal arrangements have been made </w:t>
      </w:r>
      <w:r w:rsidR="00202ADD">
        <w:rPr>
          <w:sz w:val="24"/>
        </w:rPr>
        <w:t xml:space="preserve">between parents, </w:t>
      </w:r>
      <w:r>
        <w:rPr>
          <w:sz w:val="24"/>
        </w:rPr>
        <w:t>there will be a further financial</w:t>
      </w:r>
      <w:r>
        <w:rPr>
          <w:spacing w:val="-7"/>
          <w:sz w:val="24"/>
        </w:rPr>
        <w:t xml:space="preserve"> </w:t>
      </w:r>
      <w:r>
        <w:rPr>
          <w:sz w:val="24"/>
        </w:rPr>
        <w:t>assessment.</w:t>
      </w:r>
    </w:p>
    <w:p w14:paraId="6A97032F" w14:textId="0F7BBB3A" w:rsidR="004446C0" w:rsidRDefault="00CC7443">
      <w:pPr>
        <w:pStyle w:val="ListParagraph"/>
        <w:numPr>
          <w:ilvl w:val="0"/>
          <w:numId w:val="1"/>
        </w:numPr>
        <w:tabs>
          <w:tab w:val="left" w:pos="1121"/>
        </w:tabs>
        <w:spacing w:before="59"/>
        <w:ind w:right="883"/>
        <w:jc w:val="both"/>
        <w:rPr>
          <w:sz w:val="24"/>
        </w:rPr>
      </w:pPr>
      <w:r>
        <w:rPr>
          <w:sz w:val="24"/>
        </w:rPr>
        <w:t xml:space="preserve">Other than in an emergency, and </w:t>
      </w:r>
      <w:proofErr w:type="gramStart"/>
      <w:r>
        <w:rPr>
          <w:sz w:val="24"/>
        </w:rPr>
        <w:t>where</w:t>
      </w:r>
      <w:proofErr w:type="gramEnd"/>
      <w:r>
        <w:rPr>
          <w:sz w:val="24"/>
        </w:rPr>
        <w:t xml:space="preserve"> agreed with the </w:t>
      </w:r>
      <w:r w:rsidR="004F4607">
        <w:rPr>
          <w:sz w:val="24"/>
        </w:rPr>
        <w:t xml:space="preserve">Haringey </w:t>
      </w:r>
      <w:r>
        <w:rPr>
          <w:sz w:val="24"/>
        </w:rPr>
        <w:t>Council, the financial assessment will be completed prior to the arrangement of</w:t>
      </w:r>
      <w:r>
        <w:rPr>
          <w:spacing w:val="-26"/>
          <w:sz w:val="24"/>
        </w:rPr>
        <w:t xml:space="preserve"> </w:t>
      </w:r>
      <w:r>
        <w:rPr>
          <w:sz w:val="24"/>
        </w:rPr>
        <w:t>services;</w:t>
      </w:r>
    </w:p>
    <w:p w14:paraId="3E62123E" w14:textId="72A325A0" w:rsidR="004446C0" w:rsidRDefault="00CC7443">
      <w:pPr>
        <w:pStyle w:val="ListParagraph"/>
        <w:numPr>
          <w:ilvl w:val="0"/>
          <w:numId w:val="1"/>
        </w:numPr>
        <w:tabs>
          <w:tab w:val="left" w:pos="1121"/>
        </w:tabs>
        <w:spacing w:before="64" w:line="235" w:lineRule="auto"/>
        <w:ind w:right="883"/>
        <w:jc w:val="both"/>
        <w:rPr>
          <w:sz w:val="24"/>
        </w:rPr>
      </w:pPr>
      <w:r>
        <w:rPr>
          <w:sz w:val="24"/>
        </w:rPr>
        <w:t xml:space="preserve">Young people aged 16 and </w:t>
      </w:r>
      <w:r w:rsidR="00C43701">
        <w:rPr>
          <w:sz w:val="24"/>
        </w:rPr>
        <w:t xml:space="preserve">over </w:t>
      </w:r>
      <w:r>
        <w:rPr>
          <w:sz w:val="24"/>
        </w:rPr>
        <w:t xml:space="preserve">will be financially </w:t>
      </w:r>
      <w:proofErr w:type="gramStart"/>
      <w:r>
        <w:rPr>
          <w:sz w:val="24"/>
        </w:rPr>
        <w:t>assessed in their own</w:t>
      </w:r>
      <w:r>
        <w:rPr>
          <w:spacing w:val="-3"/>
          <w:sz w:val="24"/>
        </w:rPr>
        <w:t xml:space="preserve"> </w:t>
      </w:r>
      <w:r w:rsidR="00202ADD">
        <w:rPr>
          <w:sz w:val="24"/>
        </w:rPr>
        <w:t>right</w:t>
      </w:r>
      <w:proofErr w:type="gramEnd"/>
      <w:r w:rsidR="00202ADD">
        <w:rPr>
          <w:sz w:val="24"/>
        </w:rPr>
        <w:t>.</w:t>
      </w:r>
    </w:p>
    <w:p w14:paraId="5362AB24" w14:textId="155607FB" w:rsidR="004446C0" w:rsidRDefault="00CC7443">
      <w:pPr>
        <w:pStyle w:val="ListParagraph"/>
        <w:numPr>
          <w:ilvl w:val="0"/>
          <w:numId w:val="1"/>
        </w:numPr>
        <w:tabs>
          <w:tab w:val="left" w:pos="1120"/>
          <w:tab w:val="left" w:pos="1121"/>
        </w:tabs>
        <w:spacing w:before="63"/>
        <w:rPr>
          <w:sz w:val="24"/>
        </w:rPr>
      </w:pPr>
      <w:r>
        <w:rPr>
          <w:sz w:val="24"/>
        </w:rPr>
        <w:t xml:space="preserve">The maximum daily </w:t>
      </w:r>
      <w:r w:rsidR="00223557">
        <w:rPr>
          <w:sz w:val="24"/>
        </w:rPr>
        <w:t>contribution</w:t>
      </w:r>
      <w:r>
        <w:rPr>
          <w:sz w:val="24"/>
        </w:rPr>
        <w:t xml:space="preserve"> will be equivalent to the basic fostering</w:t>
      </w:r>
      <w:r>
        <w:rPr>
          <w:spacing w:val="-22"/>
          <w:sz w:val="24"/>
        </w:rPr>
        <w:t xml:space="preserve"> </w:t>
      </w:r>
      <w:r w:rsidR="00202ADD">
        <w:rPr>
          <w:sz w:val="24"/>
        </w:rPr>
        <w:t>allowance.</w:t>
      </w:r>
    </w:p>
    <w:p w14:paraId="0B4C5D06" w14:textId="71C72B45" w:rsidR="004446C0" w:rsidRDefault="00CC7443">
      <w:pPr>
        <w:pStyle w:val="ListParagraph"/>
        <w:numPr>
          <w:ilvl w:val="0"/>
          <w:numId w:val="1"/>
        </w:numPr>
        <w:tabs>
          <w:tab w:val="left" w:pos="1183"/>
        </w:tabs>
        <w:spacing w:before="59"/>
        <w:ind w:right="885"/>
        <w:jc w:val="both"/>
        <w:rPr>
          <w:sz w:val="24"/>
        </w:rPr>
      </w:pPr>
      <w:r>
        <w:rPr>
          <w:sz w:val="24"/>
        </w:rPr>
        <w:t xml:space="preserve">Where more than one child from a family is looked after, </w:t>
      </w:r>
      <w:r w:rsidR="00223557">
        <w:rPr>
          <w:sz w:val="24"/>
        </w:rPr>
        <w:t>contribution</w:t>
      </w:r>
      <w:r>
        <w:rPr>
          <w:sz w:val="24"/>
        </w:rPr>
        <w:t xml:space="preserve">s may be varied by </w:t>
      </w:r>
      <w:r w:rsidR="004F4607">
        <w:rPr>
          <w:sz w:val="24"/>
        </w:rPr>
        <w:t xml:space="preserve">Haringey Council </w:t>
      </w:r>
      <w:r>
        <w:rPr>
          <w:sz w:val="24"/>
        </w:rPr>
        <w:t>in consultation with the parents of the</w:t>
      </w:r>
      <w:r>
        <w:rPr>
          <w:spacing w:val="-29"/>
          <w:sz w:val="24"/>
        </w:rPr>
        <w:t xml:space="preserve"> </w:t>
      </w:r>
      <w:r w:rsidR="00202ADD">
        <w:rPr>
          <w:sz w:val="24"/>
        </w:rPr>
        <w:t>children.</w:t>
      </w:r>
    </w:p>
    <w:p w14:paraId="0B995399" w14:textId="6D3591AA" w:rsidR="004446C0" w:rsidRDefault="00CC7443">
      <w:pPr>
        <w:pStyle w:val="ListParagraph"/>
        <w:numPr>
          <w:ilvl w:val="0"/>
          <w:numId w:val="1"/>
        </w:numPr>
        <w:tabs>
          <w:tab w:val="left" w:pos="1121"/>
        </w:tabs>
        <w:spacing w:before="58"/>
        <w:ind w:right="881"/>
        <w:jc w:val="both"/>
        <w:rPr>
          <w:sz w:val="24"/>
        </w:rPr>
      </w:pPr>
      <w:r>
        <w:rPr>
          <w:sz w:val="24"/>
        </w:rPr>
        <w:t>Parents have the right to choose not to be financially assessed</w:t>
      </w:r>
      <w:r w:rsidR="00202ADD">
        <w:rPr>
          <w:sz w:val="24"/>
        </w:rPr>
        <w:t xml:space="preserve">. Where parents </w:t>
      </w:r>
      <w:r w:rsidR="00C43701">
        <w:rPr>
          <w:sz w:val="24"/>
        </w:rPr>
        <w:t xml:space="preserve">choose </w:t>
      </w:r>
      <w:r w:rsidR="00202ADD">
        <w:rPr>
          <w:sz w:val="24"/>
        </w:rPr>
        <w:t xml:space="preserve">not </w:t>
      </w:r>
      <w:proofErr w:type="gramStart"/>
      <w:r w:rsidR="00202ADD">
        <w:rPr>
          <w:sz w:val="24"/>
        </w:rPr>
        <w:t>be</w:t>
      </w:r>
      <w:proofErr w:type="gramEnd"/>
      <w:r w:rsidR="00202ADD">
        <w:rPr>
          <w:sz w:val="24"/>
        </w:rPr>
        <w:t xml:space="preserve"> assessed, </w:t>
      </w:r>
      <w:r>
        <w:rPr>
          <w:sz w:val="24"/>
        </w:rPr>
        <w:t xml:space="preserve">the maximum </w:t>
      </w:r>
      <w:r w:rsidR="00223557">
        <w:rPr>
          <w:sz w:val="24"/>
        </w:rPr>
        <w:t>contribution</w:t>
      </w:r>
      <w:r>
        <w:rPr>
          <w:sz w:val="24"/>
        </w:rPr>
        <w:t xml:space="preserve"> will be levied.</w:t>
      </w:r>
    </w:p>
    <w:p w14:paraId="1428D2B3" w14:textId="77777777" w:rsidR="004446C0" w:rsidRDefault="004446C0">
      <w:pPr>
        <w:pStyle w:val="BodyText"/>
        <w:rPr>
          <w:sz w:val="26"/>
        </w:rPr>
      </w:pPr>
    </w:p>
    <w:p w14:paraId="7D27E6C1" w14:textId="77777777" w:rsidR="004446C0" w:rsidRDefault="00CC7443">
      <w:pPr>
        <w:pStyle w:val="Heading1"/>
        <w:numPr>
          <w:ilvl w:val="0"/>
          <w:numId w:val="4"/>
        </w:numPr>
        <w:tabs>
          <w:tab w:val="left" w:pos="911"/>
          <w:tab w:val="left" w:pos="912"/>
        </w:tabs>
        <w:spacing w:before="180"/>
        <w:ind w:left="911" w:hanging="511"/>
        <w:jc w:val="left"/>
      </w:pPr>
      <w:r>
        <w:t>Guardians</w:t>
      </w:r>
    </w:p>
    <w:p w14:paraId="7ECC701F" w14:textId="77777777" w:rsidR="004446C0" w:rsidRDefault="004446C0">
      <w:pPr>
        <w:pStyle w:val="BodyText"/>
        <w:spacing w:before="5"/>
        <w:rPr>
          <w:b/>
          <w:sz w:val="34"/>
        </w:rPr>
      </w:pPr>
    </w:p>
    <w:p w14:paraId="03F658C4" w14:textId="6A6E1781" w:rsidR="004446C0" w:rsidRDefault="00CC7443">
      <w:pPr>
        <w:pStyle w:val="BodyText"/>
        <w:ind w:left="400" w:right="876"/>
        <w:jc w:val="both"/>
      </w:pPr>
      <w:r>
        <w:t xml:space="preserve">Where both parents have died, a relative or friend may be receiving a guardian’s allowance </w:t>
      </w:r>
      <w:r>
        <w:rPr>
          <w:i/>
        </w:rPr>
        <w:t>(plus child benefit</w:t>
      </w:r>
      <w:r>
        <w:t xml:space="preserve">). Unless the guardian receives any of the means tested benefits listed in paragraph 3 above, recipients will be expected to </w:t>
      </w:r>
      <w:r w:rsidR="00C43701">
        <w:t>contribute</w:t>
      </w:r>
      <w:r>
        <w:t xml:space="preserve"> this allowance towards the cost of maintaining the </w:t>
      </w:r>
      <w:proofErr w:type="gramStart"/>
      <w:r>
        <w:t>child</w:t>
      </w:r>
      <w:proofErr w:type="gramEnd"/>
      <w:r>
        <w:t xml:space="preserve"> but a guardian will not be required to make any further</w:t>
      </w:r>
      <w:r>
        <w:rPr>
          <w:spacing w:val="-12"/>
        </w:rPr>
        <w:t xml:space="preserve"> </w:t>
      </w:r>
      <w:r>
        <w:t>contribution.</w:t>
      </w:r>
    </w:p>
    <w:p w14:paraId="1CB8024A" w14:textId="77777777" w:rsidR="004446C0" w:rsidRDefault="004446C0">
      <w:pPr>
        <w:jc w:val="both"/>
        <w:sectPr w:rsidR="004446C0">
          <w:pgSz w:w="11900" w:h="16850"/>
          <w:pgMar w:top="1340" w:right="560" w:bottom="820" w:left="1040" w:header="571" w:footer="638" w:gutter="0"/>
          <w:cols w:space="720"/>
        </w:sectPr>
      </w:pPr>
    </w:p>
    <w:p w14:paraId="089BFAD8" w14:textId="53405A9C" w:rsidR="00202ADD" w:rsidRDefault="00202ADD" w:rsidP="00202ADD">
      <w:pPr>
        <w:pStyle w:val="Heading1"/>
        <w:numPr>
          <w:ilvl w:val="0"/>
          <w:numId w:val="4"/>
        </w:numPr>
        <w:tabs>
          <w:tab w:val="left" w:pos="911"/>
          <w:tab w:val="left" w:pos="912"/>
        </w:tabs>
        <w:spacing w:before="0"/>
        <w:ind w:left="403" w:right="7229" w:firstLine="0"/>
        <w:jc w:val="left"/>
      </w:pPr>
      <w:r>
        <w:lastRenderedPageBreak/>
        <w:t>Contributions</w:t>
      </w:r>
    </w:p>
    <w:p w14:paraId="6FF2CF23" w14:textId="77777777" w:rsidR="00202ADD" w:rsidRDefault="00202ADD" w:rsidP="00202ADD">
      <w:pPr>
        <w:pStyle w:val="Heading1"/>
        <w:tabs>
          <w:tab w:val="left" w:pos="911"/>
          <w:tab w:val="left" w:pos="912"/>
        </w:tabs>
        <w:spacing w:before="0"/>
        <w:ind w:left="403" w:right="7229" w:firstLine="0"/>
      </w:pPr>
    </w:p>
    <w:p w14:paraId="604273B7" w14:textId="77777777" w:rsidR="00202ADD" w:rsidRDefault="00202ADD" w:rsidP="00202ADD">
      <w:pPr>
        <w:pStyle w:val="Heading1"/>
        <w:tabs>
          <w:tab w:val="left" w:pos="911"/>
          <w:tab w:val="left" w:pos="912"/>
        </w:tabs>
        <w:spacing w:before="0"/>
        <w:ind w:left="403" w:right="7229" w:firstLine="0"/>
      </w:pPr>
    </w:p>
    <w:p w14:paraId="5A3C955E" w14:textId="66E0FC78" w:rsidR="004446C0" w:rsidRDefault="00CC7443" w:rsidP="00202ADD">
      <w:pPr>
        <w:pStyle w:val="Heading1"/>
        <w:tabs>
          <w:tab w:val="left" w:pos="911"/>
          <w:tab w:val="left" w:pos="912"/>
        </w:tabs>
        <w:spacing w:before="0"/>
        <w:ind w:left="403" w:right="7229" w:firstLine="0"/>
      </w:pPr>
      <w:r>
        <w:t>Residential</w:t>
      </w:r>
      <w:r w:rsidR="00202ADD">
        <w:t xml:space="preserve"> </w:t>
      </w:r>
      <w:r>
        <w:t>placements</w:t>
      </w:r>
    </w:p>
    <w:p w14:paraId="613B11BC" w14:textId="40C665A5" w:rsidR="004446C0" w:rsidRDefault="00C43701">
      <w:pPr>
        <w:pStyle w:val="BodyText"/>
        <w:spacing w:before="123"/>
        <w:ind w:left="400" w:right="876"/>
        <w:jc w:val="both"/>
      </w:pPr>
      <w:r>
        <w:t>Except for</w:t>
      </w:r>
      <w:r w:rsidR="00CC7443">
        <w:t xml:space="preserve"> parents receiving benefits as listed in paragraph 3 above, all parents are required to contribute, pro-rata, at least the amount of Child Benefit, for each child in care, for the initial eight weeks that the benefit is paid. If, after eight weeks, the child is still looked after, then the Child Benefit and any other benefits relating to that child will cease but </w:t>
      </w:r>
      <w:r w:rsidR="00223557">
        <w:t>contribution</w:t>
      </w:r>
      <w:r w:rsidR="00CC7443">
        <w:t>s will continue based upon the applicable rate determined by the outcome of the financial assessment.</w:t>
      </w:r>
    </w:p>
    <w:p w14:paraId="32244A4A" w14:textId="77777777" w:rsidR="004446C0" w:rsidRDefault="004446C0">
      <w:pPr>
        <w:pStyle w:val="BodyText"/>
        <w:rPr>
          <w:sz w:val="26"/>
        </w:rPr>
      </w:pPr>
    </w:p>
    <w:p w14:paraId="3542CF6D" w14:textId="724E5AD9" w:rsidR="004446C0" w:rsidRDefault="00CC7443">
      <w:pPr>
        <w:pStyle w:val="Heading1"/>
        <w:spacing w:before="218"/>
        <w:ind w:left="400" w:firstLine="0"/>
      </w:pPr>
      <w:r>
        <w:t xml:space="preserve">Maximum Weekly/Daily </w:t>
      </w:r>
      <w:r w:rsidR="00223557">
        <w:t>Contribution</w:t>
      </w:r>
      <w:r>
        <w:t>s</w:t>
      </w:r>
    </w:p>
    <w:p w14:paraId="5F1C5A91" w14:textId="77777777" w:rsidR="004446C0" w:rsidRDefault="004446C0">
      <w:pPr>
        <w:pStyle w:val="BodyText"/>
        <w:rPr>
          <w:b/>
          <w:sz w:val="26"/>
        </w:rPr>
      </w:pPr>
    </w:p>
    <w:p w14:paraId="5DCB61F0" w14:textId="77B423D0" w:rsidR="004446C0" w:rsidRDefault="00223557">
      <w:pPr>
        <w:pStyle w:val="BodyText"/>
        <w:spacing w:before="217"/>
        <w:ind w:left="400" w:right="886"/>
        <w:jc w:val="both"/>
      </w:pPr>
      <w:r>
        <w:t>Contribution</w:t>
      </w:r>
      <w:r w:rsidR="00CC7443">
        <w:t xml:space="preserve">s will be based upon the basic fostering rates paid by </w:t>
      </w:r>
      <w:r w:rsidR="004F4607">
        <w:t xml:space="preserve">Haringey Council </w:t>
      </w:r>
      <w:r w:rsidR="00CC7443">
        <w:t>to foster carers. When fostering allowance rates change (usually annually on 1 April) these rates will also change. The rates are:</w:t>
      </w:r>
    </w:p>
    <w:p w14:paraId="5E79184A" w14:textId="77777777" w:rsidR="004446C0" w:rsidRDefault="004446C0">
      <w:pPr>
        <w:pStyle w:val="BodyText"/>
        <w:rPr>
          <w:sz w:val="20"/>
        </w:rPr>
      </w:pPr>
    </w:p>
    <w:p w14:paraId="2CD93B05" w14:textId="77777777" w:rsidR="00486318" w:rsidRDefault="00486318">
      <w:pPr>
        <w:pStyle w:val="BodyText"/>
        <w:spacing w:before="2" w:after="1"/>
        <w:rPr>
          <w:sz w:val="25"/>
        </w:rPr>
      </w:pPr>
      <w:r>
        <w:rPr>
          <w:sz w:val="25"/>
        </w:rPr>
        <w:tab/>
      </w:r>
    </w:p>
    <w:tbl>
      <w:tblPr>
        <w:tblStyle w:val="TableGrid"/>
        <w:tblW w:w="0" w:type="auto"/>
        <w:tblInd w:w="421" w:type="dxa"/>
        <w:tblLook w:val="04A0" w:firstRow="1" w:lastRow="0" w:firstColumn="1" w:lastColumn="0" w:noHBand="0" w:noVBand="1"/>
      </w:tblPr>
      <w:tblGrid>
        <w:gridCol w:w="1185"/>
        <w:gridCol w:w="2075"/>
        <w:gridCol w:w="2268"/>
      </w:tblGrid>
      <w:tr w:rsidR="00486318" w:rsidRPr="00486318" w14:paraId="73FA50D8" w14:textId="77777777" w:rsidTr="00486318">
        <w:tc>
          <w:tcPr>
            <w:tcW w:w="1185" w:type="dxa"/>
            <w:hideMark/>
          </w:tcPr>
          <w:p w14:paraId="24BA00F1" w14:textId="73307AB3" w:rsidR="00486318" w:rsidRDefault="00486318" w:rsidP="00486318">
            <w:pPr>
              <w:pStyle w:val="BodyText"/>
              <w:widowControl w:val="0"/>
              <w:autoSpaceDE w:val="0"/>
              <w:autoSpaceDN w:val="0"/>
              <w:spacing w:before="2" w:after="1"/>
              <w:rPr>
                <w:b/>
                <w:bCs/>
                <w:sz w:val="25"/>
              </w:rPr>
            </w:pPr>
            <w:r w:rsidRPr="00486318">
              <w:rPr>
                <w:b/>
                <w:bCs/>
                <w:sz w:val="25"/>
              </w:rPr>
              <w:t xml:space="preserve">age of child </w:t>
            </w:r>
          </w:p>
          <w:p w14:paraId="25E029BA" w14:textId="77777777" w:rsidR="00486318" w:rsidRPr="00486318" w:rsidRDefault="00486318" w:rsidP="00486318">
            <w:pPr>
              <w:pStyle w:val="BodyText"/>
              <w:widowControl w:val="0"/>
              <w:autoSpaceDE w:val="0"/>
              <w:autoSpaceDN w:val="0"/>
              <w:spacing w:before="2" w:after="1"/>
              <w:rPr>
                <w:b/>
                <w:bCs/>
                <w:sz w:val="25"/>
              </w:rPr>
            </w:pPr>
          </w:p>
          <w:p w14:paraId="0EC2D407" w14:textId="77777777" w:rsidR="00486318" w:rsidRPr="00486318" w:rsidRDefault="00486318" w:rsidP="00486318">
            <w:pPr>
              <w:pStyle w:val="BodyText"/>
              <w:widowControl w:val="0"/>
              <w:autoSpaceDE w:val="0"/>
              <w:autoSpaceDN w:val="0"/>
              <w:spacing w:before="2" w:after="1"/>
              <w:rPr>
                <w:sz w:val="25"/>
              </w:rPr>
            </w:pPr>
          </w:p>
        </w:tc>
        <w:tc>
          <w:tcPr>
            <w:tcW w:w="2075" w:type="dxa"/>
            <w:hideMark/>
          </w:tcPr>
          <w:p w14:paraId="772F9ADC" w14:textId="77777777" w:rsidR="00486318" w:rsidRPr="00486318" w:rsidRDefault="00486318" w:rsidP="00486318">
            <w:pPr>
              <w:pStyle w:val="BodyText"/>
              <w:widowControl w:val="0"/>
              <w:autoSpaceDE w:val="0"/>
              <w:autoSpaceDN w:val="0"/>
              <w:spacing w:before="2" w:after="1"/>
              <w:rPr>
                <w:b/>
                <w:bCs/>
                <w:sz w:val="25"/>
                <w:u w:val="single"/>
              </w:rPr>
            </w:pPr>
            <w:r w:rsidRPr="00486318">
              <w:rPr>
                <w:b/>
                <w:bCs/>
                <w:sz w:val="25"/>
                <w:u w:val="single"/>
              </w:rPr>
              <w:t xml:space="preserve">daily rate </w:t>
            </w:r>
          </w:p>
          <w:p w14:paraId="634CC60A" w14:textId="4219E9EA" w:rsidR="00486318" w:rsidRPr="00486318" w:rsidRDefault="00486318" w:rsidP="00486318">
            <w:pPr>
              <w:pStyle w:val="BodyText"/>
              <w:widowControl w:val="0"/>
              <w:autoSpaceDE w:val="0"/>
              <w:autoSpaceDN w:val="0"/>
              <w:spacing w:before="2" w:after="1"/>
              <w:rPr>
                <w:sz w:val="25"/>
              </w:rPr>
            </w:pPr>
          </w:p>
        </w:tc>
        <w:tc>
          <w:tcPr>
            <w:tcW w:w="2268" w:type="dxa"/>
            <w:hideMark/>
          </w:tcPr>
          <w:p w14:paraId="13566200" w14:textId="77777777" w:rsidR="00486318" w:rsidRPr="00486318" w:rsidRDefault="00486318" w:rsidP="00486318">
            <w:pPr>
              <w:pStyle w:val="BodyText"/>
              <w:widowControl w:val="0"/>
              <w:autoSpaceDE w:val="0"/>
              <w:autoSpaceDN w:val="0"/>
              <w:spacing w:before="2" w:after="1"/>
              <w:rPr>
                <w:sz w:val="25"/>
              </w:rPr>
            </w:pPr>
            <w:r w:rsidRPr="00486318">
              <w:rPr>
                <w:b/>
                <w:bCs/>
                <w:sz w:val="25"/>
                <w:u w:val="single"/>
              </w:rPr>
              <w:t>weekly rate</w:t>
            </w:r>
          </w:p>
        </w:tc>
      </w:tr>
      <w:tr w:rsidR="00486318" w:rsidRPr="00486318" w14:paraId="6D2D59F1" w14:textId="77777777" w:rsidTr="00486318">
        <w:tc>
          <w:tcPr>
            <w:tcW w:w="1185" w:type="dxa"/>
            <w:hideMark/>
          </w:tcPr>
          <w:p w14:paraId="64FC6D2C" w14:textId="7854D67D" w:rsidR="00486318" w:rsidRDefault="00486318" w:rsidP="00486318">
            <w:pPr>
              <w:pStyle w:val="BodyText"/>
              <w:widowControl w:val="0"/>
              <w:autoSpaceDE w:val="0"/>
              <w:autoSpaceDN w:val="0"/>
              <w:spacing w:before="2" w:after="1"/>
              <w:rPr>
                <w:sz w:val="25"/>
              </w:rPr>
            </w:pPr>
            <w:r w:rsidRPr="00486318">
              <w:rPr>
                <w:sz w:val="25"/>
              </w:rPr>
              <w:t xml:space="preserve">0-10 </w:t>
            </w:r>
            <w:proofErr w:type="spellStart"/>
            <w:r w:rsidRPr="00486318">
              <w:rPr>
                <w:sz w:val="25"/>
              </w:rPr>
              <w:t>yrs</w:t>
            </w:r>
            <w:proofErr w:type="spellEnd"/>
          </w:p>
          <w:p w14:paraId="69B58141" w14:textId="77777777" w:rsidR="00486318" w:rsidRPr="00486318" w:rsidRDefault="00486318" w:rsidP="00486318">
            <w:pPr>
              <w:pStyle w:val="BodyText"/>
              <w:widowControl w:val="0"/>
              <w:autoSpaceDE w:val="0"/>
              <w:autoSpaceDN w:val="0"/>
              <w:spacing w:before="2" w:after="1"/>
              <w:rPr>
                <w:sz w:val="25"/>
              </w:rPr>
            </w:pPr>
          </w:p>
          <w:p w14:paraId="42F510D1" w14:textId="77777777" w:rsidR="00486318" w:rsidRPr="00486318" w:rsidRDefault="00486318" w:rsidP="00486318">
            <w:pPr>
              <w:pStyle w:val="BodyText"/>
              <w:widowControl w:val="0"/>
              <w:autoSpaceDE w:val="0"/>
              <w:autoSpaceDN w:val="0"/>
              <w:spacing w:before="2" w:after="1"/>
              <w:rPr>
                <w:sz w:val="25"/>
              </w:rPr>
            </w:pPr>
          </w:p>
        </w:tc>
        <w:tc>
          <w:tcPr>
            <w:tcW w:w="2075" w:type="dxa"/>
            <w:hideMark/>
          </w:tcPr>
          <w:p w14:paraId="4E9307FA" w14:textId="77777777" w:rsidR="00486318" w:rsidRPr="00486318" w:rsidRDefault="00486318" w:rsidP="00486318">
            <w:pPr>
              <w:pStyle w:val="BodyText"/>
              <w:widowControl w:val="0"/>
              <w:autoSpaceDE w:val="0"/>
              <w:autoSpaceDN w:val="0"/>
              <w:spacing w:before="2" w:after="1"/>
              <w:rPr>
                <w:sz w:val="25"/>
              </w:rPr>
            </w:pPr>
            <w:r w:rsidRPr="00486318">
              <w:rPr>
                <w:sz w:val="25"/>
              </w:rPr>
              <w:t>£      53.86</w:t>
            </w:r>
          </w:p>
        </w:tc>
        <w:tc>
          <w:tcPr>
            <w:tcW w:w="2268" w:type="dxa"/>
            <w:hideMark/>
          </w:tcPr>
          <w:p w14:paraId="3E51C9E2" w14:textId="77777777" w:rsidR="00486318" w:rsidRDefault="00486318" w:rsidP="00486318">
            <w:pPr>
              <w:pStyle w:val="BodyText"/>
              <w:widowControl w:val="0"/>
              <w:autoSpaceDE w:val="0"/>
              <w:autoSpaceDN w:val="0"/>
              <w:spacing w:before="2" w:after="1"/>
              <w:rPr>
                <w:sz w:val="25"/>
              </w:rPr>
            </w:pPr>
            <w:r w:rsidRPr="00486318">
              <w:rPr>
                <w:sz w:val="25"/>
              </w:rPr>
              <w:t> £    377.00</w:t>
            </w:r>
          </w:p>
          <w:p w14:paraId="79A5EACB" w14:textId="62BAC601" w:rsidR="00486318" w:rsidRPr="00486318" w:rsidRDefault="00486318" w:rsidP="00486318">
            <w:pPr>
              <w:pStyle w:val="BodyText"/>
              <w:widowControl w:val="0"/>
              <w:autoSpaceDE w:val="0"/>
              <w:autoSpaceDN w:val="0"/>
              <w:spacing w:before="2" w:after="1"/>
              <w:rPr>
                <w:sz w:val="25"/>
              </w:rPr>
            </w:pPr>
          </w:p>
        </w:tc>
      </w:tr>
      <w:tr w:rsidR="00486318" w:rsidRPr="00486318" w14:paraId="2A3E250B" w14:textId="77777777" w:rsidTr="00486318">
        <w:tc>
          <w:tcPr>
            <w:tcW w:w="1185" w:type="dxa"/>
            <w:hideMark/>
          </w:tcPr>
          <w:p w14:paraId="7FE0577A" w14:textId="732C8096" w:rsidR="00486318" w:rsidRDefault="00486318" w:rsidP="00486318">
            <w:pPr>
              <w:pStyle w:val="BodyText"/>
              <w:widowControl w:val="0"/>
              <w:autoSpaceDE w:val="0"/>
              <w:autoSpaceDN w:val="0"/>
              <w:spacing w:before="2" w:after="1"/>
              <w:rPr>
                <w:sz w:val="25"/>
              </w:rPr>
            </w:pPr>
            <w:r w:rsidRPr="00486318">
              <w:rPr>
                <w:sz w:val="25"/>
              </w:rPr>
              <w:t xml:space="preserve">11 to 16 </w:t>
            </w:r>
            <w:proofErr w:type="spellStart"/>
            <w:r w:rsidRPr="00486318">
              <w:rPr>
                <w:sz w:val="25"/>
              </w:rPr>
              <w:t>yrs</w:t>
            </w:r>
            <w:proofErr w:type="spellEnd"/>
          </w:p>
          <w:p w14:paraId="0D4E02DD" w14:textId="77777777" w:rsidR="00486318" w:rsidRPr="00486318" w:rsidRDefault="00486318" w:rsidP="00486318">
            <w:pPr>
              <w:pStyle w:val="BodyText"/>
              <w:widowControl w:val="0"/>
              <w:autoSpaceDE w:val="0"/>
              <w:autoSpaceDN w:val="0"/>
              <w:spacing w:before="2" w:after="1"/>
              <w:rPr>
                <w:sz w:val="25"/>
              </w:rPr>
            </w:pPr>
          </w:p>
          <w:p w14:paraId="5C88D6EF" w14:textId="77777777" w:rsidR="00486318" w:rsidRPr="00486318" w:rsidRDefault="00486318" w:rsidP="00486318">
            <w:pPr>
              <w:pStyle w:val="BodyText"/>
              <w:widowControl w:val="0"/>
              <w:autoSpaceDE w:val="0"/>
              <w:autoSpaceDN w:val="0"/>
              <w:spacing w:before="2" w:after="1"/>
              <w:rPr>
                <w:sz w:val="25"/>
              </w:rPr>
            </w:pPr>
          </w:p>
        </w:tc>
        <w:tc>
          <w:tcPr>
            <w:tcW w:w="2075" w:type="dxa"/>
            <w:hideMark/>
          </w:tcPr>
          <w:p w14:paraId="08AA7328" w14:textId="7DA5B4E0" w:rsidR="00486318" w:rsidRPr="00486318" w:rsidRDefault="00486318" w:rsidP="00486318">
            <w:pPr>
              <w:pStyle w:val="BodyText"/>
              <w:widowControl w:val="0"/>
              <w:autoSpaceDE w:val="0"/>
              <w:autoSpaceDN w:val="0"/>
              <w:spacing w:before="2" w:after="1"/>
              <w:rPr>
                <w:sz w:val="25"/>
              </w:rPr>
            </w:pPr>
            <w:r w:rsidRPr="00486318">
              <w:rPr>
                <w:sz w:val="25"/>
              </w:rPr>
              <w:t>£      6</w:t>
            </w:r>
            <w:r>
              <w:rPr>
                <w:sz w:val="25"/>
              </w:rPr>
              <w:t>8.14</w:t>
            </w:r>
            <w:r w:rsidRPr="00486318">
              <w:rPr>
                <w:sz w:val="25"/>
              </w:rPr>
              <w:t> </w:t>
            </w:r>
          </w:p>
        </w:tc>
        <w:tc>
          <w:tcPr>
            <w:tcW w:w="2268" w:type="dxa"/>
            <w:hideMark/>
          </w:tcPr>
          <w:p w14:paraId="0E108154" w14:textId="2F18EEED" w:rsidR="00486318" w:rsidRPr="00486318" w:rsidRDefault="00486318" w:rsidP="00486318">
            <w:pPr>
              <w:pStyle w:val="BodyText"/>
              <w:widowControl w:val="0"/>
              <w:autoSpaceDE w:val="0"/>
              <w:autoSpaceDN w:val="0"/>
              <w:spacing w:before="2" w:after="1"/>
              <w:rPr>
                <w:sz w:val="25"/>
              </w:rPr>
            </w:pPr>
            <w:r w:rsidRPr="00486318">
              <w:rPr>
                <w:sz w:val="25"/>
              </w:rPr>
              <w:t>£    4</w:t>
            </w:r>
            <w:r>
              <w:rPr>
                <w:sz w:val="25"/>
              </w:rPr>
              <w:t>7</w:t>
            </w:r>
            <w:r w:rsidRPr="00486318">
              <w:rPr>
                <w:sz w:val="25"/>
              </w:rPr>
              <w:t>7.00</w:t>
            </w:r>
          </w:p>
        </w:tc>
      </w:tr>
      <w:tr w:rsidR="00486318" w:rsidRPr="00486318" w14:paraId="41C9CAA9" w14:textId="77777777" w:rsidTr="00486318">
        <w:tc>
          <w:tcPr>
            <w:tcW w:w="1185" w:type="dxa"/>
            <w:hideMark/>
          </w:tcPr>
          <w:p w14:paraId="2D1FF34F" w14:textId="04D0A23E" w:rsidR="00486318" w:rsidRDefault="00486318" w:rsidP="00486318">
            <w:pPr>
              <w:pStyle w:val="BodyText"/>
              <w:widowControl w:val="0"/>
              <w:autoSpaceDE w:val="0"/>
              <w:autoSpaceDN w:val="0"/>
              <w:spacing w:before="2" w:after="1"/>
              <w:rPr>
                <w:sz w:val="25"/>
              </w:rPr>
            </w:pPr>
            <w:r w:rsidRPr="00486318">
              <w:rPr>
                <w:sz w:val="25"/>
              </w:rPr>
              <w:t>16 plus</w:t>
            </w:r>
          </w:p>
          <w:p w14:paraId="52ECE2B7" w14:textId="77777777" w:rsidR="00486318" w:rsidRPr="00486318" w:rsidRDefault="00486318" w:rsidP="00486318">
            <w:pPr>
              <w:pStyle w:val="BodyText"/>
              <w:widowControl w:val="0"/>
              <w:autoSpaceDE w:val="0"/>
              <w:autoSpaceDN w:val="0"/>
              <w:spacing w:before="2" w:after="1"/>
              <w:rPr>
                <w:sz w:val="25"/>
              </w:rPr>
            </w:pPr>
          </w:p>
          <w:p w14:paraId="3DC5EF26" w14:textId="77777777" w:rsidR="00486318" w:rsidRPr="00486318" w:rsidRDefault="00486318" w:rsidP="00486318">
            <w:pPr>
              <w:pStyle w:val="BodyText"/>
              <w:widowControl w:val="0"/>
              <w:autoSpaceDE w:val="0"/>
              <w:autoSpaceDN w:val="0"/>
              <w:spacing w:before="2" w:after="1"/>
              <w:rPr>
                <w:sz w:val="25"/>
              </w:rPr>
            </w:pPr>
          </w:p>
        </w:tc>
        <w:tc>
          <w:tcPr>
            <w:tcW w:w="2075" w:type="dxa"/>
            <w:hideMark/>
          </w:tcPr>
          <w:p w14:paraId="6D744949" w14:textId="7D528CA6" w:rsidR="00486318" w:rsidRPr="00486318" w:rsidRDefault="00486318" w:rsidP="00486318">
            <w:pPr>
              <w:pStyle w:val="BodyText"/>
              <w:widowControl w:val="0"/>
              <w:autoSpaceDE w:val="0"/>
              <w:autoSpaceDN w:val="0"/>
              <w:spacing w:before="2" w:after="1"/>
              <w:rPr>
                <w:sz w:val="25"/>
              </w:rPr>
            </w:pPr>
            <w:r w:rsidRPr="00486318">
              <w:rPr>
                <w:sz w:val="25"/>
              </w:rPr>
              <w:t xml:space="preserve">£      </w:t>
            </w:r>
            <w:r>
              <w:rPr>
                <w:sz w:val="25"/>
              </w:rPr>
              <w:t>71.00</w:t>
            </w:r>
          </w:p>
        </w:tc>
        <w:tc>
          <w:tcPr>
            <w:tcW w:w="2268" w:type="dxa"/>
            <w:hideMark/>
          </w:tcPr>
          <w:p w14:paraId="212C7679" w14:textId="62F8316B" w:rsidR="00486318" w:rsidRPr="00486318" w:rsidRDefault="00486318" w:rsidP="00486318">
            <w:pPr>
              <w:pStyle w:val="BodyText"/>
              <w:widowControl w:val="0"/>
              <w:autoSpaceDE w:val="0"/>
              <w:autoSpaceDN w:val="0"/>
              <w:spacing w:before="2" w:after="1"/>
              <w:rPr>
                <w:sz w:val="25"/>
              </w:rPr>
            </w:pPr>
            <w:r w:rsidRPr="00486318">
              <w:rPr>
                <w:sz w:val="25"/>
              </w:rPr>
              <w:t> £    4</w:t>
            </w:r>
            <w:r>
              <w:rPr>
                <w:sz w:val="25"/>
              </w:rPr>
              <w:t>9</w:t>
            </w:r>
            <w:r w:rsidRPr="00486318">
              <w:rPr>
                <w:sz w:val="25"/>
              </w:rPr>
              <w:t>7.00</w:t>
            </w:r>
          </w:p>
        </w:tc>
      </w:tr>
    </w:tbl>
    <w:p w14:paraId="757092E7" w14:textId="77777777" w:rsidR="00486318" w:rsidRPr="00486318" w:rsidRDefault="00486318" w:rsidP="00486318">
      <w:pPr>
        <w:pStyle w:val="BodyText"/>
        <w:spacing w:before="2" w:after="1"/>
        <w:rPr>
          <w:sz w:val="25"/>
        </w:rPr>
      </w:pPr>
    </w:p>
    <w:p w14:paraId="66A5C27F" w14:textId="1EE75CA0" w:rsidR="004446C0" w:rsidRDefault="004446C0">
      <w:pPr>
        <w:pStyle w:val="BodyText"/>
        <w:spacing w:before="2" w:after="1"/>
        <w:rPr>
          <w:sz w:val="25"/>
        </w:rPr>
      </w:pPr>
    </w:p>
    <w:p w14:paraId="04D326CB" w14:textId="77777777" w:rsidR="004446C0" w:rsidRDefault="004446C0">
      <w:pPr>
        <w:pStyle w:val="BodyText"/>
        <w:rPr>
          <w:sz w:val="26"/>
        </w:rPr>
      </w:pPr>
    </w:p>
    <w:p w14:paraId="3383E3B5" w14:textId="072110AC" w:rsidR="004446C0" w:rsidRDefault="00CC7443">
      <w:pPr>
        <w:pStyle w:val="BodyText"/>
        <w:spacing w:before="92"/>
        <w:ind w:left="400" w:right="874"/>
        <w:jc w:val="both"/>
      </w:pPr>
      <w:r w:rsidRPr="00240D59">
        <w:t xml:space="preserve">Parents who have savings/capital </w:t>
      </w:r>
      <w:r w:rsidR="00240D59" w:rsidRPr="00240D59">
        <w:t>more than</w:t>
      </w:r>
      <w:r w:rsidRPr="00240D59">
        <w:t xml:space="preserve"> £23,250 are liable for the full cost of the service. This figure has been taken from the Care Act 2014 which is used for assessing adults.</w:t>
      </w:r>
    </w:p>
    <w:p w14:paraId="65C365CD" w14:textId="1EBBF817" w:rsidR="004446C0" w:rsidRDefault="00223557">
      <w:pPr>
        <w:pStyle w:val="BodyText"/>
        <w:spacing w:before="121"/>
        <w:ind w:left="400"/>
      </w:pPr>
      <w:r>
        <w:t>Contribution</w:t>
      </w:r>
      <w:r w:rsidR="00CC7443">
        <w:t>s will be based upon the number of nights multiplied by the nightly rate.</w:t>
      </w:r>
    </w:p>
    <w:p w14:paraId="14255B84" w14:textId="77777777" w:rsidR="004446C0" w:rsidRDefault="004446C0">
      <w:pPr>
        <w:pStyle w:val="BodyText"/>
        <w:rPr>
          <w:sz w:val="26"/>
        </w:rPr>
      </w:pPr>
    </w:p>
    <w:p w14:paraId="78349BF5" w14:textId="465DF8BB" w:rsidR="004446C0" w:rsidRDefault="00CC7443">
      <w:pPr>
        <w:pStyle w:val="Heading1"/>
        <w:spacing w:before="217"/>
        <w:ind w:left="400" w:firstLine="0"/>
      </w:pPr>
      <w:r>
        <w:t xml:space="preserve">Sliding Scale for </w:t>
      </w:r>
      <w:r w:rsidR="00223557">
        <w:t>Contribution</w:t>
      </w:r>
      <w:r>
        <w:t>s</w:t>
      </w:r>
    </w:p>
    <w:p w14:paraId="15501160" w14:textId="318D1DA5" w:rsidR="004446C0" w:rsidRDefault="00223557">
      <w:pPr>
        <w:pStyle w:val="BodyText"/>
        <w:spacing w:before="120"/>
        <w:ind w:left="400" w:right="635"/>
      </w:pPr>
      <w:r>
        <w:t>Contribution</w:t>
      </w:r>
      <w:r w:rsidR="00CC7443">
        <w:t xml:space="preserve">s will be on a 'sliding scale' depending upon the levels of contributions calculated </w:t>
      </w:r>
      <w:proofErr w:type="gramStart"/>
      <w:r w:rsidR="00CC7443">
        <w:t>with regard to</w:t>
      </w:r>
      <w:proofErr w:type="gramEnd"/>
    </w:p>
    <w:p w14:paraId="3BB73DA8" w14:textId="77777777" w:rsidR="004446C0" w:rsidRDefault="004446C0">
      <w:pPr>
        <w:pStyle w:val="BodyText"/>
        <w:rPr>
          <w:sz w:val="26"/>
        </w:rPr>
      </w:pPr>
    </w:p>
    <w:p w14:paraId="7FC52F31" w14:textId="45DD8A8F" w:rsidR="004446C0" w:rsidRDefault="00CC7443">
      <w:pPr>
        <w:pStyle w:val="Heading1"/>
        <w:spacing w:before="217"/>
        <w:ind w:left="1120" w:firstLine="0"/>
      </w:pPr>
      <w:r>
        <w:t xml:space="preserve">Net Disposable Income (NDI) </w:t>
      </w:r>
      <w:r w:rsidR="00223557">
        <w:t>Contribution</w:t>
      </w:r>
    </w:p>
    <w:p w14:paraId="4AB070D9" w14:textId="77777777" w:rsidR="004446C0" w:rsidRDefault="004446C0">
      <w:pPr>
        <w:pStyle w:val="BodyText"/>
        <w:rPr>
          <w:b/>
          <w:sz w:val="20"/>
        </w:rPr>
      </w:pPr>
    </w:p>
    <w:p w14:paraId="6DE60D05" w14:textId="77777777" w:rsidR="004446C0" w:rsidRDefault="004446C0">
      <w:pPr>
        <w:pStyle w:val="BodyText"/>
        <w:spacing w:before="3" w:after="1"/>
        <w:rPr>
          <w:b/>
          <w:sz w:val="25"/>
        </w:rPr>
      </w:pPr>
    </w:p>
    <w:tbl>
      <w:tblPr>
        <w:tblW w:w="0" w:type="auto"/>
        <w:tblInd w:w="2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3137"/>
      </w:tblGrid>
      <w:tr w:rsidR="004446C0" w14:paraId="22BAFB01" w14:textId="77777777">
        <w:trPr>
          <w:trHeight w:val="791"/>
        </w:trPr>
        <w:tc>
          <w:tcPr>
            <w:tcW w:w="1524" w:type="dxa"/>
          </w:tcPr>
          <w:p w14:paraId="2D8E7101" w14:textId="77777777" w:rsidR="004446C0" w:rsidRDefault="00CC7443">
            <w:pPr>
              <w:pStyle w:val="TableParagraph"/>
              <w:ind w:left="107"/>
              <w:rPr>
                <w:b/>
                <w:sz w:val="24"/>
              </w:rPr>
            </w:pPr>
            <w:r>
              <w:rPr>
                <w:b/>
                <w:sz w:val="24"/>
              </w:rPr>
              <w:t>NDI</w:t>
            </w:r>
          </w:p>
        </w:tc>
        <w:tc>
          <w:tcPr>
            <w:tcW w:w="3137" w:type="dxa"/>
          </w:tcPr>
          <w:p w14:paraId="4C91F453" w14:textId="3AD14C52" w:rsidR="004446C0" w:rsidRDefault="00CC7443">
            <w:pPr>
              <w:pStyle w:val="TableParagraph"/>
              <w:ind w:left="107"/>
              <w:rPr>
                <w:b/>
                <w:sz w:val="24"/>
              </w:rPr>
            </w:pPr>
            <w:r>
              <w:rPr>
                <w:b/>
                <w:sz w:val="24"/>
              </w:rPr>
              <w:t xml:space="preserve">% NDI </w:t>
            </w:r>
            <w:r w:rsidR="00202ADD">
              <w:rPr>
                <w:b/>
                <w:sz w:val="24"/>
              </w:rPr>
              <w:t>contributions</w:t>
            </w:r>
          </w:p>
          <w:p w14:paraId="16570080" w14:textId="1D4E42CD" w:rsidR="004446C0" w:rsidRDefault="00CC7443">
            <w:pPr>
              <w:pStyle w:val="TableParagraph"/>
              <w:spacing w:before="120" w:line="240" w:lineRule="auto"/>
              <w:ind w:left="107"/>
              <w:rPr>
                <w:b/>
                <w:sz w:val="24"/>
              </w:rPr>
            </w:pPr>
            <w:r>
              <w:rPr>
                <w:b/>
                <w:sz w:val="24"/>
              </w:rPr>
              <w:t>(</w:t>
            </w:r>
            <w:proofErr w:type="gramStart"/>
            <w:r>
              <w:rPr>
                <w:b/>
                <w:sz w:val="24"/>
              </w:rPr>
              <w:t>up</w:t>
            </w:r>
            <w:proofErr w:type="gramEnd"/>
            <w:r>
              <w:rPr>
                <w:b/>
                <w:sz w:val="24"/>
              </w:rPr>
              <w:t xml:space="preserve"> to maximum </w:t>
            </w:r>
            <w:r w:rsidR="00223557">
              <w:rPr>
                <w:b/>
                <w:sz w:val="24"/>
              </w:rPr>
              <w:t>contribution</w:t>
            </w:r>
            <w:r>
              <w:rPr>
                <w:b/>
                <w:sz w:val="24"/>
              </w:rPr>
              <w:t>)</w:t>
            </w:r>
          </w:p>
        </w:tc>
      </w:tr>
      <w:tr w:rsidR="004446C0" w14:paraId="4AFD9948" w14:textId="77777777">
        <w:trPr>
          <w:trHeight w:val="395"/>
        </w:trPr>
        <w:tc>
          <w:tcPr>
            <w:tcW w:w="1524" w:type="dxa"/>
          </w:tcPr>
          <w:p w14:paraId="7A3C1A4B" w14:textId="77777777" w:rsidR="004446C0" w:rsidRDefault="00CC7443">
            <w:pPr>
              <w:pStyle w:val="TableParagraph"/>
              <w:ind w:left="107"/>
              <w:rPr>
                <w:sz w:val="24"/>
              </w:rPr>
            </w:pPr>
            <w:r>
              <w:rPr>
                <w:sz w:val="24"/>
              </w:rPr>
              <w:lastRenderedPageBreak/>
              <w:t>Up to £100</w:t>
            </w:r>
          </w:p>
        </w:tc>
        <w:tc>
          <w:tcPr>
            <w:tcW w:w="3137" w:type="dxa"/>
          </w:tcPr>
          <w:p w14:paraId="6EC9B3A4" w14:textId="77777777" w:rsidR="004446C0" w:rsidRDefault="00CC7443">
            <w:pPr>
              <w:pStyle w:val="TableParagraph"/>
              <w:ind w:left="107"/>
              <w:rPr>
                <w:sz w:val="24"/>
              </w:rPr>
            </w:pPr>
            <w:r>
              <w:rPr>
                <w:sz w:val="24"/>
              </w:rPr>
              <w:t>15%</w:t>
            </w:r>
          </w:p>
        </w:tc>
      </w:tr>
    </w:tbl>
    <w:p w14:paraId="7DEE3EFC" w14:textId="77777777" w:rsidR="004446C0" w:rsidRDefault="004446C0">
      <w:pPr>
        <w:rPr>
          <w:sz w:val="24"/>
        </w:rPr>
        <w:sectPr w:rsidR="004446C0">
          <w:pgSz w:w="11900" w:h="16850"/>
          <w:pgMar w:top="1340" w:right="560" w:bottom="820" w:left="1040" w:header="571" w:footer="638" w:gutter="0"/>
          <w:cols w:space="720"/>
        </w:sectPr>
      </w:pPr>
    </w:p>
    <w:p w14:paraId="37F355F7" w14:textId="77777777" w:rsidR="004446C0" w:rsidRDefault="004446C0">
      <w:pPr>
        <w:pStyle w:val="BodyText"/>
        <w:spacing w:before="1"/>
        <w:rPr>
          <w:b/>
          <w:sz w:val="8"/>
        </w:rPr>
      </w:pPr>
    </w:p>
    <w:tbl>
      <w:tblPr>
        <w:tblW w:w="0" w:type="auto"/>
        <w:tblInd w:w="2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3137"/>
      </w:tblGrid>
      <w:tr w:rsidR="004446C0" w14:paraId="3EEF912F" w14:textId="77777777">
        <w:trPr>
          <w:trHeight w:val="395"/>
        </w:trPr>
        <w:tc>
          <w:tcPr>
            <w:tcW w:w="1524" w:type="dxa"/>
          </w:tcPr>
          <w:p w14:paraId="0D35A77F" w14:textId="77777777" w:rsidR="004446C0" w:rsidRDefault="00CC7443">
            <w:pPr>
              <w:pStyle w:val="TableParagraph"/>
              <w:spacing w:line="272" w:lineRule="exact"/>
              <w:ind w:left="107"/>
              <w:rPr>
                <w:sz w:val="24"/>
              </w:rPr>
            </w:pPr>
            <w:r>
              <w:rPr>
                <w:sz w:val="24"/>
              </w:rPr>
              <w:t>Up to £200</w:t>
            </w:r>
          </w:p>
        </w:tc>
        <w:tc>
          <w:tcPr>
            <w:tcW w:w="3137" w:type="dxa"/>
          </w:tcPr>
          <w:p w14:paraId="5E67608B" w14:textId="77777777" w:rsidR="004446C0" w:rsidRDefault="00CC7443">
            <w:pPr>
              <w:pStyle w:val="TableParagraph"/>
              <w:spacing w:line="272" w:lineRule="exact"/>
              <w:ind w:left="107"/>
              <w:rPr>
                <w:sz w:val="24"/>
              </w:rPr>
            </w:pPr>
            <w:r>
              <w:rPr>
                <w:sz w:val="24"/>
              </w:rPr>
              <w:t>20%</w:t>
            </w:r>
          </w:p>
        </w:tc>
      </w:tr>
      <w:tr w:rsidR="004446C0" w14:paraId="0E441AFD" w14:textId="77777777">
        <w:trPr>
          <w:trHeight w:val="395"/>
        </w:trPr>
        <w:tc>
          <w:tcPr>
            <w:tcW w:w="1524" w:type="dxa"/>
          </w:tcPr>
          <w:p w14:paraId="07A18601" w14:textId="77777777" w:rsidR="004446C0" w:rsidRDefault="00CC7443">
            <w:pPr>
              <w:pStyle w:val="TableParagraph"/>
              <w:ind w:left="107"/>
              <w:rPr>
                <w:sz w:val="24"/>
              </w:rPr>
            </w:pPr>
            <w:r>
              <w:rPr>
                <w:sz w:val="24"/>
              </w:rPr>
              <w:t>Up to £300</w:t>
            </w:r>
          </w:p>
        </w:tc>
        <w:tc>
          <w:tcPr>
            <w:tcW w:w="3137" w:type="dxa"/>
          </w:tcPr>
          <w:p w14:paraId="5A9E843E" w14:textId="77777777" w:rsidR="004446C0" w:rsidRDefault="00CC7443">
            <w:pPr>
              <w:pStyle w:val="TableParagraph"/>
              <w:ind w:left="107"/>
              <w:rPr>
                <w:sz w:val="24"/>
              </w:rPr>
            </w:pPr>
            <w:r>
              <w:rPr>
                <w:sz w:val="24"/>
              </w:rPr>
              <w:t>25%</w:t>
            </w:r>
          </w:p>
        </w:tc>
      </w:tr>
      <w:tr w:rsidR="004446C0" w14:paraId="34A05484" w14:textId="77777777">
        <w:trPr>
          <w:trHeight w:val="395"/>
        </w:trPr>
        <w:tc>
          <w:tcPr>
            <w:tcW w:w="1524" w:type="dxa"/>
          </w:tcPr>
          <w:p w14:paraId="65CC14EE" w14:textId="77777777" w:rsidR="004446C0" w:rsidRDefault="00CC7443">
            <w:pPr>
              <w:pStyle w:val="TableParagraph"/>
              <w:ind w:left="107"/>
              <w:rPr>
                <w:sz w:val="24"/>
              </w:rPr>
            </w:pPr>
            <w:r>
              <w:rPr>
                <w:sz w:val="24"/>
              </w:rPr>
              <w:t>Up to £400</w:t>
            </w:r>
          </w:p>
        </w:tc>
        <w:tc>
          <w:tcPr>
            <w:tcW w:w="3137" w:type="dxa"/>
          </w:tcPr>
          <w:p w14:paraId="614BD111" w14:textId="77777777" w:rsidR="004446C0" w:rsidRDefault="00CC7443">
            <w:pPr>
              <w:pStyle w:val="TableParagraph"/>
              <w:ind w:left="107"/>
              <w:rPr>
                <w:sz w:val="24"/>
              </w:rPr>
            </w:pPr>
            <w:r>
              <w:rPr>
                <w:sz w:val="24"/>
              </w:rPr>
              <w:t>30%</w:t>
            </w:r>
          </w:p>
        </w:tc>
      </w:tr>
      <w:tr w:rsidR="004446C0" w14:paraId="7C6C3EBB" w14:textId="77777777">
        <w:trPr>
          <w:trHeight w:val="398"/>
        </w:trPr>
        <w:tc>
          <w:tcPr>
            <w:tcW w:w="1524" w:type="dxa"/>
          </w:tcPr>
          <w:p w14:paraId="05D70F8B" w14:textId="77777777" w:rsidR="004446C0" w:rsidRDefault="00CC7443">
            <w:pPr>
              <w:pStyle w:val="TableParagraph"/>
              <w:spacing w:line="274" w:lineRule="exact"/>
              <w:ind w:left="107"/>
              <w:rPr>
                <w:sz w:val="24"/>
              </w:rPr>
            </w:pPr>
            <w:r>
              <w:rPr>
                <w:sz w:val="24"/>
              </w:rPr>
              <w:t>£400+</w:t>
            </w:r>
          </w:p>
        </w:tc>
        <w:tc>
          <w:tcPr>
            <w:tcW w:w="3137" w:type="dxa"/>
          </w:tcPr>
          <w:p w14:paraId="267BF4D4" w14:textId="72F68D98" w:rsidR="004446C0" w:rsidRDefault="00CC7443">
            <w:pPr>
              <w:pStyle w:val="TableParagraph"/>
              <w:spacing w:line="274" w:lineRule="exact"/>
              <w:ind w:left="107"/>
              <w:rPr>
                <w:sz w:val="24"/>
              </w:rPr>
            </w:pPr>
            <w:r>
              <w:rPr>
                <w:sz w:val="24"/>
              </w:rPr>
              <w:t xml:space="preserve">Maximum </w:t>
            </w:r>
            <w:r w:rsidR="00223557">
              <w:rPr>
                <w:sz w:val="24"/>
              </w:rPr>
              <w:t>contribution</w:t>
            </w:r>
          </w:p>
        </w:tc>
      </w:tr>
    </w:tbl>
    <w:p w14:paraId="5FAF8457" w14:textId="77777777" w:rsidR="004446C0" w:rsidRDefault="004446C0">
      <w:pPr>
        <w:pStyle w:val="BodyText"/>
        <w:rPr>
          <w:b/>
          <w:sz w:val="26"/>
        </w:rPr>
      </w:pPr>
    </w:p>
    <w:p w14:paraId="6B74F9E9" w14:textId="77777777" w:rsidR="004446C0" w:rsidRDefault="00CC7443">
      <w:pPr>
        <w:spacing w:before="93"/>
        <w:ind w:left="1120"/>
        <w:rPr>
          <w:b/>
          <w:sz w:val="24"/>
        </w:rPr>
      </w:pPr>
      <w:r>
        <w:rPr>
          <w:b/>
          <w:sz w:val="24"/>
        </w:rPr>
        <w:t>Example 1</w:t>
      </w:r>
    </w:p>
    <w:p w14:paraId="01A4469A" w14:textId="40998055" w:rsidR="004446C0" w:rsidRDefault="00CC7443">
      <w:pPr>
        <w:pStyle w:val="BodyText"/>
        <w:spacing w:before="120"/>
        <w:ind w:left="1120" w:right="635"/>
      </w:pPr>
      <w:r>
        <w:t xml:space="preserve">Q: What is the weekly </w:t>
      </w:r>
      <w:r w:rsidR="00223557">
        <w:t>contribution</w:t>
      </w:r>
      <w:r>
        <w:t xml:space="preserve"> for a </w:t>
      </w:r>
      <w:proofErr w:type="gramStart"/>
      <w:r>
        <w:t>10 year old</w:t>
      </w:r>
      <w:proofErr w:type="gramEnd"/>
      <w:r>
        <w:t xml:space="preserve"> whose parents have a net disposable income of £250?</w:t>
      </w:r>
    </w:p>
    <w:p w14:paraId="1635253D" w14:textId="77777777" w:rsidR="004446C0" w:rsidRDefault="00CC7443">
      <w:pPr>
        <w:pStyle w:val="BodyText"/>
        <w:spacing w:before="120"/>
        <w:ind w:left="1120"/>
      </w:pPr>
      <w:r>
        <w:t>A: £62.50 per week (</w:t>
      </w:r>
      <w:proofErr w:type="gramStart"/>
      <w:r>
        <w:t>i.e.</w:t>
      </w:r>
      <w:proofErr w:type="gramEnd"/>
      <w:r>
        <w:t xml:space="preserve"> £250 x 25%)</w:t>
      </w:r>
    </w:p>
    <w:p w14:paraId="0FE25DD8" w14:textId="77777777" w:rsidR="004446C0" w:rsidRDefault="004446C0">
      <w:pPr>
        <w:pStyle w:val="BodyText"/>
        <w:rPr>
          <w:sz w:val="26"/>
        </w:rPr>
      </w:pPr>
    </w:p>
    <w:p w14:paraId="7A36EDC9" w14:textId="77777777" w:rsidR="004446C0" w:rsidRDefault="00CC7443">
      <w:pPr>
        <w:pStyle w:val="Heading1"/>
        <w:spacing w:before="217"/>
        <w:ind w:left="1120" w:firstLine="0"/>
      </w:pPr>
      <w:r>
        <w:t>Example 2</w:t>
      </w:r>
    </w:p>
    <w:p w14:paraId="284D3710" w14:textId="77777777" w:rsidR="004446C0" w:rsidRDefault="00CC7443">
      <w:pPr>
        <w:pStyle w:val="BodyText"/>
        <w:spacing w:before="120" w:line="343" w:lineRule="auto"/>
        <w:ind w:left="1120" w:right="2009"/>
      </w:pPr>
      <w:r>
        <w:t>Q: Parent has a net disposable income of £75 – what will they pay? A: £11.25 per week (</w:t>
      </w:r>
      <w:proofErr w:type="gramStart"/>
      <w:r>
        <w:t>i.e.</w:t>
      </w:r>
      <w:proofErr w:type="gramEnd"/>
      <w:r>
        <w:t xml:space="preserve"> £75 x 15%)</w:t>
      </w:r>
    </w:p>
    <w:p w14:paraId="3546266C" w14:textId="77777777" w:rsidR="004446C0" w:rsidRDefault="004446C0">
      <w:pPr>
        <w:pStyle w:val="BodyText"/>
        <w:spacing w:before="8"/>
        <w:rPr>
          <w:sz w:val="34"/>
        </w:rPr>
      </w:pPr>
    </w:p>
    <w:p w14:paraId="5F3CCD42" w14:textId="77777777" w:rsidR="004446C0" w:rsidRDefault="00CC7443">
      <w:pPr>
        <w:pStyle w:val="BodyText"/>
        <w:ind w:left="400"/>
      </w:pPr>
      <w:r>
        <w:t>Net Disposable Income is calculated in the following way:</w:t>
      </w:r>
    </w:p>
    <w:p w14:paraId="3A9B3684" w14:textId="77777777" w:rsidR="004446C0" w:rsidRDefault="00CC7443">
      <w:pPr>
        <w:pStyle w:val="BodyText"/>
        <w:spacing w:before="3" w:line="790" w:lineRule="atLeast"/>
        <w:ind w:left="400" w:right="2483"/>
      </w:pPr>
      <w:r>
        <w:t>Weekly Income – Total Weekly Expenditure = Net Disposable Income For the purposes of this calculation:</w:t>
      </w:r>
    </w:p>
    <w:p w14:paraId="6F87421D" w14:textId="77777777" w:rsidR="004446C0" w:rsidRDefault="004446C0">
      <w:pPr>
        <w:pStyle w:val="BodyText"/>
        <w:spacing w:before="6"/>
      </w:pPr>
    </w:p>
    <w:p w14:paraId="33003C69" w14:textId="77777777" w:rsidR="004446C0" w:rsidRDefault="00CC7443">
      <w:pPr>
        <w:ind w:left="400" w:right="876"/>
        <w:jc w:val="both"/>
        <w:rPr>
          <w:b/>
          <w:sz w:val="24"/>
        </w:rPr>
      </w:pPr>
      <w:r>
        <w:rPr>
          <w:sz w:val="24"/>
        </w:rPr>
        <w:t xml:space="preserve">Total weekly income takes account of: Salary, welfare benefits, private works pensions and </w:t>
      </w:r>
      <w:r>
        <w:rPr>
          <w:b/>
          <w:sz w:val="24"/>
        </w:rPr>
        <w:t>income that is assumed an individual receives from their capital (tariff income)</w:t>
      </w:r>
    </w:p>
    <w:p w14:paraId="2B1A54F3" w14:textId="77777777" w:rsidR="004446C0" w:rsidRDefault="004446C0">
      <w:pPr>
        <w:pStyle w:val="BodyText"/>
        <w:spacing w:before="3"/>
        <w:rPr>
          <w:b/>
        </w:rPr>
      </w:pPr>
    </w:p>
    <w:p w14:paraId="2C39A8B9" w14:textId="77777777" w:rsidR="004446C0" w:rsidRDefault="00CC7443">
      <w:pPr>
        <w:pStyle w:val="BodyText"/>
        <w:ind w:left="400" w:right="883"/>
        <w:jc w:val="both"/>
      </w:pPr>
      <w:r>
        <w:t>Total weekly expenditure takes account of certain household expenses, any weekly disability related expenses and a protected income.</w:t>
      </w:r>
    </w:p>
    <w:p w14:paraId="3B0A8EC2" w14:textId="77777777" w:rsidR="004446C0" w:rsidRDefault="004446C0">
      <w:pPr>
        <w:pStyle w:val="BodyText"/>
        <w:rPr>
          <w:sz w:val="26"/>
        </w:rPr>
      </w:pPr>
    </w:p>
    <w:p w14:paraId="1F13823E" w14:textId="398F4EA0" w:rsidR="004446C0" w:rsidRDefault="00CC7443">
      <w:pPr>
        <w:pStyle w:val="BodyText"/>
        <w:spacing w:before="218"/>
        <w:ind w:left="400" w:right="875"/>
        <w:jc w:val="both"/>
      </w:pPr>
      <w:r>
        <w:t xml:space="preserve">Protected income is the prescribed amount that a person needs to cover their basic living expenses. The total protected income is specific to each individual and </w:t>
      </w:r>
      <w:r w:rsidR="00C43701">
        <w:t>is made</w:t>
      </w:r>
      <w:r>
        <w:t xml:space="preserve"> up of an individual's personal allowance, personal allowances for a partner and/or dependent children, and premiums - for example, if the individual is</w:t>
      </w:r>
      <w:r>
        <w:rPr>
          <w:spacing w:val="-20"/>
        </w:rPr>
        <w:t xml:space="preserve"> </w:t>
      </w:r>
      <w:r>
        <w:t>disabled.</w:t>
      </w:r>
    </w:p>
    <w:p w14:paraId="4A784F3A" w14:textId="77777777" w:rsidR="004446C0" w:rsidRDefault="004446C0">
      <w:pPr>
        <w:pStyle w:val="BodyText"/>
        <w:rPr>
          <w:sz w:val="26"/>
        </w:rPr>
      </w:pPr>
    </w:p>
    <w:p w14:paraId="04844196" w14:textId="77777777" w:rsidR="004446C0" w:rsidRDefault="00CC7443">
      <w:pPr>
        <w:pStyle w:val="BodyText"/>
        <w:spacing w:before="217"/>
        <w:ind w:left="400" w:right="879"/>
        <w:jc w:val="both"/>
      </w:pPr>
      <w:r>
        <w:t>The table below describes the personal allowances and premiums along with current rates (these rates are subject to annual review and revision).</w:t>
      </w:r>
    </w:p>
    <w:p w14:paraId="60D4BEFA" w14:textId="77777777" w:rsidR="004446C0" w:rsidRDefault="004446C0">
      <w:pPr>
        <w:jc w:val="both"/>
        <w:sectPr w:rsidR="004446C0">
          <w:pgSz w:w="11900" w:h="16850"/>
          <w:pgMar w:top="1340" w:right="560" w:bottom="820" w:left="1040" w:header="571" w:footer="638" w:gutter="0"/>
          <w:cols w:space="720"/>
        </w:sectPr>
      </w:pPr>
    </w:p>
    <w:p w14:paraId="5CAF7275" w14:textId="77777777" w:rsidR="004446C0" w:rsidRDefault="004446C0">
      <w:pPr>
        <w:pStyle w:val="BodyText"/>
        <w:rPr>
          <w:sz w:val="20"/>
        </w:rPr>
      </w:pPr>
    </w:p>
    <w:p w14:paraId="51C6D316" w14:textId="77777777" w:rsidR="004446C0" w:rsidRDefault="004446C0">
      <w:pPr>
        <w:pStyle w:val="BodyText"/>
        <w:spacing w:before="6"/>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1260"/>
        <w:gridCol w:w="838"/>
        <w:gridCol w:w="3425"/>
        <w:gridCol w:w="1058"/>
      </w:tblGrid>
      <w:tr w:rsidR="004446C0" w14:paraId="42313021" w14:textId="77777777">
        <w:trPr>
          <w:trHeight w:val="395"/>
        </w:trPr>
        <w:tc>
          <w:tcPr>
            <w:tcW w:w="9865" w:type="dxa"/>
            <w:gridSpan w:val="5"/>
            <w:shd w:val="clear" w:color="auto" w:fill="FF99CC"/>
          </w:tcPr>
          <w:p w14:paraId="539CD200" w14:textId="77777777" w:rsidR="004446C0" w:rsidRDefault="00CC7443">
            <w:pPr>
              <w:pStyle w:val="TableParagraph"/>
              <w:tabs>
                <w:tab w:val="left" w:pos="2815"/>
              </w:tabs>
              <w:ind w:left="108"/>
              <w:rPr>
                <w:sz w:val="24"/>
              </w:rPr>
            </w:pPr>
            <w:r>
              <w:rPr>
                <w:sz w:val="24"/>
              </w:rPr>
              <w:t>PROTECTED</w:t>
            </w:r>
            <w:r>
              <w:rPr>
                <w:spacing w:val="-4"/>
                <w:sz w:val="24"/>
              </w:rPr>
              <w:t xml:space="preserve"> </w:t>
            </w:r>
            <w:r>
              <w:rPr>
                <w:sz w:val="24"/>
              </w:rPr>
              <w:t>INCOME</w:t>
            </w:r>
            <w:r>
              <w:rPr>
                <w:sz w:val="24"/>
              </w:rPr>
              <w:tab/>
              <w:t>...</w:t>
            </w:r>
          </w:p>
        </w:tc>
      </w:tr>
      <w:tr w:rsidR="004446C0" w14:paraId="2B6441C1" w14:textId="77777777">
        <w:trPr>
          <w:trHeight w:val="395"/>
        </w:trPr>
        <w:tc>
          <w:tcPr>
            <w:tcW w:w="9865" w:type="dxa"/>
            <w:gridSpan w:val="5"/>
            <w:shd w:val="clear" w:color="auto" w:fill="FF99CC"/>
          </w:tcPr>
          <w:p w14:paraId="74102B91" w14:textId="77777777" w:rsidR="004446C0" w:rsidRDefault="00CC7443">
            <w:pPr>
              <w:pStyle w:val="TableParagraph"/>
              <w:ind w:left="141"/>
              <w:rPr>
                <w:sz w:val="24"/>
              </w:rPr>
            </w:pPr>
            <w:r>
              <w:rPr>
                <w:sz w:val="24"/>
              </w:rPr>
              <w:t>Personal allowance &amp; premium is to be awarded.</w:t>
            </w:r>
          </w:p>
        </w:tc>
      </w:tr>
      <w:tr w:rsidR="004446C0" w14:paraId="693315F3" w14:textId="77777777">
        <w:trPr>
          <w:trHeight w:val="396"/>
        </w:trPr>
        <w:tc>
          <w:tcPr>
            <w:tcW w:w="4544" w:type="dxa"/>
            <w:gridSpan w:val="2"/>
            <w:shd w:val="clear" w:color="auto" w:fill="CCFFCC"/>
          </w:tcPr>
          <w:p w14:paraId="403B4821" w14:textId="77777777" w:rsidR="004446C0" w:rsidRDefault="004446C0">
            <w:pPr>
              <w:pStyle w:val="TableParagraph"/>
              <w:spacing w:line="240" w:lineRule="auto"/>
              <w:rPr>
                <w:rFonts w:ascii="Times New Roman"/>
              </w:rPr>
            </w:pPr>
          </w:p>
        </w:tc>
        <w:tc>
          <w:tcPr>
            <w:tcW w:w="838" w:type="dxa"/>
            <w:shd w:val="clear" w:color="auto" w:fill="FF99CC"/>
          </w:tcPr>
          <w:p w14:paraId="3D4AEA9D" w14:textId="77777777" w:rsidR="004446C0" w:rsidRDefault="00CC7443">
            <w:pPr>
              <w:pStyle w:val="TableParagraph"/>
              <w:ind w:left="88" w:right="86"/>
              <w:jc w:val="center"/>
              <w:rPr>
                <w:sz w:val="24"/>
              </w:rPr>
            </w:pPr>
            <w:r>
              <w:rPr>
                <w:sz w:val="24"/>
              </w:rPr>
              <w:t>Value</w:t>
            </w:r>
          </w:p>
        </w:tc>
        <w:tc>
          <w:tcPr>
            <w:tcW w:w="3425" w:type="dxa"/>
            <w:shd w:val="clear" w:color="auto" w:fill="FF99CC"/>
          </w:tcPr>
          <w:p w14:paraId="7E174D97" w14:textId="77777777" w:rsidR="004446C0" w:rsidRDefault="00CC7443">
            <w:pPr>
              <w:pStyle w:val="TableParagraph"/>
              <w:ind w:left="108"/>
              <w:rPr>
                <w:sz w:val="24"/>
              </w:rPr>
            </w:pPr>
            <w:r>
              <w:rPr>
                <w:sz w:val="24"/>
              </w:rPr>
              <w:t>Number</w:t>
            </w:r>
          </w:p>
        </w:tc>
        <w:tc>
          <w:tcPr>
            <w:tcW w:w="1058" w:type="dxa"/>
            <w:shd w:val="clear" w:color="auto" w:fill="FFFFCC"/>
          </w:tcPr>
          <w:p w14:paraId="5F08A1C6" w14:textId="77777777" w:rsidR="004446C0" w:rsidRDefault="00CC7443">
            <w:pPr>
              <w:pStyle w:val="TableParagraph"/>
              <w:ind w:left="108"/>
              <w:rPr>
                <w:sz w:val="24"/>
              </w:rPr>
            </w:pPr>
            <w:r>
              <w:rPr>
                <w:sz w:val="24"/>
              </w:rPr>
              <w:t>Total</w:t>
            </w:r>
          </w:p>
        </w:tc>
      </w:tr>
      <w:tr w:rsidR="004446C0" w14:paraId="5D0E32FE" w14:textId="77777777">
        <w:trPr>
          <w:trHeight w:val="396"/>
        </w:trPr>
        <w:tc>
          <w:tcPr>
            <w:tcW w:w="4544" w:type="dxa"/>
            <w:gridSpan w:val="2"/>
            <w:tcBorders>
              <w:right w:val="nil"/>
            </w:tcBorders>
            <w:shd w:val="clear" w:color="auto" w:fill="CCFFCC"/>
          </w:tcPr>
          <w:p w14:paraId="67DDF021" w14:textId="77777777" w:rsidR="004446C0" w:rsidRDefault="00CC7443">
            <w:pPr>
              <w:pStyle w:val="TableParagraph"/>
              <w:spacing w:line="273" w:lineRule="exact"/>
              <w:ind w:left="108"/>
              <w:rPr>
                <w:b/>
                <w:i/>
                <w:sz w:val="24"/>
              </w:rPr>
            </w:pPr>
            <w:r>
              <w:rPr>
                <w:b/>
                <w:i/>
                <w:sz w:val="24"/>
              </w:rPr>
              <w:t>Personal Allowances:</w:t>
            </w:r>
          </w:p>
        </w:tc>
        <w:tc>
          <w:tcPr>
            <w:tcW w:w="838" w:type="dxa"/>
            <w:tcBorders>
              <w:left w:val="nil"/>
              <w:right w:val="nil"/>
            </w:tcBorders>
            <w:shd w:val="clear" w:color="auto" w:fill="CCFFCC"/>
          </w:tcPr>
          <w:p w14:paraId="48520E8F" w14:textId="77777777" w:rsidR="004446C0" w:rsidRDefault="004446C0">
            <w:pPr>
              <w:pStyle w:val="TableParagraph"/>
              <w:spacing w:line="240" w:lineRule="auto"/>
              <w:rPr>
                <w:rFonts w:ascii="Times New Roman"/>
              </w:rPr>
            </w:pPr>
          </w:p>
        </w:tc>
        <w:tc>
          <w:tcPr>
            <w:tcW w:w="4483" w:type="dxa"/>
            <w:gridSpan w:val="2"/>
            <w:tcBorders>
              <w:left w:val="nil"/>
            </w:tcBorders>
            <w:shd w:val="clear" w:color="auto" w:fill="CCFFCC"/>
          </w:tcPr>
          <w:p w14:paraId="0F05655C" w14:textId="77777777" w:rsidR="004446C0" w:rsidRDefault="004446C0">
            <w:pPr>
              <w:pStyle w:val="TableParagraph"/>
              <w:spacing w:line="240" w:lineRule="auto"/>
              <w:rPr>
                <w:rFonts w:ascii="Times New Roman"/>
              </w:rPr>
            </w:pPr>
          </w:p>
        </w:tc>
      </w:tr>
      <w:tr w:rsidR="004446C0" w14:paraId="40AF2093" w14:textId="77777777">
        <w:trPr>
          <w:trHeight w:val="395"/>
        </w:trPr>
        <w:tc>
          <w:tcPr>
            <w:tcW w:w="4544" w:type="dxa"/>
            <w:gridSpan w:val="2"/>
            <w:shd w:val="clear" w:color="auto" w:fill="CCFFCC"/>
          </w:tcPr>
          <w:p w14:paraId="04C71970" w14:textId="77777777" w:rsidR="004446C0" w:rsidRDefault="00CC7443">
            <w:pPr>
              <w:pStyle w:val="TableParagraph"/>
              <w:ind w:left="108"/>
              <w:rPr>
                <w:sz w:val="24"/>
              </w:rPr>
            </w:pPr>
            <w:r>
              <w:rPr>
                <w:sz w:val="24"/>
              </w:rPr>
              <w:t>Single person &lt;25 / Lone Parent &lt;18</w:t>
            </w:r>
          </w:p>
        </w:tc>
        <w:tc>
          <w:tcPr>
            <w:tcW w:w="838" w:type="dxa"/>
            <w:shd w:val="clear" w:color="auto" w:fill="CCFFCC"/>
          </w:tcPr>
          <w:p w14:paraId="65278506" w14:textId="77777777" w:rsidR="004446C0" w:rsidRDefault="00CC7443">
            <w:pPr>
              <w:pStyle w:val="TableParagraph"/>
              <w:ind w:left="77" w:right="86"/>
              <w:jc w:val="center"/>
              <w:rPr>
                <w:sz w:val="24"/>
              </w:rPr>
            </w:pPr>
            <w:r>
              <w:rPr>
                <w:sz w:val="24"/>
              </w:rPr>
              <w:t>57.90</w:t>
            </w:r>
          </w:p>
        </w:tc>
        <w:tc>
          <w:tcPr>
            <w:tcW w:w="3425" w:type="dxa"/>
          </w:tcPr>
          <w:p w14:paraId="38271EE2" w14:textId="77777777" w:rsidR="004446C0" w:rsidRDefault="004446C0">
            <w:pPr>
              <w:pStyle w:val="TableParagraph"/>
              <w:spacing w:line="240" w:lineRule="auto"/>
              <w:rPr>
                <w:rFonts w:ascii="Times New Roman"/>
              </w:rPr>
            </w:pPr>
          </w:p>
        </w:tc>
        <w:tc>
          <w:tcPr>
            <w:tcW w:w="1058" w:type="dxa"/>
            <w:shd w:val="clear" w:color="auto" w:fill="FFFFCC"/>
          </w:tcPr>
          <w:p w14:paraId="4FD88690" w14:textId="77777777" w:rsidR="004446C0" w:rsidRDefault="00CC7443">
            <w:pPr>
              <w:pStyle w:val="TableParagraph"/>
              <w:ind w:right="227"/>
              <w:jc w:val="right"/>
              <w:rPr>
                <w:sz w:val="24"/>
              </w:rPr>
            </w:pPr>
            <w:r>
              <w:rPr>
                <w:w w:val="95"/>
                <w:sz w:val="24"/>
              </w:rPr>
              <w:t>0.00</w:t>
            </w:r>
          </w:p>
        </w:tc>
      </w:tr>
      <w:tr w:rsidR="004446C0" w14:paraId="11391498" w14:textId="77777777">
        <w:trPr>
          <w:trHeight w:val="395"/>
        </w:trPr>
        <w:tc>
          <w:tcPr>
            <w:tcW w:w="4544" w:type="dxa"/>
            <w:gridSpan w:val="2"/>
            <w:shd w:val="clear" w:color="auto" w:fill="CCFFCC"/>
          </w:tcPr>
          <w:p w14:paraId="19816E36" w14:textId="77777777" w:rsidR="004446C0" w:rsidRDefault="00CC7443">
            <w:pPr>
              <w:pStyle w:val="TableParagraph"/>
              <w:ind w:left="108"/>
              <w:rPr>
                <w:sz w:val="24"/>
              </w:rPr>
            </w:pPr>
            <w:r>
              <w:rPr>
                <w:sz w:val="24"/>
              </w:rPr>
              <w:t>Single person 25+ / Lone Parent 18+</w:t>
            </w:r>
          </w:p>
        </w:tc>
        <w:tc>
          <w:tcPr>
            <w:tcW w:w="838" w:type="dxa"/>
            <w:shd w:val="clear" w:color="auto" w:fill="CCFFCC"/>
          </w:tcPr>
          <w:p w14:paraId="156DDA0C" w14:textId="77777777" w:rsidR="004446C0" w:rsidRDefault="00CC7443">
            <w:pPr>
              <w:pStyle w:val="TableParagraph"/>
              <w:ind w:left="77" w:right="86"/>
              <w:jc w:val="center"/>
              <w:rPr>
                <w:sz w:val="24"/>
              </w:rPr>
            </w:pPr>
            <w:r>
              <w:rPr>
                <w:sz w:val="24"/>
              </w:rPr>
              <w:t>73.10</w:t>
            </w:r>
          </w:p>
        </w:tc>
        <w:tc>
          <w:tcPr>
            <w:tcW w:w="3425" w:type="dxa"/>
          </w:tcPr>
          <w:p w14:paraId="3252BC54" w14:textId="77777777" w:rsidR="004446C0" w:rsidRDefault="004446C0">
            <w:pPr>
              <w:pStyle w:val="TableParagraph"/>
              <w:spacing w:line="240" w:lineRule="auto"/>
              <w:rPr>
                <w:rFonts w:ascii="Times New Roman"/>
              </w:rPr>
            </w:pPr>
          </w:p>
        </w:tc>
        <w:tc>
          <w:tcPr>
            <w:tcW w:w="1058" w:type="dxa"/>
            <w:shd w:val="clear" w:color="auto" w:fill="FFFFCC"/>
          </w:tcPr>
          <w:p w14:paraId="2B0F9E4F" w14:textId="77777777" w:rsidR="004446C0" w:rsidRDefault="00CC7443">
            <w:pPr>
              <w:pStyle w:val="TableParagraph"/>
              <w:ind w:right="228"/>
              <w:jc w:val="right"/>
              <w:rPr>
                <w:sz w:val="24"/>
              </w:rPr>
            </w:pPr>
            <w:r>
              <w:rPr>
                <w:sz w:val="24"/>
              </w:rPr>
              <w:t>0.00</w:t>
            </w:r>
          </w:p>
        </w:tc>
      </w:tr>
      <w:tr w:rsidR="004446C0" w14:paraId="3D2C5F45" w14:textId="77777777">
        <w:trPr>
          <w:trHeight w:val="396"/>
        </w:trPr>
        <w:tc>
          <w:tcPr>
            <w:tcW w:w="4544" w:type="dxa"/>
            <w:gridSpan w:val="2"/>
            <w:shd w:val="clear" w:color="auto" w:fill="CCFFCC"/>
          </w:tcPr>
          <w:p w14:paraId="55D7C12B" w14:textId="77777777" w:rsidR="004446C0" w:rsidRDefault="00CC7443">
            <w:pPr>
              <w:pStyle w:val="TableParagraph"/>
              <w:ind w:left="108"/>
              <w:rPr>
                <w:sz w:val="24"/>
              </w:rPr>
            </w:pPr>
            <w:r>
              <w:rPr>
                <w:sz w:val="24"/>
              </w:rPr>
              <w:t>Dependent Child</w:t>
            </w:r>
          </w:p>
        </w:tc>
        <w:tc>
          <w:tcPr>
            <w:tcW w:w="838" w:type="dxa"/>
            <w:shd w:val="clear" w:color="auto" w:fill="CCFFCC"/>
          </w:tcPr>
          <w:p w14:paraId="511A6011" w14:textId="77777777" w:rsidR="004446C0" w:rsidRDefault="00CC7443">
            <w:pPr>
              <w:pStyle w:val="TableParagraph"/>
              <w:ind w:left="77" w:right="86"/>
              <w:jc w:val="center"/>
              <w:rPr>
                <w:sz w:val="24"/>
              </w:rPr>
            </w:pPr>
            <w:r>
              <w:rPr>
                <w:sz w:val="24"/>
              </w:rPr>
              <w:t>66.90</w:t>
            </w:r>
          </w:p>
        </w:tc>
        <w:tc>
          <w:tcPr>
            <w:tcW w:w="3425" w:type="dxa"/>
          </w:tcPr>
          <w:p w14:paraId="7BE45705" w14:textId="77777777" w:rsidR="004446C0" w:rsidRDefault="004446C0">
            <w:pPr>
              <w:pStyle w:val="TableParagraph"/>
              <w:spacing w:line="240" w:lineRule="auto"/>
              <w:rPr>
                <w:rFonts w:ascii="Times New Roman"/>
              </w:rPr>
            </w:pPr>
          </w:p>
        </w:tc>
        <w:tc>
          <w:tcPr>
            <w:tcW w:w="1058" w:type="dxa"/>
            <w:shd w:val="clear" w:color="auto" w:fill="FFFFCC"/>
          </w:tcPr>
          <w:p w14:paraId="01EB5BC6" w14:textId="77777777" w:rsidR="004446C0" w:rsidRDefault="00CC7443">
            <w:pPr>
              <w:pStyle w:val="TableParagraph"/>
              <w:ind w:right="228"/>
              <w:jc w:val="right"/>
              <w:rPr>
                <w:sz w:val="24"/>
              </w:rPr>
            </w:pPr>
            <w:r>
              <w:rPr>
                <w:sz w:val="24"/>
              </w:rPr>
              <w:t>0.00</w:t>
            </w:r>
          </w:p>
        </w:tc>
      </w:tr>
      <w:tr w:rsidR="004446C0" w14:paraId="368D5580" w14:textId="77777777">
        <w:trPr>
          <w:trHeight w:val="395"/>
        </w:trPr>
        <w:tc>
          <w:tcPr>
            <w:tcW w:w="4544" w:type="dxa"/>
            <w:gridSpan w:val="2"/>
            <w:tcBorders>
              <w:right w:val="nil"/>
            </w:tcBorders>
            <w:shd w:val="clear" w:color="auto" w:fill="CCFFCC"/>
          </w:tcPr>
          <w:p w14:paraId="6A4FB794" w14:textId="77777777" w:rsidR="004446C0" w:rsidRDefault="00CC7443">
            <w:pPr>
              <w:pStyle w:val="TableParagraph"/>
              <w:ind w:left="108"/>
              <w:rPr>
                <w:b/>
                <w:i/>
                <w:sz w:val="24"/>
              </w:rPr>
            </w:pPr>
            <w:r>
              <w:rPr>
                <w:b/>
                <w:i/>
                <w:sz w:val="24"/>
              </w:rPr>
              <w:t>Premiums:</w:t>
            </w:r>
          </w:p>
        </w:tc>
        <w:tc>
          <w:tcPr>
            <w:tcW w:w="838" w:type="dxa"/>
            <w:tcBorders>
              <w:left w:val="nil"/>
              <w:right w:val="nil"/>
            </w:tcBorders>
            <w:shd w:val="clear" w:color="auto" w:fill="CCFFCC"/>
          </w:tcPr>
          <w:p w14:paraId="0F428D9F" w14:textId="77777777" w:rsidR="004446C0" w:rsidRDefault="004446C0">
            <w:pPr>
              <w:pStyle w:val="TableParagraph"/>
              <w:spacing w:line="240" w:lineRule="auto"/>
              <w:rPr>
                <w:rFonts w:ascii="Times New Roman"/>
              </w:rPr>
            </w:pPr>
          </w:p>
        </w:tc>
        <w:tc>
          <w:tcPr>
            <w:tcW w:w="4483" w:type="dxa"/>
            <w:gridSpan w:val="2"/>
            <w:tcBorders>
              <w:left w:val="nil"/>
            </w:tcBorders>
            <w:shd w:val="clear" w:color="auto" w:fill="CCFFCC"/>
          </w:tcPr>
          <w:p w14:paraId="073FD2F9" w14:textId="77777777" w:rsidR="004446C0" w:rsidRDefault="004446C0">
            <w:pPr>
              <w:pStyle w:val="TableParagraph"/>
              <w:spacing w:line="240" w:lineRule="auto"/>
              <w:rPr>
                <w:rFonts w:ascii="Times New Roman"/>
              </w:rPr>
            </w:pPr>
          </w:p>
        </w:tc>
      </w:tr>
      <w:tr w:rsidR="004446C0" w14:paraId="5B3304D1" w14:textId="77777777">
        <w:trPr>
          <w:trHeight w:val="396"/>
        </w:trPr>
        <w:tc>
          <w:tcPr>
            <w:tcW w:w="4544" w:type="dxa"/>
            <w:gridSpan w:val="2"/>
            <w:shd w:val="clear" w:color="auto" w:fill="CCFFCC"/>
          </w:tcPr>
          <w:p w14:paraId="6715EE6F" w14:textId="77777777" w:rsidR="004446C0" w:rsidRDefault="00CC7443">
            <w:pPr>
              <w:pStyle w:val="TableParagraph"/>
              <w:ind w:left="108"/>
              <w:rPr>
                <w:sz w:val="24"/>
              </w:rPr>
            </w:pPr>
            <w:r>
              <w:rPr>
                <w:sz w:val="24"/>
              </w:rPr>
              <w:t>Pensioner Premium - single</w:t>
            </w:r>
          </w:p>
        </w:tc>
        <w:tc>
          <w:tcPr>
            <w:tcW w:w="838" w:type="dxa"/>
            <w:shd w:val="clear" w:color="auto" w:fill="CCFFCC"/>
          </w:tcPr>
          <w:p w14:paraId="4F68F77C" w14:textId="77777777" w:rsidR="004446C0" w:rsidRDefault="00CC7443">
            <w:pPr>
              <w:pStyle w:val="TableParagraph"/>
              <w:ind w:left="77" w:right="86"/>
              <w:jc w:val="center"/>
              <w:rPr>
                <w:sz w:val="24"/>
              </w:rPr>
            </w:pPr>
            <w:r>
              <w:rPr>
                <w:sz w:val="24"/>
              </w:rPr>
              <w:t>86.90</w:t>
            </w:r>
          </w:p>
        </w:tc>
        <w:tc>
          <w:tcPr>
            <w:tcW w:w="3425" w:type="dxa"/>
          </w:tcPr>
          <w:p w14:paraId="08EB1DC0" w14:textId="77777777" w:rsidR="004446C0" w:rsidRDefault="004446C0">
            <w:pPr>
              <w:pStyle w:val="TableParagraph"/>
              <w:spacing w:line="240" w:lineRule="auto"/>
              <w:rPr>
                <w:rFonts w:ascii="Times New Roman"/>
              </w:rPr>
            </w:pPr>
          </w:p>
        </w:tc>
        <w:tc>
          <w:tcPr>
            <w:tcW w:w="1058" w:type="dxa"/>
            <w:shd w:val="clear" w:color="auto" w:fill="FFFFCC"/>
          </w:tcPr>
          <w:p w14:paraId="3EE11016" w14:textId="77777777" w:rsidR="004446C0" w:rsidRDefault="004446C0">
            <w:pPr>
              <w:pStyle w:val="TableParagraph"/>
              <w:spacing w:line="240" w:lineRule="auto"/>
              <w:rPr>
                <w:rFonts w:ascii="Times New Roman"/>
              </w:rPr>
            </w:pPr>
          </w:p>
        </w:tc>
      </w:tr>
      <w:tr w:rsidR="004446C0" w14:paraId="73BC3C7B" w14:textId="77777777">
        <w:trPr>
          <w:trHeight w:val="396"/>
        </w:trPr>
        <w:tc>
          <w:tcPr>
            <w:tcW w:w="4544" w:type="dxa"/>
            <w:gridSpan w:val="2"/>
            <w:shd w:val="clear" w:color="auto" w:fill="CCFFCC"/>
          </w:tcPr>
          <w:p w14:paraId="4F4CA42F" w14:textId="77777777" w:rsidR="004446C0" w:rsidRDefault="00CC7443">
            <w:pPr>
              <w:pStyle w:val="TableParagraph"/>
              <w:spacing w:line="273" w:lineRule="exact"/>
              <w:ind w:left="108"/>
              <w:rPr>
                <w:sz w:val="24"/>
              </w:rPr>
            </w:pPr>
            <w:r>
              <w:rPr>
                <w:sz w:val="24"/>
              </w:rPr>
              <w:t>Family Premium</w:t>
            </w:r>
          </w:p>
        </w:tc>
        <w:tc>
          <w:tcPr>
            <w:tcW w:w="838" w:type="dxa"/>
            <w:shd w:val="clear" w:color="auto" w:fill="CCFFCC"/>
          </w:tcPr>
          <w:p w14:paraId="4A438C3F" w14:textId="77777777" w:rsidR="004446C0" w:rsidRDefault="00CC7443">
            <w:pPr>
              <w:pStyle w:val="TableParagraph"/>
              <w:spacing w:line="273" w:lineRule="exact"/>
              <w:ind w:left="77" w:right="86"/>
              <w:jc w:val="center"/>
              <w:rPr>
                <w:sz w:val="24"/>
              </w:rPr>
            </w:pPr>
            <w:r>
              <w:rPr>
                <w:sz w:val="24"/>
              </w:rPr>
              <w:t>17.45</w:t>
            </w:r>
          </w:p>
        </w:tc>
        <w:tc>
          <w:tcPr>
            <w:tcW w:w="3425" w:type="dxa"/>
          </w:tcPr>
          <w:p w14:paraId="1C681951" w14:textId="77777777" w:rsidR="004446C0" w:rsidRDefault="004446C0">
            <w:pPr>
              <w:pStyle w:val="TableParagraph"/>
              <w:spacing w:line="240" w:lineRule="auto"/>
              <w:rPr>
                <w:rFonts w:ascii="Times New Roman"/>
              </w:rPr>
            </w:pPr>
          </w:p>
        </w:tc>
        <w:tc>
          <w:tcPr>
            <w:tcW w:w="1058" w:type="dxa"/>
            <w:shd w:val="clear" w:color="auto" w:fill="FFFFCC"/>
          </w:tcPr>
          <w:p w14:paraId="609FF664" w14:textId="77777777" w:rsidR="004446C0" w:rsidRDefault="00CC7443">
            <w:pPr>
              <w:pStyle w:val="TableParagraph"/>
              <w:spacing w:line="273" w:lineRule="exact"/>
              <w:ind w:right="228"/>
              <w:jc w:val="right"/>
              <w:rPr>
                <w:sz w:val="24"/>
              </w:rPr>
            </w:pPr>
            <w:r>
              <w:rPr>
                <w:sz w:val="24"/>
              </w:rPr>
              <w:t>0.00</w:t>
            </w:r>
          </w:p>
        </w:tc>
      </w:tr>
      <w:tr w:rsidR="004446C0" w14:paraId="00C527A3" w14:textId="77777777">
        <w:trPr>
          <w:trHeight w:val="395"/>
        </w:trPr>
        <w:tc>
          <w:tcPr>
            <w:tcW w:w="4544" w:type="dxa"/>
            <w:gridSpan w:val="2"/>
            <w:shd w:val="clear" w:color="auto" w:fill="CCFFCC"/>
          </w:tcPr>
          <w:p w14:paraId="176938F1" w14:textId="77777777" w:rsidR="004446C0" w:rsidRDefault="00CC7443">
            <w:pPr>
              <w:pStyle w:val="TableParagraph"/>
              <w:ind w:left="108"/>
              <w:rPr>
                <w:sz w:val="24"/>
              </w:rPr>
            </w:pPr>
            <w:r>
              <w:rPr>
                <w:sz w:val="24"/>
              </w:rPr>
              <w:t>Disability Premium - single</w:t>
            </w:r>
          </w:p>
        </w:tc>
        <w:tc>
          <w:tcPr>
            <w:tcW w:w="838" w:type="dxa"/>
            <w:shd w:val="clear" w:color="auto" w:fill="CCFFCC"/>
          </w:tcPr>
          <w:p w14:paraId="3ABA2B93" w14:textId="77777777" w:rsidR="004446C0" w:rsidRDefault="00CC7443">
            <w:pPr>
              <w:pStyle w:val="TableParagraph"/>
              <w:ind w:left="77" w:right="86"/>
              <w:jc w:val="center"/>
              <w:rPr>
                <w:sz w:val="24"/>
              </w:rPr>
            </w:pPr>
            <w:r>
              <w:rPr>
                <w:sz w:val="24"/>
              </w:rPr>
              <w:t>33.55</w:t>
            </w:r>
          </w:p>
        </w:tc>
        <w:tc>
          <w:tcPr>
            <w:tcW w:w="3425" w:type="dxa"/>
          </w:tcPr>
          <w:p w14:paraId="13267ED2" w14:textId="77777777" w:rsidR="004446C0" w:rsidRDefault="004446C0">
            <w:pPr>
              <w:pStyle w:val="TableParagraph"/>
              <w:spacing w:line="240" w:lineRule="auto"/>
              <w:rPr>
                <w:rFonts w:ascii="Times New Roman"/>
              </w:rPr>
            </w:pPr>
          </w:p>
        </w:tc>
        <w:tc>
          <w:tcPr>
            <w:tcW w:w="1058" w:type="dxa"/>
            <w:shd w:val="clear" w:color="auto" w:fill="FFFFCC"/>
          </w:tcPr>
          <w:p w14:paraId="46DBFEA7" w14:textId="77777777" w:rsidR="004446C0" w:rsidRDefault="00CC7443">
            <w:pPr>
              <w:pStyle w:val="TableParagraph"/>
              <w:ind w:right="228"/>
              <w:jc w:val="right"/>
              <w:rPr>
                <w:sz w:val="24"/>
              </w:rPr>
            </w:pPr>
            <w:r>
              <w:rPr>
                <w:sz w:val="24"/>
              </w:rPr>
              <w:t>0.00</w:t>
            </w:r>
          </w:p>
        </w:tc>
      </w:tr>
      <w:tr w:rsidR="004446C0" w14:paraId="67BBED1A" w14:textId="77777777">
        <w:trPr>
          <w:trHeight w:val="395"/>
        </w:trPr>
        <w:tc>
          <w:tcPr>
            <w:tcW w:w="4544" w:type="dxa"/>
            <w:gridSpan w:val="2"/>
            <w:shd w:val="clear" w:color="auto" w:fill="CCFFCC"/>
          </w:tcPr>
          <w:p w14:paraId="268E38F6" w14:textId="77777777" w:rsidR="004446C0" w:rsidRDefault="00CC7443">
            <w:pPr>
              <w:pStyle w:val="TableParagraph"/>
              <w:ind w:left="108"/>
              <w:rPr>
                <w:sz w:val="24"/>
              </w:rPr>
            </w:pPr>
            <w:r>
              <w:rPr>
                <w:sz w:val="24"/>
              </w:rPr>
              <w:t>Enhanced Disability - single/lone parent</w:t>
            </w:r>
          </w:p>
        </w:tc>
        <w:tc>
          <w:tcPr>
            <w:tcW w:w="838" w:type="dxa"/>
            <w:shd w:val="clear" w:color="auto" w:fill="CCFFCC"/>
          </w:tcPr>
          <w:p w14:paraId="392BF74E" w14:textId="77777777" w:rsidR="004446C0" w:rsidRDefault="00CC7443">
            <w:pPr>
              <w:pStyle w:val="TableParagraph"/>
              <w:ind w:left="77" w:right="86"/>
              <w:jc w:val="center"/>
              <w:rPr>
                <w:sz w:val="24"/>
              </w:rPr>
            </w:pPr>
            <w:r>
              <w:rPr>
                <w:color w:val="5B9BD4"/>
                <w:sz w:val="24"/>
              </w:rPr>
              <w:t>16.40</w:t>
            </w:r>
          </w:p>
        </w:tc>
        <w:tc>
          <w:tcPr>
            <w:tcW w:w="3425" w:type="dxa"/>
          </w:tcPr>
          <w:p w14:paraId="66BB4AAE" w14:textId="77777777" w:rsidR="004446C0" w:rsidRDefault="004446C0">
            <w:pPr>
              <w:pStyle w:val="TableParagraph"/>
              <w:spacing w:line="240" w:lineRule="auto"/>
              <w:rPr>
                <w:rFonts w:ascii="Times New Roman"/>
              </w:rPr>
            </w:pPr>
          </w:p>
        </w:tc>
        <w:tc>
          <w:tcPr>
            <w:tcW w:w="1058" w:type="dxa"/>
            <w:shd w:val="clear" w:color="auto" w:fill="FFFFCC"/>
          </w:tcPr>
          <w:p w14:paraId="3A2CE78D" w14:textId="77777777" w:rsidR="004446C0" w:rsidRDefault="00CC7443">
            <w:pPr>
              <w:pStyle w:val="TableParagraph"/>
              <w:ind w:right="228"/>
              <w:jc w:val="right"/>
              <w:rPr>
                <w:sz w:val="24"/>
              </w:rPr>
            </w:pPr>
            <w:r>
              <w:rPr>
                <w:sz w:val="24"/>
              </w:rPr>
              <w:t>0.00</w:t>
            </w:r>
          </w:p>
        </w:tc>
      </w:tr>
      <w:tr w:rsidR="004446C0" w14:paraId="67B602C3" w14:textId="77777777">
        <w:trPr>
          <w:trHeight w:val="395"/>
        </w:trPr>
        <w:tc>
          <w:tcPr>
            <w:tcW w:w="4544" w:type="dxa"/>
            <w:gridSpan w:val="2"/>
            <w:shd w:val="clear" w:color="auto" w:fill="CCFFCC"/>
          </w:tcPr>
          <w:p w14:paraId="2F83F954" w14:textId="77777777" w:rsidR="004446C0" w:rsidRDefault="00CC7443">
            <w:pPr>
              <w:pStyle w:val="TableParagraph"/>
              <w:ind w:left="108"/>
              <w:rPr>
                <w:sz w:val="24"/>
              </w:rPr>
            </w:pPr>
            <w:r>
              <w:rPr>
                <w:sz w:val="24"/>
              </w:rPr>
              <w:t>Work Related Group</w:t>
            </w:r>
          </w:p>
        </w:tc>
        <w:tc>
          <w:tcPr>
            <w:tcW w:w="838" w:type="dxa"/>
            <w:shd w:val="clear" w:color="auto" w:fill="CCFFCC"/>
          </w:tcPr>
          <w:p w14:paraId="7500E128" w14:textId="77777777" w:rsidR="004446C0" w:rsidRDefault="00CC7443">
            <w:pPr>
              <w:pStyle w:val="TableParagraph"/>
              <w:ind w:left="77" w:right="86"/>
              <w:jc w:val="center"/>
              <w:rPr>
                <w:sz w:val="24"/>
              </w:rPr>
            </w:pPr>
            <w:r>
              <w:rPr>
                <w:color w:val="5B9BD4"/>
                <w:sz w:val="24"/>
              </w:rPr>
              <w:t>29.05</w:t>
            </w:r>
          </w:p>
        </w:tc>
        <w:tc>
          <w:tcPr>
            <w:tcW w:w="3425" w:type="dxa"/>
          </w:tcPr>
          <w:p w14:paraId="3DCAACF9" w14:textId="77777777" w:rsidR="004446C0" w:rsidRDefault="004446C0">
            <w:pPr>
              <w:pStyle w:val="TableParagraph"/>
              <w:spacing w:line="240" w:lineRule="auto"/>
              <w:rPr>
                <w:rFonts w:ascii="Times New Roman"/>
              </w:rPr>
            </w:pPr>
          </w:p>
        </w:tc>
        <w:tc>
          <w:tcPr>
            <w:tcW w:w="1058" w:type="dxa"/>
            <w:shd w:val="clear" w:color="auto" w:fill="FFFFCC"/>
          </w:tcPr>
          <w:p w14:paraId="235AA699" w14:textId="77777777" w:rsidR="004446C0" w:rsidRDefault="00CC7443">
            <w:pPr>
              <w:pStyle w:val="TableParagraph"/>
              <w:ind w:right="228"/>
              <w:jc w:val="right"/>
              <w:rPr>
                <w:sz w:val="24"/>
              </w:rPr>
            </w:pPr>
            <w:r>
              <w:rPr>
                <w:sz w:val="24"/>
              </w:rPr>
              <w:t>0.00</w:t>
            </w:r>
          </w:p>
        </w:tc>
      </w:tr>
      <w:tr w:rsidR="004446C0" w14:paraId="289A0649" w14:textId="77777777">
        <w:trPr>
          <w:trHeight w:val="395"/>
        </w:trPr>
        <w:tc>
          <w:tcPr>
            <w:tcW w:w="4544" w:type="dxa"/>
            <w:gridSpan w:val="2"/>
            <w:shd w:val="clear" w:color="auto" w:fill="CCFFCC"/>
          </w:tcPr>
          <w:p w14:paraId="4C94E21C" w14:textId="77777777" w:rsidR="004446C0" w:rsidRDefault="00CC7443">
            <w:pPr>
              <w:pStyle w:val="TableParagraph"/>
              <w:ind w:left="108"/>
              <w:rPr>
                <w:sz w:val="24"/>
              </w:rPr>
            </w:pPr>
            <w:r>
              <w:rPr>
                <w:sz w:val="24"/>
              </w:rPr>
              <w:t>Support Group</w:t>
            </w:r>
          </w:p>
        </w:tc>
        <w:tc>
          <w:tcPr>
            <w:tcW w:w="838" w:type="dxa"/>
            <w:shd w:val="clear" w:color="auto" w:fill="CCFFCC"/>
          </w:tcPr>
          <w:p w14:paraId="06B31BE6" w14:textId="77777777" w:rsidR="004446C0" w:rsidRDefault="00CC7443">
            <w:pPr>
              <w:pStyle w:val="TableParagraph"/>
              <w:ind w:left="77" w:right="86"/>
              <w:jc w:val="center"/>
              <w:rPr>
                <w:sz w:val="24"/>
              </w:rPr>
            </w:pPr>
            <w:r>
              <w:rPr>
                <w:color w:val="5B9BD4"/>
                <w:sz w:val="24"/>
              </w:rPr>
              <w:t>37.65</w:t>
            </w:r>
          </w:p>
        </w:tc>
        <w:tc>
          <w:tcPr>
            <w:tcW w:w="3425" w:type="dxa"/>
          </w:tcPr>
          <w:p w14:paraId="20420439" w14:textId="77777777" w:rsidR="004446C0" w:rsidRDefault="004446C0">
            <w:pPr>
              <w:pStyle w:val="TableParagraph"/>
              <w:spacing w:line="240" w:lineRule="auto"/>
              <w:rPr>
                <w:rFonts w:ascii="Times New Roman"/>
              </w:rPr>
            </w:pPr>
          </w:p>
        </w:tc>
        <w:tc>
          <w:tcPr>
            <w:tcW w:w="1058" w:type="dxa"/>
            <w:shd w:val="clear" w:color="auto" w:fill="FFFFCC"/>
          </w:tcPr>
          <w:p w14:paraId="1FA8C4FE" w14:textId="77777777" w:rsidR="004446C0" w:rsidRDefault="00CC7443">
            <w:pPr>
              <w:pStyle w:val="TableParagraph"/>
              <w:ind w:right="228"/>
              <w:jc w:val="right"/>
              <w:rPr>
                <w:sz w:val="24"/>
              </w:rPr>
            </w:pPr>
            <w:r>
              <w:rPr>
                <w:sz w:val="24"/>
              </w:rPr>
              <w:t>0.00</w:t>
            </w:r>
          </w:p>
        </w:tc>
      </w:tr>
      <w:tr w:rsidR="004446C0" w14:paraId="07D6059C" w14:textId="77777777">
        <w:trPr>
          <w:trHeight w:val="396"/>
        </w:trPr>
        <w:tc>
          <w:tcPr>
            <w:tcW w:w="4544" w:type="dxa"/>
            <w:gridSpan w:val="2"/>
            <w:shd w:val="clear" w:color="auto" w:fill="CCFFCC"/>
          </w:tcPr>
          <w:p w14:paraId="37EFF955" w14:textId="77777777" w:rsidR="004446C0" w:rsidRDefault="00CC7443">
            <w:pPr>
              <w:pStyle w:val="TableParagraph"/>
              <w:spacing w:line="272" w:lineRule="exact"/>
              <w:ind w:left="108"/>
              <w:rPr>
                <w:b/>
                <w:i/>
                <w:sz w:val="24"/>
              </w:rPr>
            </w:pPr>
            <w:r>
              <w:rPr>
                <w:b/>
                <w:i/>
                <w:sz w:val="24"/>
              </w:rPr>
              <w:t>Other</w:t>
            </w:r>
          </w:p>
        </w:tc>
        <w:tc>
          <w:tcPr>
            <w:tcW w:w="838" w:type="dxa"/>
            <w:shd w:val="clear" w:color="auto" w:fill="CCFFCC"/>
          </w:tcPr>
          <w:p w14:paraId="0C3D116A" w14:textId="77777777" w:rsidR="004446C0" w:rsidRDefault="004446C0">
            <w:pPr>
              <w:pStyle w:val="TableParagraph"/>
              <w:spacing w:line="240" w:lineRule="auto"/>
              <w:rPr>
                <w:rFonts w:ascii="Times New Roman"/>
              </w:rPr>
            </w:pPr>
          </w:p>
        </w:tc>
        <w:tc>
          <w:tcPr>
            <w:tcW w:w="3425" w:type="dxa"/>
          </w:tcPr>
          <w:p w14:paraId="1DD1D9B0" w14:textId="77777777" w:rsidR="004446C0" w:rsidRDefault="004446C0">
            <w:pPr>
              <w:pStyle w:val="TableParagraph"/>
              <w:spacing w:line="240" w:lineRule="auto"/>
              <w:rPr>
                <w:rFonts w:ascii="Times New Roman"/>
              </w:rPr>
            </w:pPr>
          </w:p>
        </w:tc>
        <w:tc>
          <w:tcPr>
            <w:tcW w:w="1058" w:type="dxa"/>
            <w:shd w:val="clear" w:color="auto" w:fill="FFFFCC"/>
          </w:tcPr>
          <w:p w14:paraId="16990809" w14:textId="77777777" w:rsidR="004446C0" w:rsidRDefault="00CC7443">
            <w:pPr>
              <w:pStyle w:val="TableParagraph"/>
              <w:spacing w:line="272" w:lineRule="exact"/>
              <w:ind w:right="228"/>
              <w:jc w:val="right"/>
              <w:rPr>
                <w:sz w:val="24"/>
              </w:rPr>
            </w:pPr>
            <w:r>
              <w:rPr>
                <w:sz w:val="24"/>
              </w:rPr>
              <w:t>0.00</w:t>
            </w:r>
          </w:p>
        </w:tc>
      </w:tr>
      <w:tr w:rsidR="004446C0" w14:paraId="4F0B01A6" w14:textId="77777777">
        <w:trPr>
          <w:trHeight w:val="397"/>
        </w:trPr>
        <w:tc>
          <w:tcPr>
            <w:tcW w:w="3284" w:type="dxa"/>
          </w:tcPr>
          <w:p w14:paraId="38A1D7F6" w14:textId="77777777" w:rsidR="004446C0" w:rsidRDefault="004446C0">
            <w:pPr>
              <w:pStyle w:val="TableParagraph"/>
              <w:spacing w:line="240" w:lineRule="auto"/>
              <w:rPr>
                <w:rFonts w:ascii="Times New Roman"/>
              </w:rPr>
            </w:pPr>
          </w:p>
        </w:tc>
        <w:tc>
          <w:tcPr>
            <w:tcW w:w="1260" w:type="dxa"/>
          </w:tcPr>
          <w:p w14:paraId="33E6CB3D" w14:textId="77777777" w:rsidR="004446C0" w:rsidRDefault="004446C0">
            <w:pPr>
              <w:pStyle w:val="TableParagraph"/>
              <w:spacing w:line="240" w:lineRule="auto"/>
              <w:rPr>
                <w:rFonts w:ascii="Times New Roman"/>
              </w:rPr>
            </w:pPr>
          </w:p>
        </w:tc>
        <w:tc>
          <w:tcPr>
            <w:tcW w:w="838" w:type="dxa"/>
          </w:tcPr>
          <w:p w14:paraId="380FB8F4" w14:textId="77777777" w:rsidR="004446C0" w:rsidRDefault="004446C0">
            <w:pPr>
              <w:pStyle w:val="TableParagraph"/>
              <w:spacing w:line="240" w:lineRule="auto"/>
              <w:rPr>
                <w:rFonts w:ascii="Times New Roman"/>
              </w:rPr>
            </w:pPr>
          </w:p>
        </w:tc>
        <w:tc>
          <w:tcPr>
            <w:tcW w:w="3425" w:type="dxa"/>
          </w:tcPr>
          <w:p w14:paraId="4E3741A8" w14:textId="77777777" w:rsidR="004446C0" w:rsidRDefault="00CC7443">
            <w:pPr>
              <w:pStyle w:val="TableParagraph"/>
              <w:spacing w:line="274" w:lineRule="exact"/>
              <w:ind w:left="108"/>
              <w:rPr>
                <w:sz w:val="24"/>
              </w:rPr>
            </w:pPr>
            <w:r>
              <w:rPr>
                <w:sz w:val="24"/>
              </w:rPr>
              <w:t xml:space="preserve">Minimum level of </w:t>
            </w:r>
            <w:proofErr w:type="spellStart"/>
            <w:r>
              <w:rPr>
                <w:sz w:val="24"/>
              </w:rPr>
              <w:t>inc</w:t>
            </w:r>
            <w:proofErr w:type="spellEnd"/>
            <w:r>
              <w:rPr>
                <w:sz w:val="24"/>
              </w:rPr>
              <w:t xml:space="preserve"> support</w:t>
            </w:r>
          </w:p>
        </w:tc>
        <w:tc>
          <w:tcPr>
            <w:tcW w:w="1058" w:type="dxa"/>
            <w:shd w:val="clear" w:color="auto" w:fill="FFFFCC"/>
          </w:tcPr>
          <w:p w14:paraId="38DE9BC7" w14:textId="77777777" w:rsidR="004446C0" w:rsidRDefault="004446C0">
            <w:pPr>
              <w:pStyle w:val="TableParagraph"/>
              <w:spacing w:line="240" w:lineRule="auto"/>
              <w:rPr>
                <w:rFonts w:ascii="Times New Roman"/>
              </w:rPr>
            </w:pPr>
          </w:p>
        </w:tc>
      </w:tr>
      <w:tr w:rsidR="004446C0" w14:paraId="381AF44D" w14:textId="77777777">
        <w:trPr>
          <w:trHeight w:val="671"/>
        </w:trPr>
        <w:tc>
          <w:tcPr>
            <w:tcW w:w="3284" w:type="dxa"/>
          </w:tcPr>
          <w:p w14:paraId="744B2DC5" w14:textId="77777777" w:rsidR="004446C0" w:rsidRDefault="004446C0">
            <w:pPr>
              <w:pStyle w:val="TableParagraph"/>
              <w:spacing w:line="240" w:lineRule="auto"/>
              <w:rPr>
                <w:rFonts w:ascii="Times New Roman"/>
              </w:rPr>
            </w:pPr>
          </w:p>
        </w:tc>
        <w:tc>
          <w:tcPr>
            <w:tcW w:w="1260" w:type="dxa"/>
          </w:tcPr>
          <w:p w14:paraId="0327D110" w14:textId="77777777" w:rsidR="004446C0" w:rsidRDefault="004446C0">
            <w:pPr>
              <w:pStyle w:val="TableParagraph"/>
              <w:spacing w:line="240" w:lineRule="auto"/>
              <w:rPr>
                <w:rFonts w:ascii="Times New Roman"/>
              </w:rPr>
            </w:pPr>
          </w:p>
        </w:tc>
        <w:tc>
          <w:tcPr>
            <w:tcW w:w="838" w:type="dxa"/>
          </w:tcPr>
          <w:p w14:paraId="298BF4E8" w14:textId="77777777" w:rsidR="004446C0" w:rsidRDefault="004446C0">
            <w:pPr>
              <w:pStyle w:val="TableParagraph"/>
              <w:spacing w:line="240" w:lineRule="auto"/>
              <w:rPr>
                <w:rFonts w:ascii="Times New Roman"/>
              </w:rPr>
            </w:pPr>
          </w:p>
        </w:tc>
        <w:tc>
          <w:tcPr>
            <w:tcW w:w="3425" w:type="dxa"/>
          </w:tcPr>
          <w:p w14:paraId="793F348F" w14:textId="77777777" w:rsidR="004446C0" w:rsidRDefault="00CC7443">
            <w:pPr>
              <w:pStyle w:val="TableParagraph"/>
              <w:spacing w:line="240" w:lineRule="auto"/>
              <w:ind w:left="108" w:right="125"/>
              <w:rPr>
                <w:sz w:val="24"/>
              </w:rPr>
            </w:pPr>
            <w:r>
              <w:rPr>
                <w:sz w:val="24"/>
              </w:rPr>
              <w:t>Plus 25% buffer gives Subtotal of</w:t>
            </w:r>
          </w:p>
        </w:tc>
        <w:tc>
          <w:tcPr>
            <w:tcW w:w="1058" w:type="dxa"/>
            <w:shd w:val="clear" w:color="auto" w:fill="FFFFCC"/>
          </w:tcPr>
          <w:p w14:paraId="08D03F59" w14:textId="77777777" w:rsidR="004446C0" w:rsidRDefault="004446C0">
            <w:pPr>
              <w:pStyle w:val="TableParagraph"/>
              <w:spacing w:line="240" w:lineRule="auto"/>
              <w:rPr>
                <w:rFonts w:ascii="Times New Roman"/>
              </w:rPr>
            </w:pPr>
          </w:p>
        </w:tc>
      </w:tr>
      <w:tr w:rsidR="004446C0" w14:paraId="19CEB81D" w14:textId="77777777">
        <w:trPr>
          <w:trHeight w:val="395"/>
        </w:trPr>
        <w:tc>
          <w:tcPr>
            <w:tcW w:w="3284" w:type="dxa"/>
          </w:tcPr>
          <w:p w14:paraId="7D1B05EF" w14:textId="77777777" w:rsidR="004446C0" w:rsidRDefault="004446C0">
            <w:pPr>
              <w:pStyle w:val="TableParagraph"/>
              <w:spacing w:line="240" w:lineRule="auto"/>
              <w:rPr>
                <w:rFonts w:ascii="Times New Roman"/>
              </w:rPr>
            </w:pPr>
          </w:p>
        </w:tc>
        <w:tc>
          <w:tcPr>
            <w:tcW w:w="1260" w:type="dxa"/>
          </w:tcPr>
          <w:p w14:paraId="10BFAB79" w14:textId="77777777" w:rsidR="004446C0" w:rsidRDefault="004446C0">
            <w:pPr>
              <w:pStyle w:val="TableParagraph"/>
              <w:spacing w:line="240" w:lineRule="auto"/>
              <w:rPr>
                <w:rFonts w:ascii="Times New Roman"/>
              </w:rPr>
            </w:pPr>
          </w:p>
        </w:tc>
        <w:tc>
          <w:tcPr>
            <w:tcW w:w="838" w:type="dxa"/>
          </w:tcPr>
          <w:p w14:paraId="2421E7FF" w14:textId="77777777" w:rsidR="004446C0" w:rsidRDefault="004446C0">
            <w:pPr>
              <w:pStyle w:val="TableParagraph"/>
              <w:spacing w:line="240" w:lineRule="auto"/>
              <w:rPr>
                <w:rFonts w:ascii="Times New Roman"/>
              </w:rPr>
            </w:pPr>
          </w:p>
        </w:tc>
        <w:tc>
          <w:tcPr>
            <w:tcW w:w="3425" w:type="dxa"/>
          </w:tcPr>
          <w:p w14:paraId="43CDED77" w14:textId="77777777" w:rsidR="004446C0" w:rsidRDefault="004446C0">
            <w:pPr>
              <w:pStyle w:val="TableParagraph"/>
              <w:spacing w:line="240" w:lineRule="auto"/>
              <w:rPr>
                <w:rFonts w:ascii="Times New Roman"/>
              </w:rPr>
            </w:pPr>
          </w:p>
        </w:tc>
        <w:tc>
          <w:tcPr>
            <w:tcW w:w="1058" w:type="dxa"/>
          </w:tcPr>
          <w:p w14:paraId="4E1BC12D" w14:textId="77777777" w:rsidR="004446C0" w:rsidRDefault="004446C0">
            <w:pPr>
              <w:pStyle w:val="TableParagraph"/>
              <w:spacing w:line="240" w:lineRule="auto"/>
              <w:rPr>
                <w:rFonts w:ascii="Times New Roman"/>
              </w:rPr>
            </w:pPr>
          </w:p>
        </w:tc>
      </w:tr>
    </w:tbl>
    <w:p w14:paraId="2A79DF11" w14:textId="77777777" w:rsidR="004446C0" w:rsidRDefault="004446C0">
      <w:pPr>
        <w:pStyle w:val="BodyText"/>
        <w:rPr>
          <w:sz w:val="26"/>
        </w:rPr>
      </w:pPr>
    </w:p>
    <w:p w14:paraId="206F614D" w14:textId="77777777" w:rsidR="004446C0" w:rsidRDefault="00CC7443">
      <w:pPr>
        <w:pStyle w:val="BodyText"/>
        <w:spacing w:before="92"/>
        <w:ind w:left="400" w:right="882"/>
        <w:jc w:val="both"/>
      </w:pPr>
      <w:r>
        <w:t>Means tested benefits are not backdated by the Department for Work and Pensions and therefore a financial assessment will be completed in cases where parents cannot demonstrate at the point of placement that they are in receipt of the benefits outlined in paragraph 3.</w:t>
      </w:r>
    </w:p>
    <w:p w14:paraId="6BF47D71" w14:textId="77777777" w:rsidR="004446C0" w:rsidRDefault="004446C0">
      <w:pPr>
        <w:pStyle w:val="BodyText"/>
        <w:rPr>
          <w:sz w:val="26"/>
        </w:rPr>
      </w:pPr>
    </w:p>
    <w:p w14:paraId="1D7D5A47" w14:textId="4C475C4F" w:rsidR="004446C0" w:rsidRDefault="00CC7443">
      <w:pPr>
        <w:pStyle w:val="Heading1"/>
        <w:numPr>
          <w:ilvl w:val="0"/>
          <w:numId w:val="4"/>
        </w:numPr>
        <w:tabs>
          <w:tab w:val="left" w:pos="911"/>
          <w:tab w:val="left" w:pos="912"/>
        </w:tabs>
        <w:spacing w:before="182"/>
        <w:ind w:left="911" w:hanging="511"/>
        <w:jc w:val="left"/>
      </w:pPr>
      <w:r>
        <w:t>Notification of</w:t>
      </w:r>
      <w:r>
        <w:rPr>
          <w:spacing w:val="-3"/>
        </w:rPr>
        <w:t xml:space="preserve"> </w:t>
      </w:r>
      <w:r w:rsidR="00223557" w:rsidRPr="00202ADD">
        <w:t>contribution</w:t>
      </w:r>
      <w:r w:rsidRPr="00202ADD">
        <w:t>s</w:t>
      </w:r>
    </w:p>
    <w:p w14:paraId="6CFD23F1" w14:textId="77777777" w:rsidR="004446C0" w:rsidRDefault="004446C0">
      <w:pPr>
        <w:pStyle w:val="BodyText"/>
        <w:spacing w:before="5"/>
        <w:rPr>
          <w:b/>
          <w:sz w:val="34"/>
        </w:rPr>
      </w:pPr>
    </w:p>
    <w:p w14:paraId="4658BFB3" w14:textId="4812A80F" w:rsidR="004446C0" w:rsidRDefault="00202ADD">
      <w:pPr>
        <w:pStyle w:val="BodyText"/>
        <w:ind w:left="400" w:right="877"/>
        <w:jc w:val="both"/>
      </w:pPr>
      <w:r>
        <w:t>On completion of t</w:t>
      </w:r>
      <w:r w:rsidR="00CC7443">
        <w:t xml:space="preserve">he financial assessment and the </w:t>
      </w:r>
      <w:r w:rsidR="00223557">
        <w:t>contribution</w:t>
      </w:r>
      <w:r w:rsidR="00CC7443">
        <w:t xml:space="preserve"> calculated</w:t>
      </w:r>
      <w:r>
        <w:t>,</w:t>
      </w:r>
      <w:r w:rsidR="00CC7443">
        <w:t xml:space="preserve"> </w:t>
      </w:r>
      <w:r w:rsidR="004F4607">
        <w:t xml:space="preserve">Haringey Council </w:t>
      </w:r>
      <w:r w:rsidR="00CC7443">
        <w:t xml:space="preserve">will </w:t>
      </w:r>
      <w:r w:rsidR="00240D59">
        <w:t>send a contribution notice letter to the parent</w:t>
      </w:r>
      <w:r w:rsidR="00CC7443">
        <w:t xml:space="preserve"> liable to contribute specifying:</w:t>
      </w:r>
    </w:p>
    <w:p w14:paraId="55BF0646" w14:textId="77777777" w:rsidR="004446C0" w:rsidRDefault="004446C0">
      <w:pPr>
        <w:pStyle w:val="BodyText"/>
        <w:rPr>
          <w:sz w:val="26"/>
        </w:rPr>
      </w:pPr>
    </w:p>
    <w:p w14:paraId="1C6099E0" w14:textId="34A8106B" w:rsidR="004446C0" w:rsidRDefault="00CC7443">
      <w:pPr>
        <w:pStyle w:val="ListParagraph"/>
        <w:numPr>
          <w:ilvl w:val="0"/>
          <w:numId w:val="1"/>
        </w:numPr>
        <w:tabs>
          <w:tab w:val="left" w:pos="1120"/>
          <w:tab w:val="left" w:pos="1121"/>
        </w:tabs>
        <w:spacing w:before="218" w:line="293" w:lineRule="exact"/>
        <w:rPr>
          <w:sz w:val="24"/>
        </w:rPr>
      </w:pPr>
      <w:r>
        <w:rPr>
          <w:sz w:val="24"/>
        </w:rPr>
        <w:t xml:space="preserve">The </w:t>
      </w:r>
      <w:r w:rsidR="00623144">
        <w:rPr>
          <w:sz w:val="24"/>
        </w:rPr>
        <w:t>weekly sum the parent or child is required to pay</w:t>
      </w:r>
    </w:p>
    <w:p w14:paraId="1D1FE0FC" w14:textId="12497506" w:rsidR="004446C0" w:rsidRDefault="00CC7443">
      <w:pPr>
        <w:pStyle w:val="ListParagraph"/>
        <w:numPr>
          <w:ilvl w:val="0"/>
          <w:numId w:val="1"/>
        </w:numPr>
        <w:tabs>
          <w:tab w:val="left" w:pos="1120"/>
          <w:tab w:val="left" w:pos="1121"/>
        </w:tabs>
        <w:spacing w:line="292" w:lineRule="exact"/>
        <w:rPr>
          <w:sz w:val="24"/>
        </w:rPr>
      </w:pPr>
      <w:r>
        <w:rPr>
          <w:sz w:val="24"/>
        </w:rPr>
        <w:t>The arrangements for</w:t>
      </w:r>
      <w:r>
        <w:rPr>
          <w:spacing w:val="-6"/>
          <w:sz w:val="24"/>
        </w:rPr>
        <w:t xml:space="preserve"> </w:t>
      </w:r>
      <w:r w:rsidR="00240D59">
        <w:rPr>
          <w:sz w:val="24"/>
        </w:rPr>
        <w:t>payment</w:t>
      </w:r>
    </w:p>
    <w:p w14:paraId="6B06E5B5" w14:textId="0CD05478" w:rsidR="004446C0" w:rsidRDefault="004446C0">
      <w:pPr>
        <w:pStyle w:val="BodyText"/>
        <w:spacing w:before="3"/>
        <w:rPr>
          <w:sz w:val="34"/>
        </w:rPr>
      </w:pPr>
    </w:p>
    <w:p w14:paraId="2F452BE1" w14:textId="1F04B4A9" w:rsidR="00623144" w:rsidRDefault="00623144">
      <w:pPr>
        <w:pStyle w:val="BodyText"/>
        <w:spacing w:before="3"/>
      </w:pPr>
      <w:r>
        <w:rPr>
          <w:sz w:val="34"/>
        </w:rPr>
        <w:t xml:space="preserve">      </w:t>
      </w:r>
      <w:r w:rsidRPr="00623144">
        <w:t>The arrangements for payment must include:</w:t>
      </w:r>
    </w:p>
    <w:p w14:paraId="129372AA" w14:textId="77777777" w:rsidR="00623144" w:rsidRDefault="00623144">
      <w:pPr>
        <w:pStyle w:val="BodyText"/>
        <w:spacing w:before="3"/>
      </w:pPr>
    </w:p>
    <w:p w14:paraId="4988C5AE" w14:textId="3A443E0D" w:rsidR="00623144" w:rsidRDefault="00623144" w:rsidP="00623144">
      <w:pPr>
        <w:pStyle w:val="ListParagraph"/>
        <w:numPr>
          <w:ilvl w:val="0"/>
          <w:numId w:val="1"/>
        </w:numPr>
        <w:tabs>
          <w:tab w:val="left" w:pos="1120"/>
          <w:tab w:val="left" w:pos="1121"/>
        </w:tabs>
        <w:spacing w:line="292" w:lineRule="exact"/>
        <w:rPr>
          <w:sz w:val="24"/>
        </w:rPr>
      </w:pPr>
      <w:r>
        <w:rPr>
          <w:sz w:val="24"/>
        </w:rPr>
        <w:t>The date on which payments are due (which must not be earlier than the date of the notice)</w:t>
      </w:r>
    </w:p>
    <w:p w14:paraId="670D55A2" w14:textId="3EFCEFA2" w:rsidR="00623144" w:rsidRDefault="00623144" w:rsidP="00623144">
      <w:pPr>
        <w:pStyle w:val="ListParagraph"/>
        <w:numPr>
          <w:ilvl w:val="0"/>
          <w:numId w:val="1"/>
        </w:numPr>
        <w:tabs>
          <w:tab w:val="left" w:pos="1120"/>
          <w:tab w:val="left" w:pos="1121"/>
        </w:tabs>
        <w:spacing w:line="292" w:lineRule="exact"/>
        <w:rPr>
          <w:sz w:val="24"/>
        </w:rPr>
      </w:pPr>
      <w:r>
        <w:rPr>
          <w:sz w:val="24"/>
        </w:rPr>
        <w:t xml:space="preserve">The date on which the first payment must be made </w:t>
      </w:r>
    </w:p>
    <w:p w14:paraId="1F147C1B" w14:textId="618EB1B4" w:rsidR="00623144" w:rsidRDefault="00623144" w:rsidP="00623144">
      <w:pPr>
        <w:pStyle w:val="ListParagraph"/>
        <w:numPr>
          <w:ilvl w:val="0"/>
          <w:numId w:val="1"/>
        </w:numPr>
        <w:tabs>
          <w:tab w:val="left" w:pos="1120"/>
          <w:tab w:val="left" w:pos="1121"/>
        </w:tabs>
        <w:spacing w:line="292" w:lineRule="exact"/>
        <w:rPr>
          <w:sz w:val="24"/>
        </w:rPr>
      </w:pPr>
      <w:r>
        <w:rPr>
          <w:sz w:val="24"/>
        </w:rPr>
        <w:t xml:space="preserve">The date on which payments will end </w:t>
      </w:r>
    </w:p>
    <w:p w14:paraId="3ADCAED9" w14:textId="0994A9DA" w:rsidR="00623144" w:rsidRDefault="00623144" w:rsidP="00540094">
      <w:pPr>
        <w:spacing w:after="5" w:line="283" w:lineRule="auto"/>
        <w:ind w:left="400" w:right="50"/>
        <w:jc w:val="both"/>
        <w:rPr>
          <w:color w:val="222222"/>
          <w:sz w:val="24"/>
        </w:rPr>
      </w:pPr>
      <w:r>
        <w:rPr>
          <w:color w:val="222222"/>
          <w:sz w:val="24"/>
        </w:rPr>
        <w:lastRenderedPageBreak/>
        <w:t xml:space="preserve">A Contribution Notice can be withdrawn at any time and without prejudice. If appropriate another Contribution Notice can be substituted.  </w:t>
      </w:r>
    </w:p>
    <w:p w14:paraId="2744C2B3" w14:textId="77777777" w:rsidR="00540094" w:rsidRDefault="00540094" w:rsidP="00540094">
      <w:pPr>
        <w:spacing w:after="5" w:line="283" w:lineRule="auto"/>
        <w:ind w:left="400" w:right="50"/>
        <w:jc w:val="both"/>
        <w:rPr>
          <w:rFonts w:ascii="Calibri" w:eastAsia="Calibri" w:hAnsi="Calibri" w:cs="Calibri"/>
          <w:lang w:bidi="ar-SA"/>
        </w:rPr>
      </w:pPr>
    </w:p>
    <w:p w14:paraId="02A73982" w14:textId="275351D8" w:rsidR="004446C0" w:rsidRDefault="00623144" w:rsidP="00540094">
      <w:pPr>
        <w:pStyle w:val="BodyText"/>
        <w:ind w:left="400"/>
        <w:jc w:val="both"/>
      </w:pPr>
      <w:r>
        <w:t xml:space="preserve">A parent may, by serving a </w:t>
      </w:r>
      <w:r w:rsidR="00393F72">
        <w:t>notice</w:t>
      </w:r>
      <w:r>
        <w:t xml:space="preserve"> in writing on the authority, withdraw their agreement </w:t>
      </w:r>
      <w:r w:rsidR="00393F72">
        <w:t>in</w:t>
      </w:r>
      <w:r>
        <w:t xml:space="preserve"> relation to any period of liability falling after the date of the contribution notice. </w:t>
      </w:r>
      <w:r w:rsidR="00CC7443">
        <w:t xml:space="preserve">If </w:t>
      </w:r>
      <w:r w:rsidR="00393F72">
        <w:t>a parent or child is</w:t>
      </w:r>
      <w:r w:rsidR="00CC7443">
        <w:t xml:space="preserve"> not liable for any contributions, this will be confirmed in writing.</w:t>
      </w:r>
    </w:p>
    <w:p w14:paraId="1A5EE8DA" w14:textId="77777777" w:rsidR="004446C0" w:rsidRDefault="004446C0" w:rsidP="00540094">
      <w:pPr>
        <w:jc w:val="both"/>
      </w:pPr>
    </w:p>
    <w:p w14:paraId="3D959090" w14:textId="77777777" w:rsidR="00393F72" w:rsidRDefault="00393F72" w:rsidP="00540094">
      <w:pPr>
        <w:ind w:left="400"/>
        <w:jc w:val="both"/>
        <w:rPr>
          <w:color w:val="222222"/>
          <w:sz w:val="24"/>
        </w:rPr>
      </w:pPr>
      <w:r>
        <w:rPr>
          <w:color w:val="222222"/>
          <w:sz w:val="24"/>
        </w:rPr>
        <w:t xml:space="preserve">Once agreement has been reached and the parent has signed the agreement part of the Contribution Notice letter, contribution payments will commence.  </w:t>
      </w:r>
    </w:p>
    <w:p w14:paraId="48E8CCDD" w14:textId="77777777" w:rsidR="00EF7B8E" w:rsidRDefault="00EF7B8E" w:rsidP="00540094">
      <w:pPr>
        <w:ind w:left="400"/>
        <w:jc w:val="both"/>
        <w:rPr>
          <w:color w:val="222222"/>
          <w:sz w:val="24"/>
        </w:rPr>
      </w:pPr>
    </w:p>
    <w:p w14:paraId="4DB14634" w14:textId="77777777" w:rsidR="004446C0" w:rsidRDefault="00CC7443">
      <w:pPr>
        <w:pStyle w:val="Heading1"/>
        <w:numPr>
          <w:ilvl w:val="0"/>
          <w:numId w:val="4"/>
        </w:numPr>
        <w:tabs>
          <w:tab w:val="left" w:pos="912"/>
        </w:tabs>
        <w:spacing w:before="89"/>
        <w:ind w:left="911" w:hanging="511"/>
        <w:jc w:val="both"/>
      </w:pPr>
      <w:r>
        <w:t>Compensation</w:t>
      </w:r>
      <w:r>
        <w:rPr>
          <w:spacing w:val="-1"/>
        </w:rPr>
        <w:t xml:space="preserve"> </w:t>
      </w:r>
      <w:r>
        <w:t>Packages</w:t>
      </w:r>
    </w:p>
    <w:p w14:paraId="24DF13B5" w14:textId="77777777" w:rsidR="004446C0" w:rsidRDefault="004446C0">
      <w:pPr>
        <w:pStyle w:val="BodyText"/>
        <w:rPr>
          <w:b/>
          <w:sz w:val="26"/>
        </w:rPr>
      </w:pPr>
    </w:p>
    <w:p w14:paraId="1D03BFED" w14:textId="76B3AC50" w:rsidR="004446C0" w:rsidRDefault="00CC7443" w:rsidP="00540094">
      <w:pPr>
        <w:pStyle w:val="BodyText"/>
        <w:spacing w:before="157"/>
        <w:ind w:left="400" w:right="874"/>
        <w:jc w:val="both"/>
      </w:pPr>
      <w:r>
        <w:t>Where compensation packages (</w:t>
      </w:r>
      <w:proofErr w:type="gramStart"/>
      <w:r w:rsidR="00202ADD">
        <w:t>i.e.</w:t>
      </w:r>
      <w:proofErr w:type="gramEnd"/>
      <w:r>
        <w:t xml:space="preserve"> financial compensation in relation to personal injury claims) are available to cover needs provision these monies will be treated as capital unless the compensation package is held by the </w:t>
      </w:r>
      <w:r w:rsidR="00C43701">
        <w:t>C</w:t>
      </w:r>
      <w:r>
        <w:t xml:space="preserve">ourt of </w:t>
      </w:r>
      <w:r w:rsidR="00C43701">
        <w:t>P</w:t>
      </w:r>
      <w:r>
        <w:t>rotection or otherwise if the compensation monies must be disregarded by the local authority.</w:t>
      </w:r>
    </w:p>
    <w:p w14:paraId="33E6B147" w14:textId="77777777" w:rsidR="004446C0" w:rsidRDefault="004446C0">
      <w:pPr>
        <w:pStyle w:val="BodyText"/>
        <w:rPr>
          <w:sz w:val="26"/>
        </w:rPr>
      </w:pPr>
    </w:p>
    <w:p w14:paraId="342BC3E4" w14:textId="77777777" w:rsidR="004446C0" w:rsidRDefault="00CC7443">
      <w:pPr>
        <w:pStyle w:val="Heading1"/>
        <w:numPr>
          <w:ilvl w:val="0"/>
          <w:numId w:val="4"/>
        </w:numPr>
        <w:tabs>
          <w:tab w:val="left" w:pos="912"/>
        </w:tabs>
        <w:ind w:left="911" w:hanging="511"/>
        <w:jc w:val="both"/>
      </w:pPr>
      <w:r>
        <w:t>Voluntary</w:t>
      </w:r>
      <w:r>
        <w:rPr>
          <w:spacing w:val="-7"/>
        </w:rPr>
        <w:t xml:space="preserve"> </w:t>
      </w:r>
      <w:r>
        <w:t>contributions</w:t>
      </w:r>
    </w:p>
    <w:p w14:paraId="0E06C62B" w14:textId="77777777" w:rsidR="004446C0" w:rsidRDefault="004446C0">
      <w:pPr>
        <w:pStyle w:val="BodyText"/>
        <w:spacing w:before="6"/>
        <w:rPr>
          <w:b/>
          <w:sz w:val="34"/>
        </w:rPr>
      </w:pPr>
    </w:p>
    <w:p w14:paraId="34ED05E9" w14:textId="77777777" w:rsidR="004446C0" w:rsidRDefault="00CC7443">
      <w:pPr>
        <w:pStyle w:val="BodyText"/>
        <w:ind w:left="400" w:right="878"/>
        <w:jc w:val="both"/>
      </w:pPr>
      <w:r>
        <w:t>The amounts that parents contribute under this policy will not cover the full costs of looking after their child. This policy does not preclude further voluntary contributions from parents who wish to contribute more fully to the cost.</w:t>
      </w:r>
    </w:p>
    <w:p w14:paraId="04088E85" w14:textId="77777777" w:rsidR="004446C0" w:rsidRDefault="004446C0">
      <w:pPr>
        <w:pStyle w:val="BodyText"/>
        <w:rPr>
          <w:sz w:val="26"/>
        </w:rPr>
      </w:pPr>
    </w:p>
    <w:p w14:paraId="575033BF" w14:textId="77777777" w:rsidR="004446C0" w:rsidRDefault="00CC7443">
      <w:pPr>
        <w:pStyle w:val="Heading1"/>
        <w:numPr>
          <w:ilvl w:val="0"/>
          <w:numId w:val="4"/>
        </w:numPr>
        <w:tabs>
          <w:tab w:val="left" w:pos="912"/>
        </w:tabs>
        <w:ind w:left="911" w:hanging="511"/>
        <w:jc w:val="both"/>
      </w:pPr>
      <w:r>
        <w:t>Waivers</w:t>
      </w:r>
    </w:p>
    <w:p w14:paraId="3ADDFF67" w14:textId="77777777" w:rsidR="004446C0" w:rsidRDefault="004446C0">
      <w:pPr>
        <w:pStyle w:val="BodyText"/>
        <w:spacing w:before="5"/>
        <w:rPr>
          <w:b/>
          <w:sz w:val="34"/>
        </w:rPr>
      </w:pPr>
    </w:p>
    <w:p w14:paraId="719BE429" w14:textId="09EF8050" w:rsidR="004446C0" w:rsidRDefault="00CC7443">
      <w:pPr>
        <w:pStyle w:val="BodyText"/>
        <w:ind w:left="400" w:right="874"/>
        <w:jc w:val="both"/>
      </w:pPr>
      <w:r>
        <w:t xml:space="preserve">The </w:t>
      </w:r>
      <w:r w:rsidR="00C43701">
        <w:t xml:space="preserve">Assistant Director of </w:t>
      </w:r>
      <w:r>
        <w:t xml:space="preserve">Children's Services and/or the Head of </w:t>
      </w:r>
      <w:r w:rsidR="004F4266">
        <w:t xml:space="preserve">SEND </w:t>
      </w:r>
      <w:r>
        <w:t xml:space="preserve">Services have the authority to amend or waive </w:t>
      </w:r>
      <w:r w:rsidR="00223557">
        <w:t>contribution</w:t>
      </w:r>
      <w:r>
        <w:t xml:space="preserve">s in exceptional circumstances, for example where a parent would be in severe financial difficulties or where enforcement of a </w:t>
      </w:r>
      <w:r w:rsidR="00223557">
        <w:t>contribution</w:t>
      </w:r>
      <w:r>
        <w:t xml:space="preserve"> would be detrimental to one or any of the children that are in the family</w:t>
      </w:r>
      <w:r>
        <w:rPr>
          <w:spacing w:val="-10"/>
        </w:rPr>
        <w:t xml:space="preserve"> </w:t>
      </w:r>
      <w:r>
        <w:t>home.</w:t>
      </w:r>
      <w:r w:rsidR="00240D59">
        <w:t xml:space="preserve"> The child’s social worker will record the decision to waive contributions on the child’s file. </w:t>
      </w:r>
    </w:p>
    <w:p w14:paraId="048CFF9F" w14:textId="77777777" w:rsidR="004446C0" w:rsidRDefault="004446C0">
      <w:pPr>
        <w:pStyle w:val="BodyText"/>
        <w:rPr>
          <w:sz w:val="26"/>
        </w:rPr>
      </w:pPr>
    </w:p>
    <w:p w14:paraId="30371AA7" w14:textId="77777777" w:rsidR="004446C0" w:rsidRDefault="00CC7443">
      <w:pPr>
        <w:pStyle w:val="Heading1"/>
        <w:numPr>
          <w:ilvl w:val="0"/>
          <w:numId w:val="4"/>
        </w:numPr>
        <w:tabs>
          <w:tab w:val="left" w:pos="912"/>
        </w:tabs>
        <w:spacing w:before="182"/>
        <w:ind w:left="911" w:hanging="511"/>
        <w:jc w:val="both"/>
      </w:pPr>
      <w:r>
        <w:t>Change in</w:t>
      </w:r>
      <w:r>
        <w:rPr>
          <w:spacing w:val="-1"/>
        </w:rPr>
        <w:t xml:space="preserve"> </w:t>
      </w:r>
      <w:r>
        <w:t>circumstances</w:t>
      </w:r>
    </w:p>
    <w:p w14:paraId="4D0652BB" w14:textId="77777777" w:rsidR="004446C0" w:rsidRDefault="004446C0">
      <w:pPr>
        <w:pStyle w:val="BodyText"/>
        <w:spacing w:before="4"/>
        <w:rPr>
          <w:b/>
          <w:sz w:val="34"/>
        </w:rPr>
      </w:pPr>
    </w:p>
    <w:p w14:paraId="06A0B684" w14:textId="77777777" w:rsidR="004446C0" w:rsidRDefault="00CC7443" w:rsidP="00EF7B8E">
      <w:pPr>
        <w:pStyle w:val="BodyText"/>
        <w:ind w:left="400" w:right="884"/>
        <w:jc w:val="both"/>
      </w:pPr>
      <w:r>
        <w:t>Changes in circumstances can be about the financial situation of those liable to contribute, or the frequency/ type of service identified for the child.</w:t>
      </w:r>
    </w:p>
    <w:p w14:paraId="5E868C9D" w14:textId="77777777" w:rsidR="004446C0" w:rsidRDefault="004446C0" w:rsidP="00EF7B8E">
      <w:pPr>
        <w:pStyle w:val="BodyText"/>
        <w:rPr>
          <w:sz w:val="26"/>
        </w:rPr>
      </w:pPr>
    </w:p>
    <w:p w14:paraId="6ACD58BF" w14:textId="1691A5A5" w:rsidR="004446C0" w:rsidRDefault="00CC7443" w:rsidP="00EF7B8E">
      <w:pPr>
        <w:pStyle w:val="BodyText"/>
        <w:ind w:left="400" w:right="881"/>
        <w:jc w:val="both"/>
      </w:pPr>
      <w:r>
        <w:t xml:space="preserve">The onus is on the parent (or the child themselves if aged 16 and over) to advise </w:t>
      </w:r>
      <w:r w:rsidR="004F4607">
        <w:t xml:space="preserve">Haringey Council </w:t>
      </w:r>
      <w:r>
        <w:t>of any changes in their financial circumstances, or their intention to change the frequency/ type of service identified for the child, unless this has been agreed at a review.</w:t>
      </w:r>
    </w:p>
    <w:p w14:paraId="62D27EF0" w14:textId="77777777" w:rsidR="004446C0" w:rsidRDefault="004446C0">
      <w:pPr>
        <w:pStyle w:val="BodyText"/>
        <w:rPr>
          <w:sz w:val="26"/>
        </w:rPr>
      </w:pPr>
    </w:p>
    <w:p w14:paraId="53D548E1" w14:textId="77777777" w:rsidR="00C43701" w:rsidRDefault="00CC7443" w:rsidP="00EF7B8E">
      <w:pPr>
        <w:pStyle w:val="Heading1"/>
        <w:numPr>
          <w:ilvl w:val="0"/>
          <w:numId w:val="4"/>
        </w:numPr>
        <w:tabs>
          <w:tab w:val="left" w:pos="912"/>
        </w:tabs>
        <w:spacing w:before="0"/>
        <w:ind w:right="885" w:firstLine="0"/>
        <w:jc w:val="both"/>
      </w:pPr>
      <w:r>
        <w:t>Financial</w:t>
      </w:r>
      <w:r w:rsidRPr="00C43701">
        <w:rPr>
          <w:spacing w:val="-7"/>
        </w:rPr>
        <w:t xml:space="preserve"> </w:t>
      </w:r>
      <w:r>
        <w:t>Review</w:t>
      </w:r>
      <w:r w:rsidRPr="00202ADD">
        <w:t xml:space="preserve"> </w:t>
      </w:r>
    </w:p>
    <w:p w14:paraId="418D35FA" w14:textId="77777777" w:rsidR="00EF7B8E" w:rsidRDefault="00EF7B8E" w:rsidP="00EF7B8E">
      <w:pPr>
        <w:pStyle w:val="Heading1"/>
        <w:tabs>
          <w:tab w:val="left" w:pos="912"/>
        </w:tabs>
        <w:spacing w:before="0"/>
        <w:ind w:left="400" w:right="885" w:firstLine="0"/>
        <w:jc w:val="both"/>
      </w:pPr>
    </w:p>
    <w:p w14:paraId="685BCFF7" w14:textId="0349CEBF" w:rsidR="00C43701" w:rsidRDefault="00C43701" w:rsidP="00EF7B8E">
      <w:pPr>
        <w:pStyle w:val="Heading1"/>
        <w:tabs>
          <w:tab w:val="left" w:pos="912"/>
        </w:tabs>
        <w:spacing w:before="0"/>
        <w:ind w:left="400" w:right="885" w:firstLine="0"/>
        <w:jc w:val="both"/>
      </w:pPr>
      <w:r>
        <w:t>Review of Contributions</w:t>
      </w:r>
    </w:p>
    <w:p w14:paraId="34DA4543" w14:textId="77777777" w:rsidR="00EF7B8E" w:rsidRDefault="00EF7B8E" w:rsidP="00EF7B8E">
      <w:pPr>
        <w:pStyle w:val="Heading1"/>
        <w:tabs>
          <w:tab w:val="left" w:pos="912"/>
        </w:tabs>
        <w:spacing w:before="0"/>
        <w:ind w:left="403" w:right="885" w:firstLine="0"/>
        <w:jc w:val="both"/>
        <w:rPr>
          <w:b w:val="0"/>
          <w:bCs w:val="0"/>
        </w:rPr>
      </w:pPr>
    </w:p>
    <w:p w14:paraId="3B48B725" w14:textId="615C8153" w:rsidR="004446C0" w:rsidRPr="00C43701" w:rsidRDefault="00CC7443" w:rsidP="00EF7B8E">
      <w:pPr>
        <w:pStyle w:val="Heading1"/>
        <w:tabs>
          <w:tab w:val="left" w:pos="912"/>
        </w:tabs>
        <w:spacing w:before="0"/>
        <w:ind w:left="403" w:right="885" w:firstLine="0"/>
        <w:jc w:val="both"/>
        <w:rPr>
          <w:b w:val="0"/>
          <w:bCs w:val="0"/>
        </w:rPr>
      </w:pPr>
      <w:r w:rsidRPr="00C43701">
        <w:rPr>
          <w:b w:val="0"/>
          <w:bCs w:val="0"/>
        </w:rPr>
        <w:t xml:space="preserve">Any person(s) who feels that their </w:t>
      </w:r>
      <w:r w:rsidR="00223557" w:rsidRPr="00C43701">
        <w:rPr>
          <w:b w:val="0"/>
          <w:bCs w:val="0"/>
        </w:rPr>
        <w:t>contribution</w:t>
      </w:r>
      <w:r w:rsidRPr="00C43701">
        <w:rPr>
          <w:b w:val="0"/>
          <w:bCs w:val="0"/>
        </w:rPr>
        <w:t xml:space="preserve">s have been incorrectly </w:t>
      </w:r>
      <w:r w:rsidR="00BC5C3A" w:rsidRPr="00C43701">
        <w:rPr>
          <w:b w:val="0"/>
          <w:bCs w:val="0"/>
        </w:rPr>
        <w:t>calculated or</w:t>
      </w:r>
      <w:r w:rsidRPr="00C43701">
        <w:rPr>
          <w:b w:val="0"/>
          <w:bCs w:val="0"/>
        </w:rPr>
        <w:t xml:space="preserve"> feels that </w:t>
      </w:r>
      <w:r w:rsidR="00C43701" w:rsidRPr="00C43701">
        <w:rPr>
          <w:b w:val="0"/>
          <w:bCs w:val="0"/>
        </w:rPr>
        <w:t>all</w:t>
      </w:r>
      <w:r w:rsidRPr="00C43701">
        <w:rPr>
          <w:b w:val="0"/>
          <w:bCs w:val="0"/>
        </w:rPr>
        <w:t xml:space="preserve"> their circumstances have not been considered</w:t>
      </w:r>
      <w:r w:rsidR="00C43701">
        <w:rPr>
          <w:b w:val="0"/>
          <w:bCs w:val="0"/>
        </w:rPr>
        <w:t>,</w:t>
      </w:r>
      <w:r w:rsidRPr="00C43701">
        <w:rPr>
          <w:b w:val="0"/>
          <w:bCs w:val="0"/>
        </w:rPr>
        <w:t xml:space="preserve"> can request a review.</w:t>
      </w:r>
    </w:p>
    <w:p w14:paraId="7183A9FA" w14:textId="44C0ABE5" w:rsidR="004446C0" w:rsidRDefault="00CC7443">
      <w:pPr>
        <w:pStyle w:val="BodyText"/>
        <w:spacing w:before="218"/>
        <w:ind w:left="400" w:right="882"/>
        <w:jc w:val="both"/>
      </w:pPr>
      <w:r>
        <w:lastRenderedPageBreak/>
        <w:t xml:space="preserve">A request for a review of </w:t>
      </w:r>
      <w:r w:rsidR="00223557">
        <w:t>contribution</w:t>
      </w:r>
      <w:r>
        <w:t xml:space="preserve">s should be made in writing to the </w:t>
      </w:r>
      <w:r w:rsidR="00C43701">
        <w:t xml:space="preserve">Assistant Director of </w:t>
      </w:r>
      <w:r>
        <w:t xml:space="preserve">Children's Services or the Head of </w:t>
      </w:r>
      <w:r w:rsidR="004F4266">
        <w:t>SEND</w:t>
      </w:r>
      <w:r>
        <w:t xml:space="preserve"> Services detailing:</w:t>
      </w:r>
    </w:p>
    <w:p w14:paraId="66231910" w14:textId="2CAFBA09" w:rsidR="004446C0" w:rsidRDefault="00CC7443">
      <w:pPr>
        <w:pStyle w:val="ListParagraph"/>
        <w:numPr>
          <w:ilvl w:val="0"/>
          <w:numId w:val="1"/>
        </w:numPr>
        <w:tabs>
          <w:tab w:val="left" w:pos="1120"/>
          <w:tab w:val="left" w:pos="1121"/>
        </w:tabs>
        <w:spacing w:before="90" w:line="293" w:lineRule="exact"/>
        <w:rPr>
          <w:sz w:val="24"/>
        </w:rPr>
      </w:pPr>
      <w:r>
        <w:rPr>
          <w:sz w:val="24"/>
        </w:rPr>
        <w:t xml:space="preserve">Why the person(s) feels the assessed </w:t>
      </w:r>
      <w:r w:rsidR="00223557">
        <w:rPr>
          <w:sz w:val="24"/>
        </w:rPr>
        <w:t>contribution</w:t>
      </w:r>
      <w:r>
        <w:rPr>
          <w:sz w:val="24"/>
        </w:rPr>
        <w:t xml:space="preserve"> is wrong or</w:t>
      </w:r>
      <w:r>
        <w:rPr>
          <w:spacing w:val="-16"/>
          <w:sz w:val="24"/>
        </w:rPr>
        <w:t xml:space="preserve"> </w:t>
      </w:r>
      <w:proofErr w:type="gramStart"/>
      <w:r>
        <w:rPr>
          <w:sz w:val="24"/>
        </w:rPr>
        <w:t>unaffordable;</w:t>
      </w:r>
      <w:proofErr w:type="gramEnd"/>
    </w:p>
    <w:p w14:paraId="6B855A45" w14:textId="22D197F3" w:rsidR="004446C0" w:rsidRDefault="00CC7443">
      <w:pPr>
        <w:pStyle w:val="ListParagraph"/>
        <w:numPr>
          <w:ilvl w:val="0"/>
          <w:numId w:val="1"/>
        </w:numPr>
        <w:tabs>
          <w:tab w:val="left" w:pos="1120"/>
          <w:tab w:val="left" w:pos="1121"/>
        </w:tabs>
        <w:spacing w:before="4" w:line="235" w:lineRule="auto"/>
        <w:ind w:right="886"/>
        <w:rPr>
          <w:sz w:val="24"/>
        </w:rPr>
      </w:pPr>
      <w:r>
        <w:rPr>
          <w:sz w:val="24"/>
        </w:rPr>
        <w:t xml:space="preserve">Any additional information not </w:t>
      </w:r>
      <w:proofErr w:type="gramStart"/>
      <w:r>
        <w:rPr>
          <w:sz w:val="24"/>
        </w:rPr>
        <w:t>taken into account</w:t>
      </w:r>
      <w:proofErr w:type="gramEnd"/>
      <w:r>
        <w:rPr>
          <w:sz w:val="24"/>
        </w:rPr>
        <w:t xml:space="preserve"> when the </w:t>
      </w:r>
      <w:r w:rsidR="00223557" w:rsidRPr="00C43701">
        <w:rPr>
          <w:sz w:val="24"/>
        </w:rPr>
        <w:t>contribution</w:t>
      </w:r>
      <w:r>
        <w:rPr>
          <w:sz w:val="24"/>
        </w:rPr>
        <w:t xml:space="preserve"> was calculated.</w:t>
      </w:r>
    </w:p>
    <w:p w14:paraId="75E4F2A3" w14:textId="77777777" w:rsidR="004446C0" w:rsidRDefault="004446C0">
      <w:pPr>
        <w:pStyle w:val="BodyText"/>
        <w:spacing w:before="7"/>
        <w:rPr>
          <w:sz w:val="34"/>
        </w:rPr>
      </w:pPr>
    </w:p>
    <w:p w14:paraId="6B3D54DE" w14:textId="77777777" w:rsidR="004446C0" w:rsidRDefault="00CC7443">
      <w:pPr>
        <w:pStyle w:val="BodyText"/>
        <w:ind w:left="400" w:right="879"/>
        <w:jc w:val="both"/>
      </w:pPr>
      <w:r>
        <w:t>The person(s) will be contacted for further discussion if required and/or notified of the outcome within 14 working days of receipt of the request.</w:t>
      </w:r>
    </w:p>
    <w:p w14:paraId="2AEDBA04" w14:textId="77777777" w:rsidR="004446C0" w:rsidRDefault="00CC7443">
      <w:pPr>
        <w:pStyle w:val="BodyText"/>
        <w:spacing w:before="120"/>
        <w:ind w:left="400" w:right="877"/>
        <w:jc w:val="both"/>
      </w:pPr>
      <w:r>
        <w:t>This discussion must take within 5 days of receipt of query. Discussion must take place between social worker and Finance Officer from Care Services and a Senior Manager.</w:t>
      </w:r>
    </w:p>
    <w:p w14:paraId="7D05FE8C" w14:textId="77777777" w:rsidR="004446C0" w:rsidRDefault="004446C0">
      <w:pPr>
        <w:pStyle w:val="BodyText"/>
        <w:rPr>
          <w:sz w:val="26"/>
        </w:rPr>
      </w:pPr>
    </w:p>
    <w:p w14:paraId="6A032B8E" w14:textId="77777777" w:rsidR="004446C0" w:rsidRDefault="00CC7443">
      <w:pPr>
        <w:pStyle w:val="Heading1"/>
        <w:numPr>
          <w:ilvl w:val="0"/>
          <w:numId w:val="4"/>
        </w:numPr>
        <w:tabs>
          <w:tab w:val="left" w:pos="912"/>
        </w:tabs>
        <w:spacing w:before="182"/>
        <w:ind w:left="911" w:hanging="511"/>
        <w:jc w:val="both"/>
      </w:pPr>
      <w:r>
        <w:t>Non-completion of financial</w:t>
      </w:r>
      <w:r>
        <w:rPr>
          <w:spacing w:val="-5"/>
        </w:rPr>
        <w:t xml:space="preserve"> </w:t>
      </w:r>
      <w:r>
        <w:t>assessment</w:t>
      </w:r>
    </w:p>
    <w:p w14:paraId="16AAD99B" w14:textId="77777777" w:rsidR="004446C0" w:rsidRDefault="004446C0">
      <w:pPr>
        <w:pStyle w:val="BodyText"/>
        <w:spacing w:before="5"/>
        <w:rPr>
          <w:b/>
          <w:sz w:val="34"/>
        </w:rPr>
      </w:pPr>
    </w:p>
    <w:p w14:paraId="336ABBD1" w14:textId="7982C3FD" w:rsidR="004446C0" w:rsidRDefault="00CC7443">
      <w:pPr>
        <w:pStyle w:val="BodyText"/>
        <w:ind w:left="400" w:right="884"/>
        <w:jc w:val="both"/>
      </w:pPr>
      <w:r>
        <w:t xml:space="preserve">If a person(s) is not exempt from </w:t>
      </w:r>
      <w:r w:rsidR="00223557">
        <w:t>contribution</w:t>
      </w:r>
      <w:r>
        <w:t xml:space="preserve">s and they choose not to complete a financial assessment form, they will automatically be </w:t>
      </w:r>
      <w:r w:rsidR="00C43701">
        <w:t>contributing</w:t>
      </w:r>
      <w:r>
        <w:t xml:space="preserve"> the full daily rate for each day's service</w:t>
      </w:r>
      <w:r>
        <w:rPr>
          <w:spacing w:val="-1"/>
        </w:rPr>
        <w:t xml:space="preserve"> </w:t>
      </w:r>
      <w:r>
        <w:t>provided.</w:t>
      </w:r>
    </w:p>
    <w:p w14:paraId="20B416B9" w14:textId="77777777" w:rsidR="004446C0" w:rsidRDefault="00CC7443">
      <w:pPr>
        <w:pStyle w:val="BodyText"/>
        <w:spacing w:before="120"/>
        <w:ind w:left="400" w:right="885"/>
        <w:jc w:val="both"/>
      </w:pPr>
      <w:r>
        <w:t>Where appointments have been made to discuss the financial assessment and cancelled, a maximum of three appointments will be offered in total.</w:t>
      </w:r>
    </w:p>
    <w:p w14:paraId="37D869DC" w14:textId="0EA84C5D" w:rsidR="004446C0" w:rsidRDefault="00CC7443" w:rsidP="00C43701">
      <w:pPr>
        <w:pStyle w:val="BodyText"/>
        <w:spacing w:before="120"/>
        <w:ind w:left="400" w:right="881"/>
        <w:jc w:val="both"/>
      </w:pPr>
      <w:r>
        <w:t xml:space="preserve">Where three appointments have been cancelled no further appointments will be made and there will automatically be a </w:t>
      </w:r>
      <w:r w:rsidR="00223557" w:rsidRPr="00C43701">
        <w:t>contribution</w:t>
      </w:r>
      <w:r>
        <w:t xml:space="preserve"> of the full daily rate for each day's service provided.</w:t>
      </w:r>
    </w:p>
    <w:p w14:paraId="0461EEAC" w14:textId="77777777" w:rsidR="004446C0" w:rsidRDefault="004446C0">
      <w:pPr>
        <w:pStyle w:val="BodyText"/>
        <w:rPr>
          <w:sz w:val="26"/>
        </w:rPr>
      </w:pPr>
    </w:p>
    <w:p w14:paraId="3C0DF67B" w14:textId="77777777" w:rsidR="004446C0" w:rsidRDefault="00CC7443">
      <w:pPr>
        <w:pStyle w:val="Heading1"/>
        <w:numPr>
          <w:ilvl w:val="0"/>
          <w:numId w:val="4"/>
        </w:numPr>
        <w:tabs>
          <w:tab w:val="left" w:pos="912"/>
        </w:tabs>
        <w:spacing w:before="182"/>
        <w:ind w:left="911" w:hanging="511"/>
        <w:jc w:val="both"/>
      </w:pPr>
      <w:r>
        <w:t>Backdated</w:t>
      </w:r>
      <w:r>
        <w:rPr>
          <w:spacing w:val="-1"/>
        </w:rPr>
        <w:t xml:space="preserve"> </w:t>
      </w:r>
      <w:r>
        <w:t>payments</w:t>
      </w:r>
    </w:p>
    <w:p w14:paraId="7EB596C9" w14:textId="77777777" w:rsidR="004446C0" w:rsidRDefault="004446C0">
      <w:pPr>
        <w:pStyle w:val="BodyText"/>
        <w:spacing w:before="5"/>
        <w:rPr>
          <w:b/>
          <w:sz w:val="34"/>
        </w:rPr>
      </w:pPr>
    </w:p>
    <w:p w14:paraId="17668F83" w14:textId="60BF61C8" w:rsidR="004446C0" w:rsidRDefault="00CC7443">
      <w:pPr>
        <w:pStyle w:val="BodyText"/>
        <w:ind w:left="400" w:right="883"/>
        <w:jc w:val="both"/>
      </w:pPr>
      <w:r>
        <w:t xml:space="preserve">Where a financial assessment takes place after the child becomes looked after, </w:t>
      </w:r>
      <w:r w:rsidR="00223557">
        <w:t>contribution</w:t>
      </w:r>
      <w:r>
        <w:t>s will be backdated to the date upon which the child became looked after.</w:t>
      </w:r>
    </w:p>
    <w:p w14:paraId="549C5D0B" w14:textId="77777777" w:rsidR="004446C0" w:rsidRDefault="004446C0">
      <w:pPr>
        <w:pStyle w:val="BodyText"/>
        <w:rPr>
          <w:sz w:val="26"/>
        </w:rPr>
      </w:pPr>
    </w:p>
    <w:p w14:paraId="0DAA61A4" w14:textId="78D09DBB" w:rsidR="004446C0" w:rsidRDefault="00CC7443">
      <w:pPr>
        <w:pStyle w:val="Heading1"/>
        <w:numPr>
          <w:ilvl w:val="0"/>
          <w:numId w:val="4"/>
        </w:numPr>
        <w:tabs>
          <w:tab w:val="left" w:pos="912"/>
        </w:tabs>
        <w:ind w:left="911" w:hanging="511"/>
        <w:jc w:val="both"/>
      </w:pPr>
      <w:r>
        <w:t>Non-payment of assessed</w:t>
      </w:r>
      <w:r>
        <w:rPr>
          <w:spacing w:val="-5"/>
        </w:rPr>
        <w:t xml:space="preserve"> </w:t>
      </w:r>
      <w:r w:rsidR="00223557">
        <w:t>contribution</w:t>
      </w:r>
      <w:r>
        <w:t>s</w:t>
      </w:r>
    </w:p>
    <w:p w14:paraId="5C70809B" w14:textId="77777777" w:rsidR="004446C0" w:rsidRDefault="004446C0">
      <w:pPr>
        <w:pStyle w:val="BodyText"/>
        <w:spacing w:before="5"/>
        <w:rPr>
          <w:b/>
          <w:sz w:val="34"/>
        </w:rPr>
      </w:pPr>
    </w:p>
    <w:p w14:paraId="6302A4B4" w14:textId="11EACAF7" w:rsidR="004446C0" w:rsidRDefault="00CC7443">
      <w:pPr>
        <w:pStyle w:val="BodyText"/>
        <w:ind w:left="400" w:right="883"/>
        <w:jc w:val="both"/>
      </w:pPr>
      <w:r>
        <w:t xml:space="preserve">Where </w:t>
      </w:r>
      <w:r w:rsidR="00223557">
        <w:t>contribution</w:t>
      </w:r>
      <w:r>
        <w:t xml:space="preserve">s are not paid, </w:t>
      </w:r>
      <w:r w:rsidR="004F4607">
        <w:t xml:space="preserve">Haringey Council </w:t>
      </w:r>
      <w:r>
        <w:t>may apply to the Magistrates Court for a Contribution Order.</w:t>
      </w:r>
    </w:p>
    <w:p w14:paraId="77758AE4" w14:textId="77777777" w:rsidR="004446C0" w:rsidRDefault="004446C0">
      <w:pPr>
        <w:pStyle w:val="BodyText"/>
        <w:rPr>
          <w:sz w:val="26"/>
        </w:rPr>
      </w:pPr>
    </w:p>
    <w:p w14:paraId="735E568B" w14:textId="7E18FD48" w:rsidR="004446C0" w:rsidRDefault="00CC7443">
      <w:pPr>
        <w:pStyle w:val="Heading1"/>
        <w:numPr>
          <w:ilvl w:val="0"/>
          <w:numId w:val="4"/>
        </w:numPr>
        <w:tabs>
          <w:tab w:val="left" w:pos="912"/>
        </w:tabs>
        <w:spacing w:before="182"/>
        <w:ind w:left="911" w:hanging="511"/>
        <w:jc w:val="both"/>
      </w:pPr>
      <w:r>
        <w:t xml:space="preserve">Annual review and reassessment of </w:t>
      </w:r>
      <w:r w:rsidR="00223557">
        <w:t>contribution</w:t>
      </w:r>
      <w:r>
        <w:t>s</w:t>
      </w:r>
    </w:p>
    <w:p w14:paraId="052B0D4F" w14:textId="77777777" w:rsidR="004446C0" w:rsidRDefault="004446C0">
      <w:pPr>
        <w:pStyle w:val="BodyText"/>
        <w:rPr>
          <w:b/>
          <w:sz w:val="26"/>
        </w:rPr>
      </w:pPr>
    </w:p>
    <w:p w14:paraId="5FAA3815" w14:textId="3F713C5A" w:rsidR="004446C0" w:rsidRDefault="00223557">
      <w:pPr>
        <w:pStyle w:val="BodyText"/>
        <w:spacing w:before="157"/>
        <w:ind w:left="400" w:right="878"/>
        <w:jc w:val="both"/>
      </w:pPr>
      <w:r w:rsidRPr="00240D59">
        <w:t>Contribution</w:t>
      </w:r>
      <w:r w:rsidR="00CC7443" w:rsidRPr="00240D59">
        <w:t>s</w:t>
      </w:r>
      <w:r w:rsidR="00CC7443">
        <w:t xml:space="preserve"> will be re-assessed if there is a change in the financial circumstances of those liable to contribute – it is the responsibility of the parent to inform the local authority of a change in </w:t>
      </w:r>
      <w:r w:rsidR="00240D59">
        <w:t>their financial circumstances.</w:t>
      </w:r>
    </w:p>
    <w:p w14:paraId="20367A29" w14:textId="77777777" w:rsidR="004446C0" w:rsidRDefault="004446C0">
      <w:pPr>
        <w:pStyle w:val="BodyText"/>
        <w:rPr>
          <w:sz w:val="26"/>
        </w:rPr>
      </w:pPr>
    </w:p>
    <w:p w14:paraId="64F94C63" w14:textId="77777777" w:rsidR="004446C0" w:rsidRDefault="00CC7443">
      <w:pPr>
        <w:pStyle w:val="Heading1"/>
        <w:numPr>
          <w:ilvl w:val="0"/>
          <w:numId w:val="4"/>
        </w:numPr>
        <w:tabs>
          <w:tab w:val="left" w:pos="912"/>
        </w:tabs>
        <w:ind w:left="911" w:hanging="511"/>
        <w:jc w:val="both"/>
      </w:pPr>
      <w:r>
        <w:t>Absence from a service</w:t>
      </w:r>
    </w:p>
    <w:p w14:paraId="4AF45578" w14:textId="77777777" w:rsidR="004446C0" w:rsidRDefault="004446C0">
      <w:pPr>
        <w:pStyle w:val="BodyText"/>
        <w:rPr>
          <w:b/>
          <w:sz w:val="26"/>
        </w:rPr>
      </w:pPr>
    </w:p>
    <w:p w14:paraId="1A7FBED4" w14:textId="2E9177B1" w:rsidR="004446C0" w:rsidRDefault="00CC7443">
      <w:pPr>
        <w:pStyle w:val="BodyText"/>
        <w:spacing w:before="157"/>
        <w:ind w:left="400" w:right="874"/>
        <w:jc w:val="both"/>
      </w:pPr>
      <w:r>
        <w:t xml:space="preserve">If a child is not receiving a service for a period (this does not include situations where a child has 'run away' from a service) then there will be no </w:t>
      </w:r>
      <w:r w:rsidR="00223557">
        <w:t>contribution</w:t>
      </w:r>
      <w:r>
        <w:t xml:space="preserve"> so long as the service provider has been informed in advance.</w:t>
      </w:r>
    </w:p>
    <w:sectPr w:rsidR="004446C0">
      <w:pgSz w:w="11900" w:h="16850"/>
      <w:pgMar w:top="1340" w:right="560" w:bottom="820" w:left="1040" w:header="571" w:footer="63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dricks Beverley" w:date="2021-07-21T06:34:00Z" w:initials="HB">
    <w:p w14:paraId="55F076E3" w14:textId="10C86178" w:rsidR="004F4266" w:rsidRDefault="004F4266">
      <w:pPr>
        <w:pStyle w:val="CommentText"/>
      </w:pPr>
      <w:r>
        <w:rPr>
          <w:rStyle w:val="CommentReference"/>
        </w:rPr>
        <w:annotationRef/>
      </w:r>
      <w:r>
        <w:t xml:space="preserve"> in the new order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F07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3E76" w16cex:dateUtc="2021-07-21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076E3" w16cid:durableId="24A23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389B" w14:textId="77777777" w:rsidR="00961F78" w:rsidRDefault="00961F78">
      <w:r>
        <w:separator/>
      </w:r>
    </w:p>
  </w:endnote>
  <w:endnote w:type="continuationSeparator" w:id="0">
    <w:p w14:paraId="566DAFE6" w14:textId="77777777" w:rsidR="00961F78" w:rsidRDefault="0096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A41D" w14:textId="6E54B61D" w:rsidR="004446C0" w:rsidRDefault="006A2D43">
    <w:pPr>
      <w:pStyle w:val="BodyText"/>
      <w:spacing w:line="14" w:lineRule="auto"/>
      <w:rPr>
        <w:sz w:val="20"/>
      </w:rPr>
    </w:pPr>
    <w:r>
      <w:rPr>
        <w:noProof/>
        <w:lang w:bidi="ar-SA"/>
      </w:rPr>
      <mc:AlternateContent>
        <mc:Choice Requires="wps">
          <w:drawing>
            <wp:anchor distT="0" distB="0" distL="114300" distR="114300" simplePos="0" relativeHeight="503299760" behindDoc="1" locked="0" layoutInCell="1" allowOverlap="1" wp14:anchorId="3C3ED440" wp14:editId="2C9BC155">
              <wp:simplePos x="0" y="0"/>
              <wp:positionH relativeFrom="page">
                <wp:posOffset>3599815</wp:posOffset>
              </wp:positionH>
              <wp:positionV relativeFrom="page">
                <wp:posOffset>10149205</wp:posOffset>
              </wp:positionV>
              <wp:extent cx="358775" cy="182245"/>
              <wp:effectExtent l="0" t="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D92DD" w14:textId="0C1B2561" w:rsidR="004446C0" w:rsidRDefault="00CC7443">
                          <w:pPr>
                            <w:spacing w:before="13"/>
                            <w:ind w:left="20"/>
                          </w:pPr>
                          <w:r>
                            <w:t xml:space="preserve">• </w:t>
                          </w:r>
                          <w:r>
                            <w:fldChar w:fldCharType="begin"/>
                          </w:r>
                          <w:r>
                            <w:instrText xml:space="preserve"> PAGE </w:instrText>
                          </w:r>
                          <w:r>
                            <w:fldChar w:fldCharType="separate"/>
                          </w:r>
                          <w:r w:rsidR="00540094">
                            <w:rPr>
                              <w:noProof/>
                            </w:rPr>
                            <w:t>5</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ED440" id="_x0000_t202" coordsize="21600,21600" o:spt="202" path="m,l,21600r21600,l21600,xe">
              <v:stroke joinstyle="miter"/>
              <v:path gradientshapeok="t" o:connecttype="rect"/>
            </v:shapetype>
            <v:shape id="Text Box 1" o:spid="_x0000_s1028" type="#_x0000_t202" style="position:absolute;margin-left:283.45pt;margin-top:799.15pt;width:28.25pt;height:14.3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" filled="f" stroked="f">
              <v:textbox inset="0,0,0,0">
                <w:txbxContent>
                  <w:p w14:paraId="7C0D92DD" w14:textId="0C1B2561" w:rsidR="004446C0" w:rsidRDefault="00CC7443">
                    <w:pPr>
                      <w:spacing w:before="13"/>
                      <w:ind w:left="20"/>
                    </w:pPr>
                    <w:r>
                      <w:t xml:space="preserve">• </w:t>
                    </w:r>
                    <w:r>
                      <w:fldChar w:fldCharType="begin"/>
                    </w:r>
                    <w:r>
                      <w:instrText xml:space="preserve"> PAGE </w:instrText>
                    </w:r>
                    <w:r>
                      <w:fldChar w:fldCharType="separate"/>
                    </w:r>
                    <w:r w:rsidR="00540094">
                      <w:rPr>
                        <w:noProof/>
                      </w:rPr>
                      <w:t>5</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8D9A" w14:textId="77777777" w:rsidR="00961F78" w:rsidRDefault="00961F78">
      <w:r>
        <w:separator/>
      </w:r>
    </w:p>
  </w:footnote>
  <w:footnote w:type="continuationSeparator" w:id="0">
    <w:p w14:paraId="08370852" w14:textId="77777777" w:rsidR="00961F78" w:rsidRDefault="0096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97BE" w14:textId="28383381" w:rsidR="004446C0" w:rsidRDefault="006A2D43">
    <w:pPr>
      <w:pStyle w:val="BodyText"/>
      <w:spacing w:line="14" w:lineRule="auto"/>
      <w:rPr>
        <w:sz w:val="20"/>
      </w:rPr>
    </w:pPr>
    <w:r>
      <w:rPr>
        <w:noProof/>
        <w:lang w:bidi="ar-SA"/>
      </w:rPr>
      <mc:AlternateContent>
        <mc:Choice Requires="wps">
          <w:drawing>
            <wp:anchor distT="0" distB="0" distL="114300" distR="114300" simplePos="0" relativeHeight="503299736" behindDoc="1" locked="0" layoutInCell="1" allowOverlap="1" wp14:anchorId="123FFFA3" wp14:editId="0B71CFA9">
              <wp:simplePos x="0" y="0"/>
              <wp:positionH relativeFrom="page">
                <wp:posOffset>833120</wp:posOffset>
              </wp:positionH>
              <wp:positionV relativeFrom="page">
                <wp:posOffset>349885</wp:posOffset>
              </wp:positionV>
              <wp:extent cx="5890895" cy="182245"/>
              <wp:effectExtent l="4445" t="0" r="63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7264" w14:textId="4456CBA5" w:rsidR="004446C0" w:rsidRDefault="00601A1C">
                          <w:pPr>
                            <w:tabs>
                              <w:tab w:val="left" w:pos="9256"/>
                            </w:tabs>
                            <w:spacing w:before="13"/>
                            <w:ind w:left="20"/>
                          </w:pPr>
                          <w:r>
                            <w:rPr>
                              <w:color w:val="FFFFFF"/>
                              <w:shd w:val="clear" w:color="auto" w:fill="404040"/>
                            </w:rPr>
                            <w:t xml:space="preserve">Parental Contribution Policy </w:t>
                          </w:r>
                          <w:r w:rsidR="00CC7443">
                            <w:rPr>
                              <w:color w:val="FFFFFF"/>
                              <w:shd w:val="clear" w:color="auto" w:fill="40404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FFA3" id="_x0000_t202" coordsize="21600,21600" o:spt="202" path="m,l,21600r21600,l21600,xe">
              <v:stroke joinstyle="miter"/>
              <v:path gradientshapeok="t" o:connecttype="rect"/>
            </v:shapetype>
            <v:shape id="_x0000_s1027" type="#_x0000_t202" style="position:absolute;margin-left:65.6pt;margin-top:27.55pt;width:463.85pt;height:14.3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" filled="f" stroked="f">
              <v:textbox inset="0,0,0,0">
                <w:txbxContent>
                  <w:p w14:paraId="51617264" w14:textId="4456CBA5" w:rsidR="004446C0" w:rsidRDefault="00601A1C">
                    <w:pPr>
                      <w:tabs>
                        <w:tab w:val="left" w:pos="9256"/>
                      </w:tabs>
                      <w:spacing w:before="13"/>
                      <w:ind w:left="20"/>
                    </w:pPr>
                    <w:r>
                      <w:rPr>
                        <w:color w:val="FFFFFF"/>
                        <w:shd w:val="clear" w:color="auto" w:fill="404040"/>
                      </w:rPr>
                      <w:t xml:space="preserve">Parental Contribution Policy </w:t>
                    </w:r>
                    <w:r w:rsidR="00CC7443">
                      <w:rPr>
                        <w:color w:val="FFFFFF"/>
                        <w:shd w:val="clear" w:color="auto" w:fill="40404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2BB"/>
    <w:multiLevelType w:val="hybridMultilevel"/>
    <w:tmpl w:val="6DD285BE"/>
    <w:lvl w:ilvl="0" w:tplc="42FA023E">
      <w:start w:val="1"/>
      <w:numFmt w:val="decimal"/>
      <w:lvlText w:val="%1."/>
      <w:lvlJc w:val="left"/>
      <w:pPr>
        <w:ind w:left="760" w:hanging="348"/>
      </w:pPr>
      <w:rPr>
        <w:rFonts w:ascii="Arial" w:eastAsia="Arial" w:hAnsi="Arial" w:cs="Arial" w:hint="default"/>
        <w:spacing w:val="-2"/>
        <w:w w:val="99"/>
        <w:sz w:val="24"/>
        <w:szCs w:val="24"/>
        <w:lang w:val="en-GB" w:eastAsia="en-GB" w:bidi="en-GB"/>
      </w:rPr>
    </w:lvl>
    <w:lvl w:ilvl="1" w:tplc="41A816CC">
      <w:numFmt w:val="bullet"/>
      <w:lvlText w:val="•"/>
      <w:lvlJc w:val="left"/>
      <w:pPr>
        <w:ind w:left="1713" w:hanging="348"/>
      </w:pPr>
      <w:rPr>
        <w:rFonts w:hint="default"/>
        <w:lang w:val="en-GB" w:eastAsia="en-GB" w:bidi="en-GB"/>
      </w:rPr>
    </w:lvl>
    <w:lvl w:ilvl="2" w:tplc="DFB01D28">
      <w:numFmt w:val="bullet"/>
      <w:lvlText w:val="•"/>
      <w:lvlJc w:val="left"/>
      <w:pPr>
        <w:ind w:left="2667" w:hanging="348"/>
      </w:pPr>
      <w:rPr>
        <w:rFonts w:hint="default"/>
        <w:lang w:val="en-GB" w:eastAsia="en-GB" w:bidi="en-GB"/>
      </w:rPr>
    </w:lvl>
    <w:lvl w:ilvl="3" w:tplc="FF6A262E">
      <w:numFmt w:val="bullet"/>
      <w:lvlText w:val="•"/>
      <w:lvlJc w:val="left"/>
      <w:pPr>
        <w:ind w:left="3621" w:hanging="348"/>
      </w:pPr>
      <w:rPr>
        <w:rFonts w:hint="default"/>
        <w:lang w:val="en-GB" w:eastAsia="en-GB" w:bidi="en-GB"/>
      </w:rPr>
    </w:lvl>
    <w:lvl w:ilvl="4" w:tplc="15B0448E">
      <w:numFmt w:val="bullet"/>
      <w:lvlText w:val="•"/>
      <w:lvlJc w:val="left"/>
      <w:pPr>
        <w:ind w:left="4575" w:hanging="348"/>
      </w:pPr>
      <w:rPr>
        <w:rFonts w:hint="default"/>
        <w:lang w:val="en-GB" w:eastAsia="en-GB" w:bidi="en-GB"/>
      </w:rPr>
    </w:lvl>
    <w:lvl w:ilvl="5" w:tplc="8D1AB154">
      <w:numFmt w:val="bullet"/>
      <w:lvlText w:val="•"/>
      <w:lvlJc w:val="left"/>
      <w:pPr>
        <w:ind w:left="5529" w:hanging="348"/>
      </w:pPr>
      <w:rPr>
        <w:rFonts w:hint="default"/>
        <w:lang w:val="en-GB" w:eastAsia="en-GB" w:bidi="en-GB"/>
      </w:rPr>
    </w:lvl>
    <w:lvl w:ilvl="6" w:tplc="855C81E8">
      <w:numFmt w:val="bullet"/>
      <w:lvlText w:val="•"/>
      <w:lvlJc w:val="left"/>
      <w:pPr>
        <w:ind w:left="6483" w:hanging="348"/>
      </w:pPr>
      <w:rPr>
        <w:rFonts w:hint="default"/>
        <w:lang w:val="en-GB" w:eastAsia="en-GB" w:bidi="en-GB"/>
      </w:rPr>
    </w:lvl>
    <w:lvl w:ilvl="7" w:tplc="14CC264A">
      <w:numFmt w:val="bullet"/>
      <w:lvlText w:val="•"/>
      <w:lvlJc w:val="left"/>
      <w:pPr>
        <w:ind w:left="7437" w:hanging="348"/>
      </w:pPr>
      <w:rPr>
        <w:rFonts w:hint="default"/>
        <w:lang w:val="en-GB" w:eastAsia="en-GB" w:bidi="en-GB"/>
      </w:rPr>
    </w:lvl>
    <w:lvl w:ilvl="8" w:tplc="2C66B2AC">
      <w:numFmt w:val="bullet"/>
      <w:lvlText w:val="•"/>
      <w:lvlJc w:val="left"/>
      <w:pPr>
        <w:ind w:left="8391" w:hanging="348"/>
      </w:pPr>
      <w:rPr>
        <w:rFonts w:hint="default"/>
        <w:lang w:val="en-GB" w:eastAsia="en-GB" w:bidi="en-GB"/>
      </w:rPr>
    </w:lvl>
  </w:abstractNum>
  <w:abstractNum w:abstractNumId="1" w15:restartNumberingAfterBreak="0">
    <w:nsid w:val="06E405AC"/>
    <w:multiLevelType w:val="hybridMultilevel"/>
    <w:tmpl w:val="723A83A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 w15:restartNumberingAfterBreak="0">
    <w:nsid w:val="0A953002"/>
    <w:multiLevelType w:val="hybridMultilevel"/>
    <w:tmpl w:val="1A3CECA8"/>
    <w:lvl w:ilvl="0" w:tplc="BBE26E1E">
      <w:numFmt w:val="bullet"/>
      <w:lvlText w:val=""/>
      <w:lvlJc w:val="left"/>
      <w:pPr>
        <w:ind w:left="760" w:hanging="360"/>
      </w:pPr>
      <w:rPr>
        <w:rFonts w:ascii="Symbol" w:eastAsia="Symbol" w:hAnsi="Symbol" w:cs="Symbol" w:hint="default"/>
        <w:w w:val="100"/>
        <w:sz w:val="24"/>
        <w:szCs w:val="24"/>
        <w:lang w:val="en-GB" w:eastAsia="en-GB" w:bidi="en-GB"/>
      </w:rPr>
    </w:lvl>
    <w:lvl w:ilvl="1" w:tplc="1424E8E6">
      <w:numFmt w:val="bullet"/>
      <w:lvlText w:val="-"/>
      <w:lvlJc w:val="left"/>
      <w:pPr>
        <w:ind w:left="1120" w:hanging="360"/>
      </w:pPr>
      <w:rPr>
        <w:rFonts w:ascii="Courier New" w:eastAsia="Courier New" w:hAnsi="Courier New" w:cs="Courier New" w:hint="default"/>
        <w:w w:val="100"/>
        <w:sz w:val="24"/>
        <w:szCs w:val="24"/>
        <w:lang w:val="en-GB" w:eastAsia="en-GB" w:bidi="en-GB"/>
      </w:rPr>
    </w:lvl>
    <w:lvl w:ilvl="2" w:tplc="51A6E59C">
      <w:numFmt w:val="bullet"/>
      <w:lvlText w:val=""/>
      <w:lvlJc w:val="left"/>
      <w:pPr>
        <w:ind w:left="1480" w:hanging="360"/>
      </w:pPr>
      <w:rPr>
        <w:rFonts w:ascii="Symbol" w:eastAsia="Symbol" w:hAnsi="Symbol" w:cs="Symbol" w:hint="default"/>
        <w:w w:val="54"/>
        <w:sz w:val="24"/>
        <w:szCs w:val="24"/>
        <w:lang w:val="en-GB" w:eastAsia="en-GB" w:bidi="en-GB"/>
      </w:rPr>
    </w:lvl>
    <w:lvl w:ilvl="3" w:tplc="528EA606">
      <w:numFmt w:val="bullet"/>
      <w:lvlText w:val="•"/>
      <w:lvlJc w:val="left"/>
      <w:pPr>
        <w:ind w:left="2582" w:hanging="360"/>
      </w:pPr>
      <w:rPr>
        <w:rFonts w:hint="default"/>
        <w:lang w:val="en-GB" w:eastAsia="en-GB" w:bidi="en-GB"/>
      </w:rPr>
    </w:lvl>
    <w:lvl w:ilvl="4" w:tplc="B9B61F1E">
      <w:numFmt w:val="bullet"/>
      <w:lvlText w:val="•"/>
      <w:lvlJc w:val="left"/>
      <w:pPr>
        <w:ind w:left="3684" w:hanging="360"/>
      </w:pPr>
      <w:rPr>
        <w:rFonts w:hint="default"/>
        <w:lang w:val="en-GB" w:eastAsia="en-GB" w:bidi="en-GB"/>
      </w:rPr>
    </w:lvl>
    <w:lvl w:ilvl="5" w:tplc="23D2A2D4">
      <w:numFmt w:val="bullet"/>
      <w:lvlText w:val="•"/>
      <w:lvlJc w:val="left"/>
      <w:pPr>
        <w:ind w:left="4787" w:hanging="360"/>
      </w:pPr>
      <w:rPr>
        <w:rFonts w:hint="default"/>
        <w:lang w:val="en-GB" w:eastAsia="en-GB" w:bidi="en-GB"/>
      </w:rPr>
    </w:lvl>
    <w:lvl w:ilvl="6" w:tplc="480AF4C6">
      <w:numFmt w:val="bullet"/>
      <w:lvlText w:val="•"/>
      <w:lvlJc w:val="left"/>
      <w:pPr>
        <w:ind w:left="5889" w:hanging="360"/>
      </w:pPr>
      <w:rPr>
        <w:rFonts w:hint="default"/>
        <w:lang w:val="en-GB" w:eastAsia="en-GB" w:bidi="en-GB"/>
      </w:rPr>
    </w:lvl>
    <w:lvl w:ilvl="7" w:tplc="124C5D0A">
      <w:numFmt w:val="bullet"/>
      <w:lvlText w:val="•"/>
      <w:lvlJc w:val="left"/>
      <w:pPr>
        <w:ind w:left="6992" w:hanging="360"/>
      </w:pPr>
      <w:rPr>
        <w:rFonts w:hint="default"/>
        <w:lang w:val="en-GB" w:eastAsia="en-GB" w:bidi="en-GB"/>
      </w:rPr>
    </w:lvl>
    <w:lvl w:ilvl="8" w:tplc="B2C492D2">
      <w:numFmt w:val="bullet"/>
      <w:lvlText w:val="•"/>
      <w:lvlJc w:val="left"/>
      <w:pPr>
        <w:ind w:left="8094" w:hanging="360"/>
      </w:pPr>
      <w:rPr>
        <w:rFonts w:hint="default"/>
        <w:lang w:val="en-GB" w:eastAsia="en-GB" w:bidi="en-GB"/>
      </w:rPr>
    </w:lvl>
  </w:abstractNum>
  <w:abstractNum w:abstractNumId="3" w15:restartNumberingAfterBreak="0">
    <w:nsid w:val="0B637D6D"/>
    <w:multiLevelType w:val="hybridMultilevel"/>
    <w:tmpl w:val="30BACE7E"/>
    <w:lvl w:ilvl="0" w:tplc="4D6C81B6">
      <w:numFmt w:val="bullet"/>
      <w:lvlText w:val=""/>
      <w:lvlJc w:val="left"/>
      <w:pPr>
        <w:ind w:left="1120" w:hanging="360"/>
      </w:pPr>
      <w:rPr>
        <w:rFonts w:ascii="Symbol" w:eastAsia="Symbol" w:hAnsi="Symbol" w:cs="Symbol" w:hint="default"/>
        <w:w w:val="100"/>
        <w:sz w:val="24"/>
        <w:szCs w:val="24"/>
        <w:lang w:val="en-GB" w:eastAsia="en-GB" w:bidi="en-GB"/>
      </w:rPr>
    </w:lvl>
    <w:lvl w:ilvl="1" w:tplc="810E852A">
      <w:numFmt w:val="bullet"/>
      <w:lvlText w:val="•"/>
      <w:lvlJc w:val="left"/>
      <w:pPr>
        <w:ind w:left="2037" w:hanging="360"/>
      </w:pPr>
      <w:rPr>
        <w:rFonts w:hint="default"/>
        <w:lang w:val="en-GB" w:eastAsia="en-GB" w:bidi="en-GB"/>
      </w:rPr>
    </w:lvl>
    <w:lvl w:ilvl="2" w:tplc="29841FC8">
      <w:numFmt w:val="bullet"/>
      <w:lvlText w:val="•"/>
      <w:lvlJc w:val="left"/>
      <w:pPr>
        <w:ind w:left="2955" w:hanging="360"/>
      </w:pPr>
      <w:rPr>
        <w:rFonts w:hint="default"/>
        <w:lang w:val="en-GB" w:eastAsia="en-GB" w:bidi="en-GB"/>
      </w:rPr>
    </w:lvl>
    <w:lvl w:ilvl="3" w:tplc="7EA4FBF2">
      <w:numFmt w:val="bullet"/>
      <w:lvlText w:val="•"/>
      <w:lvlJc w:val="left"/>
      <w:pPr>
        <w:ind w:left="3873" w:hanging="360"/>
      </w:pPr>
      <w:rPr>
        <w:rFonts w:hint="default"/>
        <w:lang w:val="en-GB" w:eastAsia="en-GB" w:bidi="en-GB"/>
      </w:rPr>
    </w:lvl>
    <w:lvl w:ilvl="4" w:tplc="39B40BFE">
      <w:numFmt w:val="bullet"/>
      <w:lvlText w:val="•"/>
      <w:lvlJc w:val="left"/>
      <w:pPr>
        <w:ind w:left="4791" w:hanging="360"/>
      </w:pPr>
      <w:rPr>
        <w:rFonts w:hint="default"/>
        <w:lang w:val="en-GB" w:eastAsia="en-GB" w:bidi="en-GB"/>
      </w:rPr>
    </w:lvl>
    <w:lvl w:ilvl="5" w:tplc="8BB059FC">
      <w:numFmt w:val="bullet"/>
      <w:lvlText w:val="•"/>
      <w:lvlJc w:val="left"/>
      <w:pPr>
        <w:ind w:left="5709" w:hanging="360"/>
      </w:pPr>
      <w:rPr>
        <w:rFonts w:hint="default"/>
        <w:lang w:val="en-GB" w:eastAsia="en-GB" w:bidi="en-GB"/>
      </w:rPr>
    </w:lvl>
    <w:lvl w:ilvl="6" w:tplc="ACEE9C7C">
      <w:numFmt w:val="bullet"/>
      <w:lvlText w:val="•"/>
      <w:lvlJc w:val="left"/>
      <w:pPr>
        <w:ind w:left="6627" w:hanging="360"/>
      </w:pPr>
      <w:rPr>
        <w:rFonts w:hint="default"/>
        <w:lang w:val="en-GB" w:eastAsia="en-GB" w:bidi="en-GB"/>
      </w:rPr>
    </w:lvl>
    <w:lvl w:ilvl="7" w:tplc="AFCA6DFE">
      <w:numFmt w:val="bullet"/>
      <w:lvlText w:val="•"/>
      <w:lvlJc w:val="left"/>
      <w:pPr>
        <w:ind w:left="7545" w:hanging="360"/>
      </w:pPr>
      <w:rPr>
        <w:rFonts w:hint="default"/>
        <w:lang w:val="en-GB" w:eastAsia="en-GB" w:bidi="en-GB"/>
      </w:rPr>
    </w:lvl>
    <w:lvl w:ilvl="8" w:tplc="0F3026D6">
      <w:numFmt w:val="bullet"/>
      <w:lvlText w:val="•"/>
      <w:lvlJc w:val="left"/>
      <w:pPr>
        <w:ind w:left="8463" w:hanging="360"/>
      </w:pPr>
      <w:rPr>
        <w:rFonts w:hint="default"/>
        <w:lang w:val="en-GB" w:eastAsia="en-GB" w:bidi="en-GB"/>
      </w:rPr>
    </w:lvl>
  </w:abstractNum>
  <w:abstractNum w:abstractNumId="4" w15:restartNumberingAfterBreak="0">
    <w:nsid w:val="11D54F7E"/>
    <w:multiLevelType w:val="hybridMultilevel"/>
    <w:tmpl w:val="BAE6A04C"/>
    <w:lvl w:ilvl="0" w:tplc="EE864FAC">
      <w:start w:val="1"/>
      <w:numFmt w:val="decimal"/>
      <w:lvlText w:val="%1."/>
      <w:lvlJc w:val="left"/>
      <w:pPr>
        <w:ind w:left="400" w:hanging="360"/>
        <w:jc w:val="right"/>
      </w:pPr>
      <w:rPr>
        <w:rFonts w:ascii="Arial" w:eastAsia="Arial" w:hAnsi="Arial" w:cs="Arial" w:hint="default"/>
        <w:b/>
        <w:bCs/>
        <w:w w:val="99"/>
        <w:sz w:val="24"/>
        <w:szCs w:val="24"/>
        <w:lang w:val="en-GB" w:eastAsia="en-GB" w:bidi="en-GB"/>
      </w:rPr>
    </w:lvl>
    <w:lvl w:ilvl="1" w:tplc="12F0EAFA">
      <w:numFmt w:val="bullet"/>
      <w:lvlText w:val="•"/>
      <w:lvlJc w:val="left"/>
      <w:pPr>
        <w:ind w:left="1389" w:hanging="360"/>
      </w:pPr>
      <w:rPr>
        <w:rFonts w:hint="default"/>
        <w:lang w:val="en-GB" w:eastAsia="en-GB" w:bidi="en-GB"/>
      </w:rPr>
    </w:lvl>
    <w:lvl w:ilvl="2" w:tplc="0C5684CC">
      <w:numFmt w:val="bullet"/>
      <w:lvlText w:val="•"/>
      <w:lvlJc w:val="left"/>
      <w:pPr>
        <w:ind w:left="2379" w:hanging="360"/>
      </w:pPr>
      <w:rPr>
        <w:rFonts w:hint="default"/>
        <w:lang w:val="en-GB" w:eastAsia="en-GB" w:bidi="en-GB"/>
      </w:rPr>
    </w:lvl>
    <w:lvl w:ilvl="3" w:tplc="E598878C">
      <w:numFmt w:val="bullet"/>
      <w:lvlText w:val="•"/>
      <w:lvlJc w:val="left"/>
      <w:pPr>
        <w:ind w:left="3369" w:hanging="360"/>
      </w:pPr>
      <w:rPr>
        <w:rFonts w:hint="default"/>
        <w:lang w:val="en-GB" w:eastAsia="en-GB" w:bidi="en-GB"/>
      </w:rPr>
    </w:lvl>
    <w:lvl w:ilvl="4" w:tplc="92E8693E">
      <w:numFmt w:val="bullet"/>
      <w:lvlText w:val="•"/>
      <w:lvlJc w:val="left"/>
      <w:pPr>
        <w:ind w:left="4359" w:hanging="360"/>
      </w:pPr>
      <w:rPr>
        <w:rFonts w:hint="default"/>
        <w:lang w:val="en-GB" w:eastAsia="en-GB" w:bidi="en-GB"/>
      </w:rPr>
    </w:lvl>
    <w:lvl w:ilvl="5" w:tplc="CB5E8154">
      <w:numFmt w:val="bullet"/>
      <w:lvlText w:val="•"/>
      <w:lvlJc w:val="left"/>
      <w:pPr>
        <w:ind w:left="5349" w:hanging="360"/>
      </w:pPr>
      <w:rPr>
        <w:rFonts w:hint="default"/>
        <w:lang w:val="en-GB" w:eastAsia="en-GB" w:bidi="en-GB"/>
      </w:rPr>
    </w:lvl>
    <w:lvl w:ilvl="6" w:tplc="03A048C0">
      <w:numFmt w:val="bullet"/>
      <w:lvlText w:val="•"/>
      <w:lvlJc w:val="left"/>
      <w:pPr>
        <w:ind w:left="6339" w:hanging="360"/>
      </w:pPr>
      <w:rPr>
        <w:rFonts w:hint="default"/>
        <w:lang w:val="en-GB" w:eastAsia="en-GB" w:bidi="en-GB"/>
      </w:rPr>
    </w:lvl>
    <w:lvl w:ilvl="7" w:tplc="54AE0C3E">
      <w:numFmt w:val="bullet"/>
      <w:lvlText w:val="•"/>
      <w:lvlJc w:val="left"/>
      <w:pPr>
        <w:ind w:left="7329" w:hanging="360"/>
      </w:pPr>
      <w:rPr>
        <w:rFonts w:hint="default"/>
        <w:lang w:val="en-GB" w:eastAsia="en-GB" w:bidi="en-GB"/>
      </w:rPr>
    </w:lvl>
    <w:lvl w:ilvl="8" w:tplc="1B40C772">
      <w:numFmt w:val="bullet"/>
      <w:lvlText w:val="•"/>
      <w:lvlJc w:val="left"/>
      <w:pPr>
        <w:ind w:left="8319" w:hanging="360"/>
      </w:pPr>
      <w:rPr>
        <w:rFonts w:hint="default"/>
        <w:lang w:val="en-GB" w:eastAsia="en-GB" w:bidi="en-GB"/>
      </w:rPr>
    </w:lvl>
  </w:abstractNum>
  <w:abstractNum w:abstractNumId="5" w15:restartNumberingAfterBreak="0">
    <w:nsid w:val="30365404"/>
    <w:multiLevelType w:val="hybridMultilevel"/>
    <w:tmpl w:val="C68C83D2"/>
    <w:lvl w:ilvl="0" w:tplc="78E2E432">
      <w:numFmt w:val="bullet"/>
      <w:lvlText w:val=""/>
      <w:lvlJc w:val="left"/>
      <w:pPr>
        <w:ind w:left="1120" w:hanging="360"/>
      </w:pPr>
      <w:rPr>
        <w:rFonts w:ascii="Symbol" w:eastAsia="Symbol" w:hAnsi="Symbol" w:cs="Symbol" w:hint="default"/>
        <w:w w:val="100"/>
        <w:sz w:val="24"/>
        <w:szCs w:val="24"/>
        <w:lang w:val="en-GB" w:eastAsia="en-GB" w:bidi="en-GB"/>
      </w:rPr>
    </w:lvl>
    <w:lvl w:ilvl="1" w:tplc="ED60389A">
      <w:numFmt w:val="bullet"/>
      <w:lvlText w:val="•"/>
      <w:lvlJc w:val="left"/>
      <w:pPr>
        <w:ind w:left="2037" w:hanging="360"/>
      </w:pPr>
      <w:rPr>
        <w:rFonts w:hint="default"/>
        <w:lang w:val="en-GB" w:eastAsia="en-GB" w:bidi="en-GB"/>
      </w:rPr>
    </w:lvl>
    <w:lvl w:ilvl="2" w:tplc="C8A63C7C">
      <w:numFmt w:val="bullet"/>
      <w:lvlText w:val="•"/>
      <w:lvlJc w:val="left"/>
      <w:pPr>
        <w:ind w:left="2955" w:hanging="360"/>
      </w:pPr>
      <w:rPr>
        <w:rFonts w:hint="default"/>
        <w:lang w:val="en-GB" w:eastAsia="en-GB" w:bidi="en-GB"/>
      </w:rPr>
    </w:lvl>
    <w:lvl w:ilvl="3" w:tplc="B49671AA">
      <w:numFmt w:val="bullet"/>
      <w:lvlText w:val="•"/>
      <w:lvlJc w:val="left"/>
      <w:pPr>
        <w:ind w:left="3873" w:hanging="360"/>
      </w:pPr>
      <w:rPr>
        <w:rFonts w:hint="default"/>
        <w:lang w:val="en-GB" w:eastAsia="en-GB" w:bidi="en-GB"/>
      </w:rPr>
    </w:lvl>
    <w:lvl w:ilvl="4" w:tplc="E0D2665A">
      <w:numFmt w:val="bullet"/>
      <w:lvlText w:val="•"/>
      <w:lvlJc w:val="left"/>
      <w:pPr>
        <w:ind w:left="4791" w:hanging="360"/>
      </w:pPr>
      <w:rPr>
        <w:rFonts w:hint="default"/>
        <w:lang w:val="en-GB" w:eastAsia="en-GB" w:bidi="en-GB"/>
      </w:rPr>
    </w:lvl>
    <w:lvl w:ilvl="5" w:tplc="174E6C70">
      <w:numFmt w:val="bullet"/>
      <w:lvlText w:val="•"/>
      <w:lvlJc w:val="left"/>
      <w:pPr>
        <w:ind w:left="5709" w:hanging="360"/>
      </w:pPr>
      <w:rPr>
        <w:rFonts w:hint="default"/>
        <w:lang w:val="en-GB" w:eastAsia="en-GB" w:bidi="en-GB"/>
      </w:rPr>
    </w:lvl>
    <w:lvl w:ilvl="6" w:tplc="70700738">
      <w:numFmt w:val="bullet"/>
      <w:lvlText w:val="•"/>
      <w:lvlJc w:val="left"/>
      <w:pPr>
        <w:ind w:left="6627" w:hanging="360"/>
      </w:pPr>
      <w:rPr>
        <w:rFonts w:hint="default"/>
        <w:lang w:val="en-GB" w:eastAsia="en-GB" w:bidi="en-GB"/>
      </w:rPr>
    </w:lvl>
    <w:lvl w:ilvl="7" w:tplc="6F60281A">
      <w:numFmt w:val="bullet"/>
      <w:lvlText w:val="•"/>
      <w:lvlJc w:val="left"/>
      <w:pPr>
        <w:ind w:left="7545" w:hanging="360"/>
      </w:pPr>
      <w:rPr>
        <w:rFonts w:hint="default"/>
        <w:lang w:val="en-GB" w:eastAsia="en-GB" w:bidi="en-GB"/>
      </w:rPr>
    </w:lvl>
    <w:lvl w:ilvl="8" w:tplc="D6AE6D28">
      <w:numFmt w:val="bullet"/>
      <w:lvlText w:val="•"/>
      <w:lvlJc w:val="left"/>
      <w:pPr>
        <w:ind w:left="8463" w:hanging="360"/>
      </w:pPr>
      <w:rPr>
        <w:rFonts w:hint="default"/>
        <w:lang w:val="en-GB" w:eastAsia="en-GB" w:bidi="en-GB"/>
      </w:rPr>
    </w:lvl>
  </w:abstractNum>
  <w:abstractNum w:abstractNumId="6" w15:restartNumberingAfterBreak="0">
    <w:nsid w:val="63F90224"/>
    <w:multiLevelType w:val="hybridMultilevel"/>
    <w:tmpl w:val="6AA0ECD6"/>
    <w:lvl w:ilvl="0" w:tplc="08090001">
      <w:start w:val="1"/>
      <w:numFmt w:val="bullet"/>
      <w:lvlText w:val=""/>
      <w:lvlJc w:val="left"/>
      <w:pPr>
        <w:ind w:left="1389" w:hanging="360"/>
      </w:pPr>
      <w:rPr>
        <w:rFonts w:ascii="Symbol" w:hAnsi="Symbol" w:hint="default"/>
        <w:w w:val="100"/>
        <w:sz w:val="24"/>
        <w:szCs w:val="24"/>
        <w:lang w:val="en-GB" w:eastAsia="en-GB" w:bidi="en-GB"/>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7" w15:restartNumberingAfterBreak="0">
    <w:nsid w:val="6F4F7A79"/>
    <w:multiLevelType w:val="hybridMultilevel"/>
    <w:tmpl w:val="99862A48"/>
    <w:lvl w:ilvl="0" w:tplc="89642AEE">
      <w:start w:val="17"/>
      <w:numFmt w:val="decimal"/>
      <w:lvlText w:val="%1."/>
      <w:lvlJc w:val="left"/>
      <w:pPr>
        <w:ind w:left="760" w:hanging="348"/>
      </w:pPr>
      <w:rPr>
        <w:rFonts w:ascii="Arial" w:eastAsia="Arial" w:hAnsi="Arial" w:cs="Arial" w:hint="default"/>
        <w:w w:val="99"/>
        <w:sz w:val="22"/>
        <w:szCs w:val="22"/>
        <w:lang w:val="en-GB" w:eastAsia="en-GB" w:bidi="en-GB"/>
      </w:rPr>
    </w:lvl>
    <w:lvl w:ilvl="1" w:tplc="53CE9B5E">
      <w:numFmt w:val="bullet"/>
      <w:lvlText w:val="•"/>
      <w:lvlJc w:val="left"/>
      <w:pPr>
        <w:ind w:left="1713" w:hanging="348"/>
      </w:pPr>
      <w:rPr>
        <w:rFonts w:hint="default"/>
        <w:lang w:val="en-GB" w:eastAsia="en-GB" w:bidi="en-GB"/>
      </w:rPr>
    </w:lvl>
    <w:lvl w:ilvl="2" w:tplc="CC8A8446">
      <w:numFmt w:val="bullet"/>
      <w:lvlText w:val="•"/>
      <w:lvlJc w:val="left"/>
      <w:pPr>
        <w:ind w:left="2667" w:hanging="348"/>
      </w:pPr>
      <w:rPr>
        <w:rFonts w:hint="default"/>
        <w:lang w:val="en-GB" w:eastAsia="en-GB" w:bidi="en-GB"/>
      </w:rPr>
    </w:lvl>
    <w:lvl w:ilvl="3" w:tplc="04989590">
      <w:numFmt w:val="bullet"/>
      <w:lvlText w:val="•"/>
      <w:lvlJc w:val="left"/>
      <w:pPr>
        <w:ind w:left="3621" w:hanging="348"/>
      </w:pPr>
      <w:rPr>
        <w:rFonts w:hint="default"/>
        <w:lang w:val="en-GB" w:eastAsia="en-GB" w:bidi="en-GB"/>
      </w:rPr>
    </w:lvl>
    <w:lvl w:ilvl="4" w:tplc="543AC088">
      <w:numFmt w:val="bullet"/>
      <w:lvlText w:val="•"/>
      <w:lvlJc w:val="left"/>
      <w:pPr>
        <w:ind w:left="4575" w:hanging="348"/>
      </w:pPr>
      <w:rPr>
        <w:rFonts w:hint="default"/>
        <w:lang w:val="en-GB" w:eastAsia="en-GB" w:bidi="en-GB"/>
      </w:rPr>
    </w:lvl>
    <w:lvl w:ilvl="5" w:tplc="B3E4D5FE">
      <w:numFmt w:val="bullet"/>
      <w:lvlText w:val="•"/>
      <w:lvlJc w:val="left"/>
      <w:pPr>
        <w:ind w:left="5529" w:hanging="348"/>
      </w:pPr>
      <w:rPr>
        <w:rFonts w:hint="default"/>
        <w:lang w:val="en-GB" w:eastAsia="en-GB" w:bidi="en-GB"/>
      </w:rPr>
    </w:lvl>
    <w:lvl w:ilvl="6" w:tplc="19DA49F6">
      <w:numFmt w:val="bullet"/>
      <w:lvlText w:val="•"/>
      <w:lvlJc w:val="left"/>
      <w:pPr>
        <w:ind w:left="6483" w:hanging="348"/>
      </w:pPr>
      <w:rPr>
        <w:rFonts w:hint="default"/>
        <w:lang w:val="en-GB" w:eastAsia="en-GB" w:bidi="en-GB"/>
      </w:rPr>
    </w:lvl>
    <w:lvl w:ilvl="7" w:tplc="CFD488EA">
      <w:numFmt w:val="bullet"/>
      <w:lvlText w:val="•"/>
      <w:lvlJc w:val="left"/>
      <w:pPr>
        <w:ind w:left="7437" w:hanging="348"/>
      </w:pPr>
      <w:rPr>
        <w:rFonts w:hint="default"/>
        <w:lang w:val="en-GB" w:eastAsia="en-GB" w:bidi="en-GB"/>
      </w:rPr>
    </w:lvl>
    <w:lvl w:ilvl="8" w:tplc="1244F998">
      <w:numFmt w:val="bullet"/>
      <w:lvlText w:val="•"/>
      <w:lvlJc w:val="left"/>
      <w:pPr>
        <w:ind w:left="8391" w:hanging="348"/>
      </w:pPr>
      <w:rPr>
        <w:rFonts w:hint="default"/>
        <w:lang w:val="en-GB" w:eastAsia="en-GB" w:bidi="en-GB"/>
      </w:rPr>
    </w:lvl>
  </w:abstractNum>
  <w:abstractNum w:abstractNumId="8" w15:restartNumberingAfterBreak="0">
    <w:nsid w:val="7B147D6F"/>
    <w:multiLevelType w:val="hybridMultilevel"/>
    <w:tmpl w:val="B5F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E4D7F"/>
    <w:multiLevelType w:val="hybridMultilevel"/>
    <w:tmpl w:val="39C0CB3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16cid:durableId="1468087110">
    <w:abstractNumId w:val="5"/>
  </w:num>
  <w:num w:numId="2" w16cid:durableId="1074425583">
    <w:abstractNumId w:val="2"/>
  </w:num>
  <w:num w:numId="3" w16cid:durableId="968165110">
    <w:abstractNumId w:val="3"/>
  </w:num>
  <w:num w:numId="4" w16cid:durableId="219556979">
    <w:abstractNumId w:val="4"/>
  </w:num>
  <w:num w:numId="5" w16cid:durableId="273827085">
    <w:abstractNumId w:val="7"/>
  </w:num>
  <w:num w:numId="6" w16cid:durableId="126290124">
    <w:abstractNumId w:val="0"/>
  </w:num>
  <w:num w:numId="7" w16cid:durableId="1165170344">
    <w:abstractNumId w:val="9"/>
  </w:num>
  <w:num w:numId="8" w16cid:durableId="967777902">
    <w:abstractNumId w:val="6"/>
  </w:num>
  <w:num w:numId="9" w16cid:durableId="1476029166">
    <w:abstractNumId w:val="8"/>
  </w:num>
  <w:num w:numId="10" w16cid:durableId="14364437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icks Beverley">
    <w15:presenceInfo w15:providerId="AD" w15:userId="S::Beverley.Hendricks@haringey.gov.uk::bfbb37b5-47e9-4953-9ca8-72e7a13dde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C0"/>
    <w:rsid w:val="0011431B"/>
    <w:rsid w:val="00202ADD"/>
    <w:rsid w:val="00223557"/>
    <w:rsid w:val="00240D59"/>
    <w:rsid w:val="00247822"/>
    <w:rsid w:val="0029728C"/>
    <w:rsid w:val="002F4061"/>
    <w:rsid w:val="00305030"/>
    <w:rsid w:val="00357164"/>
    <w:rsid w:val="00360C35"/>
    <w:rsid w:val="00393F72"/>
    <w:rsid w:val="003D32A6"/>
    <w:rsid w:val="0043444F"/>
    <w:rsid w:val="004446C0"/>
    <w:rsid w:val="00486318"/>
    <w:rsid w:val="00487AFC"/>
    <w:rsid w:val="004F4266"/>
    <w:rsid w:val="004F4607"/>
    <w:rsid w:val="0051117D"/>
    <w:rsid w:val="00540094"/>
    <w:rsid w:val="005F7AE9"/>
    <w:rsid w:val="00601A1C"/>
    <w:rsid w:val="00613EE8"/>
    <w:rsid w:val="00623144"/>
    <w:rsid w:val="006907FF"/>
    <w:rsid w:val="006A200A"/>
    <w:rsid w:val="006A2D43"/>
    <w:rsid w:val="007845EA"/>
    <w:rsid w:val="007A3A7C"/>
    <w:rsid w:val="007C5778"/>
    <w:rsid w:val="00804624"/>
    <w:rsid w:val="00815C0F"/>
    <w:rsid w:val="00961F78"/>
    <w:rsid w:val="00A96E3E"/>
    <w:rsid w:val="00BB21AE"/>
    <w:rsid w:val="00BC5C3A"/>
    <w:rsid w:val="00C43701"/>
    <w:rsid w:val="00C521C9"/>
    <w:rsid w:val="00C571DE"/>
    <w:rsid w:val="00CC7443"/>
    <w:rsid w:val="00DA6922"/>
    <w:rsid w:val="00DC377D"/>
    <w:rsid w:val="00E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21EF"/>
  <w15:docId w15:val="{3FDB9D18-2199-45EA-8600-9B76A1E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81"/>
      <w:ind w:left="911" w:hanging="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spacing w:line="271" w:lineRule="exact"/>
    </w:pPr>
  </w:style>
  <w:style w:type="paragraph" w:styleId="Footer">
    <w:name w:val="footer"/>
    <w:basedOn w:val="Normal"/>
    <w:link w:val="FooterChar"/>
    <w:rsid w:val="00357164"/>
    <w:pPr>
      <w:widowControl/>
      <w:tabs>
        <w:tab w:val="center" w:pos="4153"/>
        <w:tab w:val="right" w:pos="8306"/>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357164"/>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F4266"/>
    <w:rPr>
      <w:sz w:val="16"/>
      <w:szCs w:val="16"/>
    </w:rPr>
  </w:style>
  <w:style w:type="paragraph" w:styleId="CommentText">
    <w:name w:val="annotation text"/>
    <w:basedOn w:val="Normal"/>
    <w:link w:val="CommentTextChar"/>
    <w:uiPriority w:val="99"/>
    <w:semiHidden/>
    <w:unhideWhenUsed/>
    <w:rsid w:val="004F4266"/>
    <w:rPr>
      <w:sz w:val="20"/>
      <w:szCs w:val="20"/>
    </w:rPr>
  </w:style>
  <w:style w:type="character" w:customStyle="1" w:styleId="CommentTextChar">
    <w:name w:val="Comment Text Char"/>
    <w:basedOn w:val="DefaultParagraphFont"/>
    <w:link w:val="CommentText"/>
    <w:uiPriority w:val="99"/>
    <w:semiHidden/>
    <w:rsid w:val="004F426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F4266"/>
    <w:rPr>
      <w:b/>
      <w:bCs/>
    </w:rPr>
  </w:style>
  <w:style w:type="character" w:customStyle="1" w:styleId="CommentSubjectChar">
    <w:name w:val="Comment Subject Char"/>
    <w:basedOn w:val="CommentTextChar"/>
    <w:link w:val="CommentSubject"/>
    <w:uiPriority w:val="99"/>
    <w:semiHidden/>
    <w:rsid w:val="004F4266"/>
    <w:rPr>
      <w:rFonts w:ascii="Arial" w:eastAsia="Arial" w:hAnsi="Arial" w:cs="Arial"/>
      <w:b/>
      <w:bCs/>
      <w:sz w:val="20"/>
      <w:szCs w:val="20"/>
      <w:lang w:val="en-GB" w:eastAsia="en-GB" w:bidi="en-GB"/>
    </w:rPr>
  </w:style>
  <w:style w:type="paragraph" w:styleId="Revision">
    <w:name w:val="Revision"/>
    <w:hidden/>
    <w:uiPriority w:val="99"/>
    <w:semiHidden/>
    <w:rsid w:val="007C5778"/>
    <w:pPr>
      <w:widowControl/>
      <w:autoSpaceDE/>
      <w:autoSpaceDN/>
    </w:pPr>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7C5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78"/>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601A1C"/>
    <w:pPr>
      <w:tabs>
        <w:tab w:val="center" w:pos="4513"/>
        <w:tab w:val="right" w:pos="9026"/>
      </w:tabs>
    </w:pPr>
  </w:style>
  <w:style w:type="character" w:customStyle="1" w:styleId="HeaderChar">
    <w:name w:val="Header Char"/>
    <w:basedOn w:val="DefaultParagraphFont"/>
    <w:link w:val="Header"/>
    <w:uiPriority w:val="99"/>
    <w:rsid w:val="00601A1C"/>
    <w:rPr>
      <w:rFonts w:ascii="Arial" w:eastAsia="Arial" w:hAnsi="Arial" w:cs="Arial"/>
      <w:lang w:val="en-GB" w:eastAsia="en-GB" w:bidi="en-GB"/>
    </w:rPr>
  </w:style>
  <w:style w:type="table" w:styleId="TableGrid">
    <w:name w:val="Table Grid"/>
    <w:basedOn w:val="TableNormal"/>
    <w:uiPriority w:val="39"/>
    <w:rsid w:val="0048631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2194">
      <w:bodyDiv w:val="1"/>
      <w:marLeft w:val="0"/>
      <w:marRight w:val="0"/>
      <w:marTop w:val="0"/>
      <w:marBottom w:val="0"/>
      <w:divBdr>
        <w:top w:val="none" w:sz="0" w:space="0" w:color="auto"/>
        <w:left w:val="none" w:sz="0" w:space="0" w:color="auto"/>
        <w:bottom w:val="none" w:sz="0" w:space="0" w:color="auto"/>
        <w:right w:val="none" w:sz="0" w:space="0" w:color="auto"/>
      </w:divBdr>
    </w:div>
    <w:div w:id="753669576">
      <w:bodyDiv w:val="1"/>
      <w:marLeft w:val="0"/>
      <w:marRight w:val="0"/>
      <w:marTop w:val="0"/>
      <w:marBottom w:val="0"/>
      <w:divBdr>
        <w:top w:val="none" w:sz="0" w:space="0" w:color="auto"/>
        <w:left w:val="none" w:sz="0" w:space="0" w:color="auto"/>
        <w:bottom w:val="none" w:sz="0" w:space="0" w:color="auto"/>
        <w:right w:val="none" w:sz="0" w:space="0" w:color="auto"/>
      </w:divBdr>
    </w:div>
    <w:div w:id="1899172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4E8B-5B10-465D-8CC7-6DAC8982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2548</Words>
  <Characters>14527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Sampaney Rachael</cp:lastModifiedBy>
  <cp:revision>2</cp:revision>
  <dcterms:created xsi:type="dcterms:W3CDTF">2022-07-22T15:35:00Z</dcterms:created>
  <dcterms:modified xsi:type="dcterms:W3CDTF">2022-07-22T15:35:00Z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Office Word 2007</vt:lpwstr>
  </property>
  <property fmtid="{D5CDD505-2E9C-101B-9397-08002B2CF9AE}" pid="4" name="LastSaved">
    <vt:filetime>2021-07-07T00:00:00Z</vt:filetime>
  </property>
</Properties>
</file>