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8BB" w14:textId="3B12EB6C" w:rsidR="003B1E50" w:rsidRPr="001372BD" w:rsidRDefault="00C03B75" w:rsidP="001372BD">
      <w:pPr>
        <w:jc w:val="center"/>
        <w:rPr>
          <w:rFonts w:cstheme="minorHAnsi"/>
          <w:color w:val="4F81BD" w:themeColor="accent1"/>
          <w:sz w:val="28"/>
          <w:szCs w:val="28"/>
        </w:rPr>
      </w:pPr>
      <w:r w:rsidRPr="001372BD">
        <w:rPr>
          <w:rFonts w:cstheme="minorHAnsi"/>
          <w:color w:val="4F81BD" w:themeColor="accent1"/>
          <w:sz w:val="28"/>
          <w:szCs w:val="28"/>
        </w:rPr>
        <w:t xml:space="preserve">Bristol City Council </w:t>
      </w:r>
      <w:r w:rsidR="00445C03" w:rsidRPr="001372BD">
        <w:rPr>
          <w:rFonts w:cstheme="minorHAnsi"/>
          <w:color w:val="4F81BD" w:themeColor="accent1"/>
          <w:sz w:val="28"/>
          <w:szCs w:val="28"/>
        </w:rPr>
        <w:t>Children and Families and Safer Communities</w:t>
      </w:r>
    </w:p>
    <w:p w14:paraId="4459D8C9" w14:textId="7D9458E0" w:rsidR="003B1E50" w:rsidRPr="001372BD" w:rsidRDefault="003B1E50" w:rsidP="6F1BB916">
      <w:pPr>
        <w:jc w:val="center"/>
        <w:rPr>
          <w:color w:val="4F81BD" w:themeColor="accent1"/>
          <w:sz w:val="28"/>
          <w:szCs w:val="28"/>
        </w:rPr>
      </w:pPr>
      <w:r w:rsidRPr="6F1BB916">
        <w:rPr>
          <w:color w:val="4F81BD" w:themeColor="accent1"/>
          <w:sz w:val="28"/>
          <w:szCs w:val="28"/>
        </w:rPr>
        <w:t>Practice Direction</w:t>
      </w:r>
      <w:r w:rsidR="00C635EF" w:rsidRPr="6F1BB916">
        <w:rPr>
          <w:color w:val="4F81BD" w:themeColor="accent1"/>
          <w:sz w:val="28"/>
          <w:szCs w:val="28"/>
        </w:rPr>
        <w:t xml:space="preserve"> </w:t>
      </w:r>
      <w:r w:rsidR="00445C03" w:rsidRPr="6F1BB916">
        <w:rPr>
          <w:color w:val="4F81BD" w:themeColor="accent1"/>
          <w:sz w:val="28"/>
          <w:szCs w:val="28"/>
        </w:rPr>
        <w:t xml:space="preserve">regarding </w:t>
      </w:r>
      <w:r w:rsidR="007C0EF8" w:rsidRPr="6F1BB916">
        <w:rPr>
          <w:color w:val="4F81BD" w:themeColor="accent1"/>
          <w:sz w:val="28"/>
          <w:szCs w:val="28"/>
        </w:rPr>
        <w:t xml:space="preserve">children placed in </w:t>
      </w:r>
      <w:r w:rsidR="004E69A0" w:rsidRPr="6F1BB916">
        <w:rPr>
          <w:color w:val="4F81BD" w:themeColor="accent1"/>
          <w:sz w:val="28"/>
          <w:szCs w:val="28"/>
        </w:rPr>
        <w:t xml:space="preserve">52-week Residential </w:t>
      </w:r>
      <w:r w:rsidR="1C3FE87E" w:rsidRPr="6F1BB916">
        <w:rPr>
          <w:color w:val="4F81BD" w:themeColor="accent1"/>
          <w:sz w:val="28"/>
          <w:szCs w:val="28"/>
        </w:rPr>
        <w:t>S</w:t>
      </w:r>
      <w:r w:rsidR="004E69A0" w:rsidRPr="6F1BB916">
        <w:rPr>
          <w:color w:val="4F81BD" w:themeColor="accent1"/>
          <w:sz w:val="28"/>
          <w:szCs w:val="28"/>
        </w:rPr>
        <w:t xml:space="preserve">chool </w:t>
      </w:r>
    </w:p>
    <w:p w14:paraId="1D5C02D1" w14:textId="032B3FAD" w:rsidR="00F63E39" w:rsidRPr="001372BD" w:rsidRDefault="00445C03" w:rsidP="6F1BB916">
      <w:pPr>
        <w:jc w:val="both"/>
        <w:rPr>
          <w:color w:val="00B0F0"/>
          <w:sz w:val="24"/>
          <w:szCs w:val="24"/>
        </w:rPr>
      </w:pPr>
      <w:r w:rsidRPr="6F1BB916">
        <w:rPr>
          <w:color w:val="00B0F0"/>
          <w:sz w:val="24"/>
          <w:szCs w:val="24"/>
        </w:rPr>
        <w:t xml:space="preserve">Practice Change:  To ensure </w:t>
      </w:r>
      <w:r w:rsidR="00B00081" w:rsidRPr="6F1BB916">
        <w:rPr>
          <w:color w:val="00B0F0"/>
          <w:sz w:val="24"/>
          <w:szCs w:val="24"/>
        </w:rPr>
        <w:t>children in</w:t>
      </w:r>
      <w:r w:rsidR="00BE6D59" w:rsidRPr="6F1BB916">
        <w:rPr>
          <w:color w:val="00B0F0"/>
          <w:sz w:val="24"/>
          <w:szCs w:val="24"/>
        </w:rPr>
        <w:t xml:space="preserve"> a</w:t>
      </w:r>
      <w:r w:rsidR="00B00081" w:rsidRPr="6F1BB916">
        <w:rPr>
          <w:color w:val="00B0F0"/>
          <w:sz w:val="24"/>
          <w:szCs w:val="24"/>
        </w:rPr>
        <w:t xml:space="preserve"> </w:t>
      </w:r>
      <w:r w:rsidR="0030660C" w:rsidRPr="6F1BB916">
        <w:rPr>
          <w:color w:val="00B0F0"/>
          <w:sz w:val="24"/>
          <w:szCs w:val="24"/>
        </w:rPr>
        <w:t>52</w:t>
      </w:r>
      <w:r w:rsidR="003F2B1C" w:rsidRPr="6F1BB916">
        <w:rPr>
          <w:color w:val="00B0F0"/>
          <w:sz w:val="24"/>
          <w:szCs w:val="24"/>
        </w:rPr>
        <w:t xml:space="preserve"> </w:t>
      </w:r>
      <w:r w:rsidR="0030660C" w:rsidRPr="6F1BB916">
        <w:rPr>
          <w:color w:val="00B0F0"/>
          <w:sz w:val="24"/>
          <w:szCs w:val="24"/>
        </w:rPr>
        <w:t>week</w:t>
      </w:r>
      <w:r w:rsidR="00B00081" w:rsidRPr="6F1BB916">
        <w:rPr>
          <w:color w:val="00B0F0"/>
          <w:sz w:val="24"/>
          <w:szCs w:val="24"/>
        </w:rPr>
        <w:t xml:space="preserve"> </w:t>
      </w:r>
      <w:r w:rsidR="0030660C" w:rsidRPr="6F1BB916">
        <w:rPr>
          <w:color w:val="00B0F0"/>
          <w:sz w:val="24"/>
          <w:szCs w:val="24"/>
        </w:rPr>
        <w:t>residential</w:t>
      </w:r>
      <w:r w:rsidR="00B00081" w:rsidRPr="6F1BB916">
        <w:rPr>
          <w:color w:val="00B0F0"/>
          <w:sz w:val="24"/>
          <w:szCs w:val="24"/>
        </w:rPr>
        <w:t xml:space="preserve"> </w:t>
      </w:r>
      <w:r w:rsidR="00B208D0" w:rsidRPr="6F1BB916">
        <w:rPr>
          <w:color w:val="00B0F0"/>
          <w:sz w:val="24"/>
          <w:szCs w:val="24"/>
        </w:rPr>
        <w:t>education provision</w:t>
      </w:r>
      <w:r w:rsidR="00B00081" w:rsidRPr="6F1BB916">
        <w:rPr>
          <w:color w:val="00B0F0"/>
          <w:sz w:val="24"/>
          <w:szCs w:val="24"/>
        </w:rPr>
        <w:t xml:space="preserve"> are receiving </w:t>
      </w:r>
      <w:r w:rsidR="0030660C" w:rsidRPr="6F1BB916">
        <w:rPr>
          <w:color w:val="00B0F0"/>
          <w:sz w:val="24"/>
          <w:szCs w:val="24"/>
        </w:rPr>
        <w:t>appropriate</w:t>
      </w:r>
      <w:r w:rsidR="004E69A0" w:rsidRPr="6F1BB916">
        <w:rPr>
          <w:color w:val="00B0F0"/>
          <w:sz w:val="24"/>
          <w:szCs w:val="24"/>
        </w:rPr>
        <w:t xml:space="preserve"> care and </w:t>
      </w:r>
      <w:r w:rsidR="00B00081" w:rsidRPr="6F1BB916">
        <w:rPr>
          <w:color w:val="00B0F0"/>
          <w:sz w:val="24"/>
          <w:szCs w:val="24"/>
        </w:rPr>
        <w:t>support</w:t>
      </w:r>
      <w:r w:rsidR="004E69A0" w:rsidRPr="6F1BB916">
        <w:rPr>
          <w:color w:val="00B0F0"/>
          <w:sz w:val="24"/>
          <w:szCs w:val="24"/>
        </w:rPr>
        <w:t xml:space="preserve"> from social care.</w:t>
      </w:r>
    </w:p>
    <w:p w14:paraId="7BBF2C04" w14:textId="44C5BC8C" w:rsidR="00283EF6" w:rsidRPr="001372BD" w:rsidRDefault="00283EF6" w:rsidP="6F1BB916">
      <w:pPr>
        <w:jc w:val="both"/>
        <w:rPr>
          <w:b/>
          <w:bCs/>
          <w:sz w:val="24"/>
          <w:szCs w:val="24"/>
        </w:rPr>
      </w:pPr>
      <w:r w:rsidRPr="6F1BB916">
        <w:rPr>
          <w:b/>
          <w:bCs/>
          <w:sz w:val="24"/>
          <w:szCs w:val="24"/>
        </w:rPr>
        <w:t xml:space="preserve">Children in </w:t>
      </w:r>
      <w:r w:rsidR="0030660C" w:rsidRPr="6F1BB916">
        <w:rPr>
          <w:b/>
          <w:bCs/>
          <w:sz w:val="24"/>
          <w:szCs w:val="24"/>
        </w:rPr>
        <w:t>52-week</w:t>
      </w:r>
      <w:r w:rsidR="00B00081" w:rsidRPr="6F1BB916">
        <w:rPr>
          <w:b/>
          <w:bCs/>
          <w:sz w:val="24"/>
          <w:szCs w:val="24"/>
        </w:rPr>
        <w:t xml:space="preserve"> educational </w:t>
      </w:r>
      <w:r w:rsidRPr="6F1BB916">
        <w:rPr>
          <w:b/>
          <w:bCs/>
          <w:sz w:val="24"/>
          <w:szCs w:val="24"/>
        </w:rPr>
        <w:t>provision</w:t>
      </w:r>
    </w:p>
    <w:p w14:paraId="7008A0D1" w14:textId="38B1762D" w:rsidR="00283EF6" w:rsidRPr="001372BD" w:rsidRDefault="00283EF6" w:rsidP="6F1BB916">
      <w:pPr>
        <w:jc w:val="both"/>
        <w:rPr>
          <w:sz w:val="24"/>
          <w:szCs w:val="24"/>
        </w:rPr>
      </w:pPr>
      <w:r w:rsidRPr="6F1BB916">
        <w:rPr>
          <w:sz w:val="24"/>
          <w:szCs w:val="24"/>
        </w:rPr>
        <w:t>This Practice Direction is to provi</w:t>
      </w:r>
      <w:r w:rsidR="00DD104F" w:rsidRPr="6F1BB916">
        <w:rPr>
          <w:sz w:val="24"/>
          <w:szCs w:val="24"/>
        </w:rPr>
        <w:t>de clarity</w:t>
      </w:r>
      <w:r w:rsidRPr="6F1BB916">
        <w:rPr>
          <w:sz w:val="24"/>
          <w:szCs w:val="24"/>
        </w:rPr>
        <w:t xml:space="preserve"> where </w:t>
      </w:r>
      <w:r w:rsidR="00B00081" w:rsidRPr="6F1BB916">
        <w:rPr>
          <w:sz w:val="24"/>
          <w:szCs w:val="24"/>
        </w:rPr>
        <w:t>children’s rights to care a</w:t>
      </w:r>
      <w:r w:rsidR="004E69A0" w:rsidRPr="6F1BB916">
        <w:rPr>
          <w:sz w:val="24"/>
          <w:szCs w:val="24"/>
        </w:rPr>
        <w:t xml:space="preserve">nd </w:t>
      </w:r>
      <w:r w:rsidR="00B00081" w:rsidRPr="6F1BB916">
        <w:rPr>
          <w:sz w:val="24"/>
          <w:szCs w:val="24"/>
        </w:rPr>
        <w:t>support are central the planning</w:t>
      </w:r>
      <w:r w:rsidR="00DD104F" w:rsidRPr="6F1BB916">
        <w:rPr>
          <w:sz w:val="24"/>
          <w:szCs w:val="24"/>
        </w:rPr>
        <w:t xml:space="preserve"> when children are living in a </w:t>
      </w:r>
      <w:r w:rsidR="00BE6D59" w:rsidRPr="6F1BB916">
        <w:rPr>
          <w:sz w:val="24"/>
          <w:szCs w:val="24"/>
        </w:rPr>
        <w:t>52</w:t>
      </w:r>
      <w:r w:rsidR="4711CADC" w:rsidRPr="6F1BB916">
        <w:rPr>
          <w:sz w:val="24"/>
          <w:szCs w:val="24"/>
        </w:rPr>
        <w:t>-</w:t>
      </w:r>
      <w:r w:rsidR="00BE6D59" w:rsidRPr="6F1BB916">
        <w:rPr>
          <w:sz w:val="24"/>
          <w:szCs w:val="24"/>
        </w:rPr>
        <w:t>week residential</w:t>
      </w:r>
      <w:r w:rsidR="00DD104F" w:rsidRPr="6F1BB916">
        <w:rPr>
          <w:sz w:val="24"/>
          <w:szCs w:val="24"/>
        </w:rPr>
        <w:t xml:space="preserve"> </w:t>
      </w:r>
      <w:r w:rsidR="00BE6D59" w:rsidRPr="6F1BB916">
        <w:rPr>
          <w:sz w:val="24"/>
          <w:szCs w:val="24"/>
        </w:rPr>
        <w:t>education</w:t>
      </w:r>
      <w:r w:rsidR="00DD104F" w:rsidRPr="6F1BB916">
        <w:rPr>
          <w:sz w:val="24"/>
          <w:szCs w:val="24"/>
        </w:rPr>
        <w:t xml:space="preserve"> provision.</w:t>
      </w:r>
      <w:r w:rsidR="004563BE" w:rsidRPr="6F1BB916">
        <w:rPr>
          <w:sz w:val="24"/>
          <w:szCs w:val="24"/>
        </w:rPr>
        <w:t xml:space="preserve"> </w:t>
      </w:r>
    </w:p>
    <w:p w14:paraId="05589296" w14:textId="5FFB8E7F" w:rsidR="00B00081" w:rsidRPr="001372BD" w:rsidRDefault="00283EF6" w:rsidP="6F1BB916">
      <w:pPr>
        <w:jc w:val="both"/>
        <w:rPr>
          <w:sz w:val="24"/>
          <w:szCs w:val="24"/>
        </w:rPr>
      </w:pPr>
      <w:r w:rsidRPr="6F1BB916">
        <w:rPr>
          <w:sz w:val="24"/>
          <w:szCs w:val="24"/>
        </w:rPr>
        <w:t xml:space="preserve">Bristol City Council want our children in </w:t>
      </w:r>
      <w:r w:rsidR="0030660C" w:rsidRPr="6F1BB916">
        <w:rPr>
          <w:sz w:val="24"/>
          <w:szCs w:val="24"/>
        </w:rPr>
        <w:t>residential</w:t>
      </w:r>
      <w:r w:rsidR="0083221E" w:rsidRPr="6F1BB916">
        <w:rPr>
          <w:sz w:val="24"/>
          <w:szCs w:val="24"/>
        </w:rPr>
        <w:t xml:space="preserve"> </w:t>
      </w:r>
      <w:r w:rsidR="00B00081" w:rsidRPr="6F1BB916">
        <w:rPr>
          <w:sz w:val="24"/>
          <w:szCs w:val="24"/>
        </w:rPr>
        <w:t xml:space="preserve">educational provision </w:t>
      </w:r>
      <w:r w:rsidRPr="6F1BB916">
        <w:rPr>
          <w:sz w:val="24"/>
          <w:szCs w:val="24"/>
        </w:rPr>
        <w:t xml:space="preserve">to be cared for in the best </w:t>
      </w:r>
      <w:r w:rsidR="004E69A0" w:rsidRPr="6F1BB916">
        <w:rPr>
          <w:sz w:val="24"/>
          <w:szCs w:val="24"/>
        </w:rPr>
        <w:t xml:space="preserve">quality </w:t>
      </w:r>
      <w:r w:rsidRPr="6F1BB916">
        <w:rPr>
          <w:sz w:val="24"/>
          <w:szCs w:val="24"/>
        </w:rPr>
        <w:t xml:space="preserve">provision that is assessed to meet their needs. </w:t>
      </w:r>
    </w:p>
    <w:p w14:paraId="69177AEE" w14:textId="6F54A4DB" w:rsidR="00F63E39" w:rsidRPr="001372BD" w:rsidRDefault="00ED5758" w:rsidP="6F1BB916">
      <w:pPr>
        <w:jc w:val="both"/>
        <w:rPr>
          <w:b/>
          <w:bCs/>
          <w:sz w:val="24"/>
          <w:szCs w:val="24"/>
        </w:rPr>
      </w:pPr>
      <w:r w:rsidRPr="6F1BB916">
        <w:rPr>
          <w:b/>
          <w:bCs/>
          <w:sz w:val="24"/>
          <w:szCs w:val="24"/>
        </w:rPr>
        <w:t>Considerations to be taken into account when placing a child in a long</w:t>
      </w:r>
      <w:r w:rsidR="3B620240" w:rsidRPr="6F1BB916">
        <w:rPr>
          <w:b/>
          <w:bCs/>
          <w:sz w:val="24"/>
          <w:szCs w:val="24"/>
        </w:rPr>
        <w:t>-</w:t>
      </w:r>
      <w:r w:rsidRPr="6F1BB916">
        <w:rPr>
          <w:b/>
          <w:bCs/>
          <w:sz w:val="24"/>
          <w:szCs w:val="24"/>
        </w:rPr>
        <w:t>term residential educa</w:t>
      </w:r>
      <w:r w:rsidR="7A353779" w:rsidRPr="6F1BB916">
        <w:rPr>
          <w:b/>
          <w:bCs/>
          <w:sz w:val="24"/>
          <w:szCs w:val="24"/>
        </w:rPr>
        <w:t>ti</w:t>
      </w:r>
      <w:r w:rsidRPr="6F1BB916">
        <w:rPr>
          <w:b/>
          <w:bCs/>
          <w:sz w:val="24"/>
          <w:szCs w:val="24"/>
        </w:rPr>
        <w:t>on setting</w:t>
      </w:r>
    </w:p>
    <w:p w14:paraId="53B560C3"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Children and young people who spend long periods of time living away from home in residential settings are a vulnerable group. They can be vulnerable to abuse, experience a range of poor outcomes and dwindling contact with their families. The likely impact of a placement in long term residential care away from home on children and young people and their families should be an important consideration when making a placement. The local authority or health body making the placement should look to make the placement close to home where possible.</w:t>
      </w:r>
    </w:p>
    <w:p w14:paraId="4C2CF393" w14:textId="39C95556"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704DFBE4"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The Children and Families Act 2014 built on measures provided in the Children Act 2004 by requiring local authorities and health commissioning bodies to make joint commissioning arrangements for education, health and social care provision for children and young people with special educational needs and disabilities. Local authorities are also required to integrate education, health care and social care provision where they consider it would promote the wellbeing of such children and young people.</w:t>
      </w:r>
    </w:p>
    <w:p w14:paraId="642F4EB9" w14:textId="7365613A"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7AC55EF9"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Local authority staff responsible for services for children in need under the Children Act 1989, should be involved in making decisions about residential placements which are being considered by education and/or health colleagues.</w:t>
      </w:r>
    </w:p>
    <w:p w14:paraId="13416FB9" w14:textId="3A4D6D38"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00D96E1F"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lastRenderedPageBreak/>
        <w:t>When arranging a residential placement, the accommodating authority should have regard to:</w:t>
      </w:r>
    </w:p>
    <w:p w14:paraId="306251E3" w14:textId="77777777" w:rsidR="00EF0C34" w:rsidRPr="001372BD" w:rsidRDefault="00EF0C34" w:rsidP="6F1BB916">
      <w:pPr>
        <w:numPr>
          <w:ilvl w:val="0"/>
          <w:numId w:val="19"/>
        </w:numPr>
        <w:shd w:val="clear" w:color="auto" w:fill="FFFFFF" w:themeFill="background1"/>
        <w:spacing w:before="192" w:after="192"/>
        <w:jc w:val="both"/>
        <w:rPr>
          <w:sz w:val="24"/>
          <w:szCs w:val="24"/>
        </w:rPr>
      </w:pPr>
      <w:r w:rsidRPr="6F1BB916">
        <w:rPr>
          <w:sz w:val="24"/>
          <w:szCs w:val="24"/>
        </w:rPr>
        <w:t>The views, wishes and feelings of the child or young person and their family. This should have regard to the child's maturity and their capacity to consent and the nature of the decision being sought;</w:t>
      </w:r>
    </w:p>
    <w:p w14:paraId="46EC34E7" w14:textId="77777777" w:rsidR="00EF0C34" w:rsidRPr="001372BD" w:rsidRDefault="00EF0C34" w:rsidP="6F1BB916">
      <w:pPr>
        <w:numPr>
          <w:ilvl w:val="0"/>
          <w:numId w:val="19"/>
        </w:numPr>
        <w:shd w:val="clear" w:color="auto" w:fill="FFFFFF" w:themeFill="background1"/>
        <w:spacing w:before="192" w:after="192"/>
        <w:jc w:val="both"/>
        <w:rPr>
          <w:sz w:val="24"/>
          <w:szCs w:val="24"/>
        </w:rPr>
      </w:pPr>
      <w:r w:rsidRPr="6F1BB916">
        <w:rPr>
          <w:sz w:val="24"/>
          <w:szCs w:val="24"/>
        </w:rPr>
        <w:t>Ensuring the child or young person and their family are provided with impartial information and support so that they can be as fully involved as possible in making decisions about the child or young person's future accommodation;</w:t>
      </w:r>
    </w:p>
    <w:p w14:paraId="6EB6532D" w14:textId="77777777" w:rsidR="00EF0C34" w:rsidRPr="001372BD" w:rsidRDefault="00EF0C34" w:rsidP="6F1BB916">
      <w:pPr>
        <w:numPr>
          <w:ilvl w:val="0"/>
          <w:numId w:val="19"/>
        </w:numPr>
        <w:shd w:val="clear" w:color="auto" w:fill="FFFFFF" w:themeFill="background1"/>
        <w:spacing w:before="192" w:after="192"/>
        <w:jc w:val="both"/>
        <w:rPr>
          <w:sz w:val="24"/>
          <w:szCs w:val="24"/>
        </w:rPr>
      </w:pPr>
      <w:r w:rsidRPr="6F1BB916">
        <w:rPr>
          <w:sz w:val="24"/>
          <w:szCs w:val="24"/>
        </w:rPr>
        <w:t>Recognising that some disabled children and young people, such as those who have learning disabilities and/or are on the autism spectrum, may need support to help them understand the issues involved in relation to placements;</w:t>
      </w:r>
    </w:p>
    <w:p w14:paraId="63A1D1FE" w14:textId="77777777" w:rsidR="00EF0C34" w:rsidRPr="001372BD" w:rsidRDefault="00EF0C34" w:rsidP="6F1BB916">
      <w:pPr>
        <w:numPr>
          <w:ilvl w:val="0"/>
          <w:numId w:val="19"/>
        </w:numPr>
        <w:shd w:val="clear" w:color="auto" w:fill="FFFFFF" w:themeFill="background1"/>
        <w:spacing w:before="192" w:after="192"/>
        <w:jc w:val="both"/>
        <w:rPr>
          <w:sz w:val="24"/>
          <w:szCs w:val="24"/>
        </w:rPr>
      </w:pPr>
      <w:r w:rsidRPr="6F1BB916">
        <w:rPr>
          <w:sz w:val="24"/>
          <w:szCs w:val="24"/>
        </w:rPr>
        <w:t>Identify children and young people who may need support in communicating their wishes and feelings. This will depend on their individual needs and could include use of alternative and augmentative communication, British Sign Language Interpreters, and advocates, etc.</w:t>
      </w:r>
    </w:p>
    <w:p w14:paraId="5201E5CC"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Many children who are likely to require residential placements for consecutive periods of more than 3 months will have had a holistic, multi-agency assessment or review of their needs – such as an Education, Health and Care (EHC) (for those who have special educational needs), or a Care and Treatment Review.</w:t>
      </w:r>
    </w:p>
    <w:p w14:paraId="497DCDEB" w14:textId="204731AF"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2DD9ABDC" w14:textId="777777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There may be exceptions to this where, for example, children or young people are admitted to learning disability hospitals or Assessment and Treatment Units quickly because of urgent mental health needs.</w:t>
      </w:r>
    </w:p>
    <w:p w14:paraId="3204B306" w14:textId="6E10A6A2"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12A2EE37" w14:textId="6A12AE09"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Where this is the case, such a multi-agency assessment must be undertaken as a matter of urgency.</w:t>
      </w:r>
    </w:p>
    <w:p w14:paraId="1C5C74A1" w14:textId="4950D750" w:rsidR="6F1BB916" w:rsidRDefault="6F1BB916" w:rsidP="6F1BB916">
      <w:pPr>
        <w:pStyle w:val="NormalWeb"/>
        <w:shd w:val="clear" w:color="auto" w:fill="FFFFFF" w:themeFill="background1"/>
        <w:spacing w:line="276" w:lineRule="auto"/>
        <w:jc w:val="both"/>
        <w:rPr>
          <w:rFonts w:asciiTheme="minorHAnsi" w:hAnsiTheme="minorHAnsi" w:cstheme="minorBidi"/>
          <w:b/>
          <w:bCs/>
        </w:rPr>
      </w:pPr>
    </w:p>
    <w:p w14:paraId="69AB76AB" w14:textId="43F112E7" w:rsidR="00ED5758" w:rsidRPr="001372BD" w:rsidRDefault="00ED5758" w:rsidP="6F1BB916">
      <w:pPr>
        <w:pStyle w:val="NormalWeb"/>
        <w:shd w:val="clear" w:color="auto" w:fill="FFFFFF" w:themeFill="background1"/>
        <w:spacing w:line="276" w:lineRule="auto"/>
        <w:jc w:val="both"/>
        <w:rPr>
          <w:rFonts w:asciiTheme="minorHAnsi" w:hAnsiTheme="minorHAnsi" w:cstheme="minorBidi"/>
          <w:b/>
          <w:bCs/>
        </w:rPr>
      </w:pPr>
      <w:r w:rsidRPr="6F1BB916">
        <w:rPr>
          <w:rFonts w:asciiTheme="minorHAnsi" w:hAnsiTheme="minorHAnsi" w:cstheme="minorBidi"/>
          <w:b/>
          <w:bCs/>
        </w:rPr>
        <w:t>Determining the Child’s Status: Child in Need or Looked After</w:t>
      </w:r>
    </w:p>
    <w:p w14:paraId="6D7E79F6" w14:textId="46894C12"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0EA67CB3" w14:textId="7739E53A" w:rsidR="00EF0C34" w:rsidRPr="001372BD" w:rsidRDefault="00A16622"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 xml:space="preserve">Where </w:t>
      </w:r>
      <w:r w:rsidR="00EF0C34" w:rsidRPr="6F1BB916">
        <w:rPr>
          <w:rFonts w:asciiTheme="minorHAnsi" w:hAnsiTheme="minorHAnsi" w:cstheme="minorBidi"/>
        </w:rPr>
        <w:t xml:space="preserve">a child is placed away from their parents for </w:t>
      </w:r>
      <w:r w:rsidR="00ED5758" w:rsidRPr="6F1BB916">
        <w:rPr>
          <w:rFonts w:asciiTheme="minorHAnsi" w:hAnsiTheme="minorHAnsi" w:cstheme="minorBidi"/>
        </w:rPr>
        <w:t xml:space="preserve">extended periods </w:t>
      </w:r>
      <w:r w:rsidR="00EF0C34" w:rsidRPr="6F1BB916">
        <w:rPr>
          <w:rFonts w:asciiTheme="minorHAnsi" w:hAnsiTheme="minorHAnsi" w:cstheme="minorBidi"/>
        </w:rPr>
        <w:t>it should be considered whether the child should become looked after within the meaning of the Children Act 1989, particularly Section 20 of the Act.</w:t>
      </w:r>
      <w:r w:rsidR="001372BD" w:rsidRPr="6F1BB916">
        <w:rPr>
          <w:rFonts w:asciiTheme="minorHAnsi" w:hAnsiTheme="minorHAnsi" w:cstheme="minorBidi"/>
        </w:rPr>
        <w:t xml:space="preserve"> While this practice direction focuses on children in 52</w:t>
      </w:r>
      <w:r w:rsidR="19E192C0" w:rsidRPr="6F1BB916">
        <w:rPr>
          <w:rFonts w:asciiTheme="minorHAnsi" w:hAnsiTheme="minorHAnsi" w:cstheme="minorBidi"/>
        </w:rPr>
        <w:t>-</w:t>
      </w:r>
      <w:r w:rsidR="001372BD" w:rsidRPr="6F1BB916">
        <w:rPr>
          <w:rFonts w:asciiTheme="minorHAnsi" w:hAnsiTheme="minorHAnsi" w:cstheme="minorBidi"/>
        </w:rPr>
        <w:t>week residential educational placements practitioners should be considering the most appropriate status for any child who is placed in</w:t>
      </w:r>
      <w:r w:rsidR="00487D0F" w:rsidRPr="6F1BB916">
        <w:rPr>
          <w:rFonts w:asciiTheme="minorHAnsi" w:hAnsiTheme="minorHAnsi" w:cstheme="minorBidi"/>
        </w:rPr>
        <w:t xml:space="preserve"> long-term</w:t>
      </w:r>
      <w:r w:rsidR="001372BD" w:rsidRPr="6F1BB916">
        <w:rPr>
          <w:rFonts w:asciiTheme="minorHAnsi" w:hAnsiTheme="minorHAnsi" w:cstheme="minorBidi"/>
        </w:rPr>
        <w:t xml:space="preserve"> residential </w:t>
      </w:r>
      <w:r w:rsidR="00487D0F" w:rsidRPr="6F1BB916">
        <w:rPr>
          <w:rFonts w:asciiTheme="minorHAnsi" w:hAnsiTheme="minorHAnsi" w:cstheme="minorBidi"/>
        </w:rPr>
        <w:t>educational settings.</w:t>
      </w:r>
    </w:p>
    <w:p w14:paraId="38F36C39" w14:textId="3F844BB7"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240AA084" w14:textId="6AA9EF77" w:rsidR="00EF0C34" w:rsidRPr="001372BD" w:rsidRDefault="00EF0C34"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 xml:space="preserve">This decision is a judgment that can only be made after a Single Assessment has been undertaken by a social worker which has included the views of the parents, and others who have parental responsibility, together with the wishes of the child. The full facts and implications of consent should be fully discussed with the parents, and those </w:t>
      </w:r>
      <w:r w:rsidR="00ED7E48" w:rsidRPr="6F1BB916">
        <w:rPr>
          <w:rFonts w:asciiTheme="minorHAnsi" w:hAnsiTheme="minorHAnsi" w:cstheme="minorBidi"/>
        </w:rPr>
        <w:t xml:space="preserve">parental </w:t>
      </w:r>
      <w:r w:rsidRPr="6F1BB916">
        <w:rPr>
          <w:rFonts w:asciiTheme="minorHAnsi" w:hAnsiTheme="minorHAnsi" w:cstheme="minorBidi"/>
        </w:rPr>
        <w:t>with responsibility</w:t>
      </w:r>
      <w:r w:rsidR="00ED5758" w:rsidRPr="6F1BB916">
        <w:rPr>
          <w:rFonts w:asciiTheme="minorHAnsi" w:hAnsiTheme="minorHAnsi" w:cstheme="minorBidi"/>
        </w:rPr>
        <w:t>.</w:t>
      </w:r>
    </w:p>
    <w:p w14:paraId="66BF60C4" w14:textId="510686F9" w:rsidR="6F1BB916" w:rsidRDefault="6F1BB916" w:rsidP="6F1BB916">
      <w:pPr>
        <w:pStyle w:val="NormalWeb"/>
        <w:shd w:val="clear" w:color="auto" w:fill="FFFFFF" w:themeFill="background1"/>
        <w:spacing w:line="276" w:lineRule="auto"/>
        <w:jc w:val="both"/>
        <w:rPr>
          <w:rFonts w:asciiTheme="minorHAnsi" w:hAnsiTheme="minorHAnsi" w:cstheme="minorBidi"/>
          <w:b/>
          <w:bCs/>
        </w:rPr>
      </w:pPr>
    </w:p>
    <w:p w14:paraId="17AF997B" w14:textId="4C94D082" w:rsidR="00ED7E48" w:rsidRPr="001372BD" w:rsidRDefault="00ED7E48" w:rsidP="6F1BB916">
      <w:pPr>
        <w:pStyle w:val="NormalWeb"/>
        <w:shd w:val="clear" w:color="auto" w:fill="FFFFFF" w:themeFill="background1"/>
        <w:spacing w:line="276" w:lineRule="auto"/>
        <w:jc w:val="both"/>
        <w:rPr>
          <w:rFonts w:asciiTheme="minorHAnsi" w:hAnsiTheme="minorHAnsi" w:cstheme="minorBidi"/>
          <w:b/>
          <w:bCs/>
        </w:rPr>
      </w:pPr>
      <w:r w:rsidRPr="6F1BB916">
        <w:rPr>
          <w:rFonts w:asciiTheme="minorHAnsi" w:hAnsiTheme="minorHAnsi" w:cstheme="minorBidi"/>
          <w:b/>
          <w:bCs/>
        </w:rPr>
        <w:t>The Child and Family Assessment Process</w:t>
      </w:r>
    </w:p>
    <w:p w14:paraId="3F80C8EA" w14:textId="4E3D16F8"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6EF65533" w14:textId="77777777" w:rsidR="00ED7E48" w:rsidRPr="001372BD" w:rsidRDefault="00ED7E48"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When considering if a child should become looked after t</w:t>
      </w:r>
      <w:r w:rsidR="00A16622" w:rsidRPr="6F1BB916">
        <w:rPr>
          <w:rFonts w:asciiTheme="minorHAnsi" w:hAnsiTheme="minorHAnsi" w:cstheme="minorBidi"/>
        </w:rPr>
        <w:t xml:space="preserve">he key question to ask is how to promote and safeguard the welfare of the child most effectively. The assessment, planning and review processes for children in need may be appropriate or the additional requirements for looked after children may be more appropriate, depending on the circumstances of the child and family. </w:t>
      </w:r>
    </w:p>
    <w:p w14:paraId="1AD24603" w14:textId="666A019E"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7102C232" w14:textId="77777777" w:rsidR="00ED7E48" w:rsidRPr="001372BD" w:rsidRDefault="00A16622" w:rsidP="6F1BB916">
      <w:pPr>
        <w:pStyle w:val="NormalWeb"/>
        <w:shd w:val="clear" w:color="auto" w:fill="FFFFFF" w:themeFill="background1"/>
        <w:spacing w:line="276" w:lineRule="auto"/>
        <w:jc w:val="both"/>
        <w:rPr>
          <w:rFonts w:asciiTheme="minorHAnsi" w:hAnsiTheme="minorHAnsi" w:cstheme="minorBidi"/>
        </w:rPr>
      </w:pPr>
      <w:r w:rsidRPr="6F1BB916">
        <w:rPr>
          <w:rFonts w:asciiTheme="minorHAnsi" w:hAnsiTheme="minorHAnsi" w:cstheme="minorBidi"/>
        </w:rPr>
        <w:t>Before making, and when reviewing, a decision about whether to provide accommodation under section 17</w:t>
      </w:r>
      <w:r w:rsidR="00ED7E48" w:rsidRPr="6F1BB916">
        <w:rPr>
          <w:rFonts w:asciiTheme="minorHAnsi" w:hAnsiTheme="minorHAnsi" w:cstheme="minorBidi"/>
        </w:rPr>
        <w:t xml:space="preserve"> </w:t>
      </w:r>
      <w:r w:rsidRPr="6F1BB916">
        <w:rPr>
          <w:rFonts w:asciiTheme="minorHAnsi" w:hAnsiTheme="minorHAnsi" w:cstheme="minorBidi"/>
        </w:rPr>
        <w:t>or section 20</w:t>
      </w:r>
      <w:r w:rsidR="00ED7E48" w:rsidRPr="6F1BB916">
        <w:rPr>
          <w:rFonts w:asciiTheme="minorHAnsi" w:hAnsiTheme="minorHAnsi" w:cstheme="minorBidi"/>
        </w:rPr>
        <w:t xml:space="preserve"> </w:t>
      </w:r>
      <w:r w:rsidRPr="6F1BB916">
        <w:rPr>
          <w:rFonts w:asciiTheme="minorHAnsi" w:hAnsiTheme="minorHAnsi" w:cstheme="minorBidi"/>
        </w:rPr>
        <w:t xml:space="preserve">there should be a careful assessment of the child’s and family’s needs that addresses the following considerations: </w:t>
      </w:r>
    </w:p>
    <w:p w14:paraId="1181A4E4" w14:textId="2119E3E9" w:rsidR="6F1BB916" w:rsidRDefault="6F1BB916" w:rsidP="6F1BB916">
      <w:pPr>
        <w:pStyle w:val="NormalWeb"/>
        <w:shd w:val="clear" w:color="auto" w:fill="FFFFFF" w:themeFill="background1"/>
        <w:spacing w:line="276" w:lineRule="auto"/>
        <w:jc w:val="both"/>
        <w:rPr>
          <w:rFonts w:asciiTheme="minorHAnsi" w:hAnsiTheme="minorHAnsi" w:cstheme="minorBidi"/>
        </w:rPr>
      </w:pPr>
    </w:p>
    <w:p w14:paraId="3F1851F0" w14:textId="3E47999F" w:rsidR="00C62DA6"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particular vulnerabilities of the child, including communication method;</w:t>
      </w:r>
    </w:p>
    <w:p w14:paraId="5F161334" w14:textId="7262FE5D" w:rsidR="00C62DA6" w:rsidRDefault="00C62DA6"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whether a child is being deprived of their liberty;</w:t>
      </w:r>
    </w:p>
    <w:p w14:paraId="31015590" w14:textId="47FD28BC"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parenting capacity of the parents within their family and environmental context;</w:t>
      </w:r>
    </w:p>
    <w:p w14:paraId="09FCF850" w14:textId="60ED4579"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 xml:space="preserve">the length of time away from home and the frequency of such stays – the less time the child spends away from home the more likely it is to be appropriate to provide accommodation under section 17(6); </w:t>
      </w:r>
    </w:p>
    <w:p w14:paraId="1FA97881" w14:textId="464AB687"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 xml:space="preserve">potential impact on the child’s place in the family and on primary attachments; </w:t>
      </w:r>
    </w:p>
    <w:p w14:paraId="38218557" w14:textId="58D9A260"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 xml:space="preserve">observation of the child (especially children who do not communicate verbally) during or immediately after the break by a person familiar with the mood and behaviour of the child (for example the parent or school staff); </w:t>
      </w:r>
    </w:p>
    <w:p w14:paraId="62CB9825" w14:textId="1FE10B89"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 xml:space="preserve">views of the child and views of parents – some children and parents may be reassured by and in favour of the status of a looked after child, while others may resent the implications and associations of looked after status; </w:t>
      </w:r>
    </w:p>
    <w:p w14:paraId="4929E954" w14:textId="1F1D128D" w:rsidR="00ED7E48"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 xml:space="preserve">extent of contact between carers and family and between child and family during the placement; </w:t>
      </w:r>
    </w:p>
    <w:p w14:paraId="6B071708" w14:textId="6D805783" w:rsidR="00A16622" w:rsidRPr="001372BD" w:rsidRDefault="00A16622" w:rsidP="6F1BB916">
      <w:pPr>
        <w:pStyle w:val="NormalWeb"/>
        <w:numPr>
          <w:ilvl w:val="0"/>
          <w:numId w:val="1"/>
        </w:numPr>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distance from home</w:t>
      </w:r>
      <w:r w:rsidR="00ED7E48" w:rsidRPr="6F1BB916">
        <w:rPr>
          <w:rFonts w:asciiTheme="minorHAnsi" w:hAnsiTheme="minorHAnsi" w:cstheme="minorBidi"/>
        </w:rPr>
        <w:t>.</w:t>
      </w:r>
    </w:p>
    <w:p w14:paraId="78A61073" w14:textId="28FB52AD" w:rsidR="6F1BB916" w:rsidRDefault="6F1BB916" w:rsidP="6F1BB916">
      <w:pPr>
        <w:pStyle w:val="NormalWeb"/>
        <w:shd w:val="clear" w:color="auto" w:fill="FFFFFF" w:themeFill="background1"/>
        <w:spacing w:after="0" w:afterAutospacing="0" w:line="276" w:lineRule="auto"/>
        <w:jc w:val="both"/>
        <w:rPr>
          <w:rFonts w:asciiTheme="minorHAnsi" w:hAnsiTheme="minorHAnsi" w:cstheme="minorBidi"/>
        </w:rPr>
      </w:pPr>
    </w:p>
    <w:p w14:paraId="4FCCAF66" w14:textId="583F0D18" w:rsidR="001372BD" w:rsidRDefault="00ED7E48" w:rsidP="6F1BB916">
      <w:pPr>
        <w:pStyle w:val="NormalWeb"/>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In cases of 52</w:t>
      </w:r>
      <w:r w:rsidR="36C5312E" w:rsidRPr="6F1BB916">
        <w:rPr>
          <w:rFonts w:asciiTheme="minorHAnsi" w:hAnsiTheme="minorHAnsi" w:cstheme="minorBidi"/>
        </w:rPr>
        <w:t>-</w:t>
      </w:r>
      <w:r w:rsidRPr="6F1BB916">
        <w:rPr>
          <w:rFonts w:asciiTheme="minorHAnsi" w:hAnsiTheme="minorHAnsi" w:cstheme="minorBidi"/>
        </w:rPr>
        <w:t>week placements the</w:t>
      </w:r>
      <w:r w:rsidR="00ED5758" w:rsidRPr="6F1BB916">
        <w:rPr>
          <w:rFonts w:asciiTheme="minorHAnsi" w:hAnsiTheme="minorHAnsi" w:cstheme="minorBidi"/>
        </w:rPr>
        <w:t xml:space="preserve"> significant</w:t>
      </w:r>
      <w:r w:rsidRPr="6F1BB916">
        <w:rPr>
          <w:rFonts w:asciiTheme="minorHAnsi" w:hAnsiTheme="minorHAnsi" w:cstheme="minorBidi"/>
        </w:rPr>
        <w:t xml:space="preserve"> majority of children should be brought into the care of the local authority to enable us to adequately safeguard and ensure the needs of the child. </w:t>
      </w:r>
    </w:p>
    <w:p w14:paraId="24497792" w14:textId="62AA83D7" w:rsidR="001372BD" w:rsidRDefault="001372BD" w:rsidP="6F1BB916">
      <w:pPr>
        <w:pStyle w:val="NormalWeb"/>
        <w:shd w:val="clear" w:color="auto" w:fill="FFFFFF" w:themeFill="background1"/>
        <w:spacing w:after="0" w:afterAutospacing="0" w:line="276" w:lineRule="auto"/>
        <w:jc w:val="both"/>
        <w:rPr>
          <w:rFonts w:asciiTheme="minorHAnsi" w:hAnsiTheme="minorHAnsi" w:cstheme="minorBidi"/>
        </w:rPr>
      </w:pPr>
    </w:p>
    <w:p w14:paraId="55922B09" w14:textId="240C2F6D" w:rsidR="001372BD" w:rsidRDefault="00ED7E48" w:rsidP="6F1BB916">
      <w:pPr>
        <w:pStyle w:val="NormalWeb"/>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In making this decision the child and family assessment should consider whether the family would be able to care for the child should the placement not be provided. In cases where the family would be unable to meet the child’s needs without the placement the local authority should take steps for the child to be brought into the care of the local authority.</w:t>
      </w:r>
      <w:r w:rsidR="001372BD" w:rsidRPr="6F1BB916">
        <w:rPr>
          <w:rFonts w:asciiTheme="minorHAnsi" w:hAnsiTheme="minorHAnsi" w:cstheme="minorBidi"/>
        </w:rPr>
        <w:t xml:space="preserve"> </w:t>
      </w:r>
    </w:p>
    <w:p w14:paraId="1E47F291" w14:textId="7CC79741" w:rsidR="6F1BB916" w:rsidRDefault="6F1BB916" w:rsidP="6F1BB916">
      <w:pPr>
        <w:pStyle w:val="NormalWeb"/>
        <w:shd w:val="clear" w:color="auto" w:fill="FFFFFF" w:themeFill="background1"/>
        <w:spacing w:after="0" w:afterAutospacing="0" w:line="276" w:lineRule="auto"/>
        <w:jc w:val="both"/>
        <w:rPr>
          <w:rFonts w:asciiTheme="minorHAnsi" w:hAnsiTheme="minorHAnsi" w:cstheme="minorBidi"/>
        </w:rPr>
      </w:pPr>
    </w:p>
    <w:p w14:paraId="4EE28F8A" w14:textId="0D6589CC" w:rsidR="0030660C" w:rsidRDefault="00ED5758" w:rsidP="6F1BB916">
      <w:pPr>
        <w:pStyle w:val="NormalWeb"/>
        <w:shd w:val="clear" w:color="auto" w:fill="FFFFFF" w:themeFill="background1"/>
        <w:spacing w:after="0" w:afterAutospacing="0" w:line="276" w:lineRule="auto"/>
        <w:jc w:val="both"/>
        <w:rPr>
          <w:rFonts w:asciiTheme="minorHAnsi" w:hAnsiTheme="minorHAnsi" w:cstheme="minorBidi"/>
        </w:rPr>
      </w:pPr>
      <w:r w:rsidRPr="6F1BB916">
        <w:rPr>
          <w:rFonts w:asciiTheme="minorHAnsi" w:hAnsiTheme="minorHAnsi" w:cstheme="minorBidi"/>
        </w:rPr>
        <w:t>Children and family circumstances change over time. Some children may be being supported through an EHCP in a 3</w:t>
      </w:r>
      <w:r w:rsidR="002310DE" w:rsidRPr="6F1BB916">
        <w:rPr>
          <w:rFonts w:asciiTheme="minorHAnsi" w:hAnsiTheme="minorHAnsi" w:cstheme="minorBidi"/>
        </w:rPr>
        <w:t>8</w:t>
      </w:r>
      <w:r w:rsidR="62E6E83D" w:rsidRPr="6F1BB916">
        <w:rPr>
          <w:rFonts w:asciiTheme="minorHAnsi" w:hAnsiTheme="minorHAnsi" w:cstheme="minorBidi"/>
        </w:rPr>
        <w:t>-</w:t>
      </w:r>
      <w:r w:rsidRPr="6F1BB916">
        <w:rPr>
          <w:rFonts w:asciiTheme="minorHAnsi" w:hAnsiTheme="minorHAnsi" w:cstheme="minorBidi"/>
        </w:rPr>
        <w:t>week placement under section 17 and a review of their EHCP might lead to a step up in provision to a 52</w:t>
      </w:r>
      <w:r w:rsidR="49E35152" w:rsidRPr="6F1BB916">
        <w:rPr>
          <w:rFonts w:asciiTheme="minorHAnsi" w:hAnsiTheme="minorHAnsi" w:cstheme="minorBidi"/>
        </w:rPr>
        <w:t>-</w:t>
      </w:r>
      <w:r w:rsidRPr="6F1BB916">
        <w:rPr>
          <w:rFonts w:asciiTheme="minorHAnsi" w:hAnsiTheme="minorHAnsi" w:cstheme="minorBidi"/>
        </w:rPr>
        <w:t>week placement. In these situations the SEND caseworker must contact the social care hub to coordinate the allocation of the child to a social worker to undertake a child and family assessment under section 17 to determine whether a child should be brought into the care of the local authority.</w:t>
      </w:r>
      <w:bookmarkStart w:id="0" w:name="note"/>
      <w:bookmarkEnd w:id="0"/>
      <w:r w:rsidRPr="6F1BB916">
        <w:rPr>
          <w:rFonts w:asciiTheme="minorHAnsi" w:hAnsiTheme="minorHAnsi" w:cstheme="minorBidi"/>
        </w:rPr>
        <w:t xml:space="preserve"> </w:t>
      </w:r>
    </w:p>
    <w:p w14:paraId="20F13B78" w14:textId="77777777" w:rsidR="00487D0F" w:rsidRDefault="00487D0F" w:rsidP="6F1BB916">
      <w:pPr>
        <w:pStyle w:val="NormalWeb"/>
        <w:shd w:val="clear" w:color="auto" w:fill="FFFFFF" w:themeFill="background1"/>
        <w:spacing w:after="0" w:afterAutospacing="0" w:line="276" w:lineRule="auto"/>
        <w:jc w:val="both"/>
        <w:rPr>
          <w:rFonts w:asciiTheme="minorHAnsi" w:hAnsiTheme="minorHAnsi" w:cstheme="minorBidi"/>
          <w:b/>
          <w:bCs/>
        </w:rPr>
      </w:pPr>
    </w:p>
    <w:p w14:paraId="4C8FF35D" w14:textId="77777777" w:rsidR="00487D0F" w:rsidRPr="00487D0F" w:rsidRDefault="00487D0F" w:rsidP="6F1BB916">
      <w:pPr>
        <w:jc w:val="both"/>
        <w:rPr>
          <w:b/>
          <w:bCs/>
          <w:sz w:val="24"/>
          <w:szCs w:val="24"/>
        </w:rPr>
      </w:pPr>
      <w:r w:rsidRPr="6F1BB916">
        <w:rPr>
          <w:b/>
          <w:bCs/>
          <w:sz w:val="24"/>
          <w:szCs w:val="24"/>
        </w:rPr>
        <w:t>Process:</w:t>
      </w:r>
    </w:p>
    <w:p w14:paraId="3ABD4BF6" w14:textId="04086857" w:rsidR="0030660C" w:rsidRDefault="0030660C" w:rsidP="6F1BB916">
      <w:pPr>
        <w:spacing w:after="0"/>
        <w:jc w:val="both"/>
        <w:rPr>
          <w:sz w:val="24"/>
          <w:szCs w:val="24"/>
        </w:rPr>
      </w:pPr>
      <w:r w:rsidRPr="6F1BB916">
        <w:rPr>
          <w:sz w:val="24"/>
          <w:szCs w:val="24"/>
        </w:rPr>
        <w:t>Central to the</w:t>
      </w:r>
      <w:r w:rsidR="00BE6D59" w:rsidRPr="6F1BB916">
        <w:rPr>
          <w:sz w:val="24"/>
          <w:szCs w:val="24"/>
        </w:rPr>
        <w:t xml:space="preserve"> assessment and</w:t>
      </w:r>
      <w:r w:rsidRPr="6F1BB916">
        <w:rPr>
          <w:sz w:val="24"/>
          <w:szCs w:val="24"/>
        </w:rPr>
        <w:t xml:space="preserve"> planning is the view of the young person</w:t>
      </w:r>
      <w:r w:rsidR="00B208D0" w:rsidRPr="6F1BB916">
        <w:rPr>
          <w:sz w:val="24"/>
          <w:szCs w:val="24"/>
        </w:rPr>
        <w:t>,</w:t>
      </w:r>
      <w:r w:rsidRPr="6F1BB916">
        <w:rPr>
          <w:sz w:val="24"/>
          <w:szCs w:val="24"/>
        </w:rPr>
        <w:t xml:space="preserve"> and it should be clearly recorded that the young person is aware of the legal framework in which they are being supported, and their view of this, and if any additional support is required to gather their view due to the young person’s communication need</w:t>
      </w:r>
      <w:r w:rsidR="00B208D0" w:rsidRPr="6F1BB916">
        <w:rPr>
          <w:sz w:val="24"/>
          <w:szCs w:val="24"/>
        </w:rPr>
        <w:t>s</w:t>
      </w:r>
      <w:r w:rsidR="00BE6D59" w:rsidRPr="6F1BB916">
        <w:rPr>
          <w:sz w:val="24"/>
          <w:szCs w:val="24"/>
        </w:rPr>
        <w:t>, a</w:t>
      </w:r>
      <w:r w:rsidRPr="6F1BB916">
        <w:rPr>
          <w:sz w:val="24"/>
          <w:szCs w:val="24"/>
        </w:rPr>
        <w:t>dditional support should be put into place</w:t>
      </w:r>
      <w:r w:rsidR="00B208D0" w:rsidRPr="6F1BB916">
        <w:rPr>
          <w:sz w:val="24"/>
          <w:szCs w:val="24"/>
        </w:rPr>
        <w:t>.</w:t>
      </w:r>
    </w:p>
    <w:p w14:paraId="51977EB6" w14:textId="77777777" w:rsidR="00487D0F" w:rsidRPr="001372BD" w:rsidRDefault="00487D0F" w:rsidP="6F1BB916">
      <w:pPr>
        <w:spacing w:after="0"/>
        <w:jc w:val="both"/>
        <w:rPr>
          <w:sz w:val="24"/>
          <w:szCs w:val="24"/>
        </w:rPr>
      </w:pPr>
    </w:p>
    <w:p w14:paraId="6CBF3D3C" w14:textId="002586F7" w:rsidR="00BC3717" w:rsidRPr="001372BD" w:rsidRDefault="00D75AEB" w:rsidP="6F1BB916">
      <w:pPr>
        <w:pStyle w:val="ListParagraph"/>
        <w:numPr>
          <w:ilvl w:val="0"/>
          <w:numId w:val="17"/>
        </w:numPr>
        <w:jc w:val="both"/>
        <w:rPr>
          <w:sz w:val="24"/>
          <w:szCs w:val="24"/>
        </w:rPr>
      </w:pPr>
      <w:r w:rsidRPr="6F1BB916">
        <w:rPr>
          <w:sz w:val="24"/>
          <w:szCs w:val="24"/>
        </w:rPr>
        <w:t>Education or Social care</w:t>
      </w:r>
      <w:r w:rsidR="00BC3717" w:rsidRPr="6F1BB916">
        <w:rPr>
          <w:sz w:val="24"/>
          <w:szCs w:val="24"/>
        </w:rPr>
        <w:t xml:space="preserve"> identifies </w:t>
      </w:r>
      <w:r w:rsidR="00487D0F" w:rsidRPr="6F1BB916">
        <w:rPr>
          <w:sz w:val="24"/>
          <w:szCs w:val="24"/>
        </w:rPr>
        <w:t xml:space="preserve">that </w:t>
      </w:r>
      <w:r w:rsidR="00BE6D59" w:rsidRPr="6F1BB916">
        <w:rPr>
          <w:sz w:val="24"/>
          <w:szCs w:val="24"/>
        </w:rPr>
        <w:t>52</w:t>
      </w:r>
      <w:r w:rsidR="00B208D0" w:rsidRPr="6F1BB916">
        <w:rPr>
          <w:sz w:val="24"/>
          <w:szCs w:val="24"/>
        </w:rPr>
        <w:t xml:space="preserve"> </w:t>
      </w:r>
      <w:r w:rsidR="00BE6D59" w:rsidRPr="6F1BB916">
        <w:rPr>
          <w:sz w:val="24"/>
          <w:szCs w:val="24"/>
        </w:rPr>
        <w:t>week</w:t>
      </w:r>
      <w:r w:rsidR="00BC3717" w:rsidRPr="6F1BB916">
        <w:rPr>
          <w:sz w:val="24"/>
          <w:szCs w:val="24"/>
        </w:rPr>
        <w:t xml:space="preserve"> </w:t>
      </w:r>
      <w:r w:rsidR="00487D0F" w:rsidRPr="6F1BB916">
        <w:rPr>
          <w:sz w:val="24"/>
          <w:szCs w:val="24"/>
        </w:rPr>
        <w:t>residential education</w:t>
      </w:r>
      <w:r w:rsidR="00BC3717" w:rsidRPr="6F1BB916">
        <w:rPr>
          <w:sz w:val="24"/>
          <w:szCs w:val="24"/>
        </w:rPr>
        <w:t xml:space="preserve"> placement </w:t>
      </w:r>
      <w:r w:rsidR="00487D0F" w:rsidRPr="6F1BB916">
        <w:rPr>
          <w:sz w:val="24"/>
          <w:szCs w:val="24"/>
        </w:rPr>
        <w:t>may be</w:t>
      </w:r>
      <w:r w:rsidR="00BC3717" w:rsidRPr="6F1BB916">
        <w:rPr>
          <w:sz w:val="24"/>
          <w:szCs w:val="24"/>
        </w:rPr>
        <w:t xml:space="preserve"> required</w:t>
      </w:r>
      <w:r w:rsidRPr="6F1BB916">
        <w:rPr>
          <w:sz w:val="24"/>
          <w:szCs w:val="24"/>
        </w:rPr>
        <w:t xml:space="preserve"> </w:t>
      </w:r>
    </w:p>
    <w:p w14:paraId="0EA14BC3" w14:textId="3D9A5B66" w:rsidR="00BC3717" w:rsidRPr="001372BD" w:rsidRDefault="00BC3717" w:rsidP="6F1BB916">
      <w:pPr>
        <w:pStyle w:val="ListParagraph"/>
        <w:numPr>
          <w:ilvl w:val="0"/>
          <w:numId w:val="17"/>
        </w:numPr>
        <w:jc w:val="both"/>
        <w:rPr>
          <w:sz w:val="24"/>
          <w:szCs w:val="24"/>
        </w:rPr>
      </w:pPr>
      <w:r w:rsidRPr="6F1BB916">
        <w:rPr>
          <w:sz w:val="24"/>
          <w:szCs w:val="24"/>
        </w:rPr>
        <w:t xml:space="preserve">Social Care Hub </w:t>
      </w:r>
      <w:r w:rsidR="00487D0F" w:rsidRPr="6F1BB916">
        <w:rPr>
          <w:sz w:val="24"/>
          <w:szCs w:val="24"/>
        </w:rPr>
        <w:t xml:space="preserve">is </w:t>
      </w:r>
      <w:r w:rsidRPr="6F1BB916">
        <w:rPr>
          <w:sz w:val="24"/>
          <w:szCs w:val="24"/>
        </w:rPr>
        <w:t xml:space="preserve">contacted </w:t>
      </w:r>
      <w:r w:rsidR="00ED5758" w:rsidRPr="6F1BB916">
        <w:rPr>
          <w:sz w:val="24"/>
          <w:szCs w:val="24"/>
        </w:rPr>
        <w:t>by the lead professional (eg social worker or SEND caseworker)</w:t>
      </w:r>
    </w:p>
    <w:p w14:paraId="340A750E" w14:textId="29102CEE" w:rsidR="00ED5758" w:rsidRPr="001372BD" w:rsidRDefault="00ED5758" w:rsidP="6F1BB916">
      <w:pPr>
        <w:pStyle w:val="ListParagraph"/>
        <w:numPr>
          <w:ilvl w:val="0"/>
          <w:numId w:val="17"/>
        </w:numPr>
        <w:jc w:val="both"/>
        <w:rPr>
          <w:sz w:val="24"/>
          <w:szCs w:val="24"/>
        </w:rPr>
      </w:pPr>
      <w:r w:rsidRPr="6F1BB916">
        <w:rPr>
          <w:sz w:val="24"/>
          <w:szCs w:val="24"/>
        </w:rPr>
        <w:t xml:space="preserve">Social Care </w:t>
      </w:r>
      <w:r w:rsidR="00BC3717" w:rsidRPr="6F1BB916">
        <w:rPr>
          <w:sz w:val="24"/>
          <w:szCs w:val="24"/>
        </w:rPr>
        <w:t xml:space="preserve">Hub reviews EHCP and contacts relevant social work team </w:t>
      </w:r>
      <w:r w:rsidRPr="6F1BB916">
        <w:rPr>
          <w:sz w:val="24"/>
          <w:szCs w:val="24"/>
        </w:rPr>
        <w:t xml:space="preserve">triggering </w:t>
      </w:r>
      <w:r w:rsidR="00BC3717" w:rsidRPr="6F1BB916">
        <w:rPr>
          <w:sz w:val="24"/>
          <w:szCs w:val="24"/>
        </w:rPr>
        <w:t xml:space="preserve"> the child </w:t>
      </w:r>
      <w:r w:rsidRPr="6F1BB916">
        <w:rPr>
          <w:sz w:val="24"/>
          <w:szCs w:val="24"/>
        </w:rPr>
        <w:t>and family</w:t>
      </w:r>
      <w:r w:rsidR="00BC3717" w:rsidRPr="6F1BB916">
        <w:rPr>
          <w:sz w:val="24"/>
          <w:szCs w:val="24"/>
        </w:rPr>
        <w:t xml:space="preserve"> assessment </w:t>
      </w:r>
      <w:r w:rsidRPr="6F1BB916">
        <w:rPr>
          <w:sz w:val="24"/>
          <w:szCs w:val="24"/>
        </w:rPr>
        <w:t>under section 17.</w:t>
      </w:r>
    </w:p>
    <w:p w14:paraId="19C2D535" w14:textId="5F53CA19" w:rsidR="00BC3717" w:rsidRPr="001372BD" w:rsidRDefault="00ED5758" w:rsidP="6F1BB916">
      <w:pPr>
        <w:pStyle w:val="ListParagraph"/>
        <w:numPr>
          <w:ilvl w:val="0"/>
          <w:numId w:val="17"/>
        </w:numPr>
        <w:jc w:val="both"/>
        <w:rPr>
          <w:sz w:val="24"/>
          <w:szCs w:val="24"/>
        </w:rPr>
      </w:pPr>
      <w:r w:rsidRPr="6F1BB916">
        <w:rPr>
          <w:sz w:val="24"/>
          <w:szCs w:val="24"/>
        </w:rPr>
        <w:t>T</w:t>
      </w:r>
      <w:r w:rsidR="00BE6D59" w:rsidRPr="6F1BB916">
        <w:rPr>
          <w:sz w:val="24"/>
          <w:szCs w:val="24"/>
        </w:rPr>
        <w:t>he social care hub support</w:t>
      </w:r>
      <w:r w:rsidRPr="6F1BB916">
        <w:rPr>
          <w:sz w:val="24"/>
          <w:szCs w:val="24"/>
        </w:rPr>
        <w:t xml:space="preserve">s </w:t>
      </w:r>
      <w:r w:rsidR="00BE6D59" w:rsidRPr="6F1BB916">
        <w:rPr>
          <w:sz w:val="24"/>
          <w:szCs w:val="24"/>
        </w:rPr>
        <w:t>the</w:t>
      </w:r>
      <w:r w:rsidRPr="6F1BB916">
        <w:rPr>
          <w:sz w:val="24"/>
          <w:szCs w:val="24"/>
        </w:rPr>
        <w:t xml:space="preserve"> team in the</w:t>
      </w:r>
      <w:r w:rsidR="00BE6D59" w:rsidRPr="6F1BB916">
        <w:rPr>
          <w:sz w:val="24"/>
          <w:szCs w:val="24"/>
        </w:rPr>
        <w:t xml:space="preserve"> assessment process.</w:t>
      </w:r>
    </w:p>
    <w:p w14:paraId="79A6F634" w14:textId="76F86DE3" w:rsidR="00D75AEB" w:rsidRPr="001372BD" w:rsidRDefault="00D75AEB" w:rsidP="6F1BB916">
      <w:pPr>
        <w:pStyle w:val="ListParagraph"/>
        <w:numPr>
          <w:ilvl w:val="0"/>
          <w:numId w:val="17"/>
        </w:numPr>
        <w:jc w:val="both"/>
        <w:rPr>
          <w:sz w:val="24"/>
          <w:szCs w:val="24"/>
        </w:rPr>
      </w:pPr>
      <w:r w:rsidRPr="6F1BB916">
        <w:rPr>
          <w:sz w:val="24"/>
          <w:szCs w:val="24"/>
        </w:rPr>
        <w:t xml:space="preserve">If the assessment concludes that the child can go home at any point if the 52 </w:t>
      </w:r>
      <w:r w:rsidR="009D031E" w:rsidRPr="6F1BB916">
        <w:rPr>
          <w:sz w:val="24"/>
          <w:szCs w:val="24"/>
        </w:rPr>
        <w:t>residential placements were to end, or the parents they can meet the child’s needs at home, the</w:t>
      </w:r>
      <w:r w:rsidR="00ED5758" w:rsidRPr="6F1BB916">
        <w:rPr>
          <w:sz w:val="24"/>
          <w:szCs w:val="24"/>
        </w:rPr>
        <w:t xml:space="preserve">n the assessing social worker should consider whether </w:t>
      </w:r>
      <w:r w:rsidR="009D031E" w:rsidRPr="6F1BB916">
        <w:rPr>
          <w:sz w:val="24"/>
          <w:szCs w:val="24"/>
        </w:rPr>
        <w:t xml:space="preserve">child in need </w:t>
      </w:r>
      <w:r w:rsidR="00ED5758" w:rsidRPr="6F1BB916">
        <w:rPr>
          <w:sz w:val="24"/>
          <w:szCs w:val="24"/>
        </w:rPr>
        <w:t>or child in care would be most appropriate framework for this child to be supported under using the above framework for assessment. Where a child is in a 52</w:t>
      </w:r>
      <w:r w:rsidR="5259919C" w:rsidRPr="6F1BB916">
        <w:rPr>
          <w:sz w:val="24"/>
          <w:szCs w:val="24"/>
        </w:rPr>
        <w:t>-</w:t>
      </w:r>
      <w:r w:rsidR="00ED5758" w:rsidRPr="6F1BB916">
        <w:rPr>
          <w:sz w:val="24"/>
          <w:szCs w:val="24"/>
        </w:rPr>
        <w:t>week placement their vulnerability to abuse and neglect should always be considered as a significant factor and therefore bringing them into care is likely to be most appropriate in the majority of situations.</w:t>
      </w:r>
    </w:p>
    <w:p w14:paraId="4DD0C147" w14:textId="394E4392" w:rsidR="009D031E" w:rsidRPr="001372BD" w:rsidRDefault="009D031E" w:rsidP="6F1BB916">
      <w:pPr>
        <w:pStyle w:val="ListParagraph"/>
        <w:numPr>
          <w:ilvl w:val="0"/>
          <w:numId w:val="17"/>
        </w:numPr>
        <w:jc w:val="both"/>
        <w:rPr>
          <w:sz w:val="24"/>
          <w:szCs w:val="24"/>
        </w:rPr>
      </w:pPr>
      <w:r w:rsidRPr="6F1BB916">
        <w:rPr>
          <w:sz w:val="24"/>
          <w:szCs w:val="24"/>
        </w:rPr>
        <w:t>If the assessment of the child conclude</w:t>
      </w:r>
      <w:r w:rsidR="00BE6D59" w:rsidRPr="6F1BB916">
        <w:rPr>
          <w:sz w:val="24"/>
          <w:szCs w:val="24"/>
        </w:rPr>
        <w:t>s</w:t>
      </w:r>
      <w:r w:rsidRPr="6F1BB916">
        <w:rPr>
          <w:sz w:val="24"/>
          <w:szCs w:val="24"/>
        </w:rPr>
        <w:t xml:space="preserve"> that</w:t>
      </w:r>
      <w:r w:rsidR="00B208D0" w:rsidRPr="6F1BB916">
        <w:rPr>
          <w:sz w:val="24"/>
          <w:szCs w:val="24"/>
        </w:rPr>
        <w:t xml:space="preserve"> </w:t>
      </w:r>
      <w:r w:rsidRPr="6F1BB916">
        <w:rPr>
          <w:sz w:val="24"/>
          <w:szCs w:val="24"/>
        </w:rPr>
        <w:t>the parents are not able to meet the child’s needs at home and the child could n</w:t>
      </w:r>
      <w:r w:rsidR="00BE6D59" w:rsidRPr="6F1BB916">
        <w:rPr>
          <w:sz w:val="24"/>
          <w:szCs w:val="24"/>
        </w:rPr>
        <w:t>ot</w:t>
      </w:r>
      <w:r w:rsidRPr="6F1BB916">
        <w:rPr>
          <w:sz w:val="24"/>
          <w:szCs w:val="24"/>
        </w:rPr>
        <w:t xml:space="preserve"> go home should the </w:t>
      </w:r>
      <w:r w:rsidR="02593074" w:rsidRPr="6F1BB916">
        <w:rPr>
          <w:sz w:val="24"/>
          <w:szCs w:val="24"/>
        </w:rPr>
        <w:t>residential placement</w:t>
      </w:r>
      <w:r w:rsidRPr="6F1BB916">
        <w:rPr>
          <w:sz w:val="24"/>
          <w:szCs w:val="24"/>
        </w:rPr>
        <w:t xml:space="preserve"> breakdown the ‘child in care’ process should </w:t>
      </w:r>
      <w:r w:rsidR="00ED5758" w:rsidRPr="6F1BB916">
        <w:rPr>
          <w:sz w:val="24"/>
          <w:szCs w:val="24"/>
        </w:rPr>
        <w:t xml:space="preserve">always be </w:t>
      </w:r>
      <w:r w:rsidRPr="6F1BB916">
        <w:rPr>
          <w:sz w:val="24"/>
          <w:szCs w:val="24"/>
        </w:rPr>
        <w:t>follow</w:t>
      </w:r>
      <w:r w:rsidR="00ED5758" w:rsidRPr="6F1BB916">
        <w:rPr>
          <w:sz w:val="24"/>
          <w:szCs w:val="24"/>
        </w:rPr>
        <w:t>ed</w:t>
      </w:r>
      <w:r w:rsidRPr="6F1BB916">
        <w:rPr>
          <w:sz w:val="24"/>
          <w:szCs w:val="24"/>
        </w:rPr>
        <w:t>.</w:t>
      </w:r>
    </w:p>
    <w:p w14:paraId="5E294AC9" w14:textId="457E5586" w:rsidR="00BC3717" w:rsidRPr="001372BD" w:rsidRDefault="001372BD" w:rsidP="6F1BB916">
      <w:pPr>
        <w:pStyle w:val="ListParagraph"/>
        <w:numPr>
          <w:ilvl w:val="0"/>
          <w:numId w:val="17"/>
        </w:numPr>
        <w:jc w:val="both"/>
        <w:rPr>
          <w:sz w:val="24"/>
          <w:szCs w:val="24"/>
        </w:rPr>
      </w:pPr>
      <w:r w:rsidRPr="6F1BB916">
        <w:rPr>
          <w:sz w:val="24"/>
          <w:szCs w:val="24"/>
        </w:rPr>
        <w:t>Where a decision is made to bring the child into care the</w:t>
      </w:r>
      <w:r w:rsidR="00BE6D59" w:rsidRPr="6F1BB916">
        <w:rPr>
          <w:sz w:val="24"/>
          <w:szCs w:val="24"/>
        </w:rPr>
        <w:t xml:space="preserve"> </w:t>
      </w:r>
      <w:r w:rsidR="00BC3717" w:rsidRPr="6F1BB916">
        <w:rPr>
          <w:sz w:val="24"/>
          <w:szCs w:val="24"/>
        </w:rPr>
        <w:t xml:space="preserve">Social worker </w:t>
      </w:r>
      <w:r w:rsidR="00BE6D59" w:rsidRPr="6F1BB916">
        <w:rPr>
          <w:sz w:val="24"/>
          <w:szCs w:val="24"/>
        </w:rPr>
        <w:t>will</w:t>
      </w:r>
      <w:r w:rsidR="00BC3717" w:rsidRPr="6F1BB916">
        <w:rPr>
          <w:sz w:val="24"/>
          <w:szCs w:val="24"/>
        </w:rPr>
        <w:t xml:space="preserve"> follow the child in care process of </w:t>
      </w:r>
      <w:r w:rsidR="00BE023F" w:rsidRPr="6F1BB916">
        <w:rPr>
          <w:sz w:val="24"/>
          <w:szCs w:val="24"/>
        </w:rPr>
        <w:t>authorisation</w:t>
      </w:r>
      <w:r w:rsidR="00BC3717" w:rsidRPr="6F1BB916">
        <w:rPr>
          <w:sz w:val="24"/>
          <w:szCs w:val="24"/>
        </w:rPr>
        <w:t xml:space="preserve"> through Placement </w:t>
      </w:r>
      <w:r w:rsidR="00BE6D59" w:rsidRPr="6F1BB916">
        <w:rPr>
          <w:sz w:val="24"/>
          <w:szCs w:val="24"/>
        </w:rPr>
        <w:t>P</w:t>
      </w:r>
      <w:r w:rsidR="00BC3717" w:rsidRPr="6F1BB916">
        <w:rPr>
          <w:sz w:val="24"/>
          <w:szCs w:val="24"/>
        </w:rPr>
        <w:t xml:space="preserve">anel and Joint </w:t>
      </w:r>
      <w:r w:rsidR="00BE023F" w:rsidRPr="6F1BB916">
        <w:rPr>
          <w:sz w:val="24"/>
          <w:szCs w:val="24"/>
        </w:rPr>
        <w:t>Commissioning</w:t>
      </w:r>
      <w:r w:rsidR="00BC3717" w:rsidRPr="6F1BB916">
        <w:rPr>
          <w:sz w:val="24"/>
          <w:szCs w:val="24"/>
        </w:rPr>
        <w:t xml:space="preserve"> </w:t>
      </w:r>
      <w:r w:rsidR="00BE6D59" w:rsidRPr="6F1BB916">
        <w:rPr>
          <w:sz w:val="24"/>
          <w:szCs w:val="24"/>
        </w:rPr>
        <w:t>P</w:t>
      </w:r>
      <w:r w:rsidR="00BC3717" w:rsidRPr="6F1BB916">
        <w:rPr>
          <w:sz w:val="24"/>
          <w:szCs w:val="24"/>
        </w:rPr>
        <w:t>anel</w:t>
      </w:r>
    </w:p>
    <w:p w14:paraId="4CC894CB" w14:textId="33F02927" w:rsidR="001372BD" w:rsidRPr="001372BD" w:rsidRDefault="001372BD" w:rsidP="6F1BB916">
      <w:pPr>
        <w:pStyle w:val="ListParagraph"/>
        <w:numPr>
          <w:ilvl w:val="0"/>
          <w:numId w:val="17"/>
        </w:numPr>
        <w:jc w:val="both"/>
        <w:rPr>
          <w:sz w:val="24"/>
          <w:szCs w:val="24"/>
        </w:rPr>
      </w:pPr>
      <w:r w:rsidRPr="6F1BB916">
        <w:rPr>
          <w:sz w:val="24"/>
          <w:szCs w:val="24"/>
        </w:rPr>
        <w:t xml:space="preserve">Where a decision is made to support a child living in a </w:t>
      </w:r>
      <w:r w:rsidR="37AE0ED3" w:rsidRPr="6F1BB916">
        <w:rPr>
          <w:sz w:val="24"/>
          <w:szCs w:val="24"/>
        </w:rPr>
        <w:t>52-week</w:t>
      </w:r>
      <w:r w:rsidRPr="6F1BB916">
        <w:rPr>
          <w:sz w:val="24"/>
          <w:szCs w:val="24"/>
        </w:rPr>
        <w:t xml:space="preserve"> placement under section 17 this requires agreement from the relevant child’s Head of Service and should be reviewed through annual reviews of the child and family assessment.</w:t>
      </w:r>
    </w:p>
    <w:p w14:paraId="3FA3787C" w14:textId="05A9C19E" w:rsidR="00DF41F7" w:rsidRPr="001372BD" w:rsidRDefault="00DF41F7" w:rsidP="6F1BB916">
      <w:pPr>
        <w:pStyle w:val="ListParagraph"/>
        <w:numPr>
          <w:ilvl w:val="0"/>
          <w:numId w:val="17"/>
        </w:numPr>
        <w:jc w:val="both"/>
        <w:rPr>
          <w:sz w:val="24"/>
          <w:szCs w:val="24"/>
        </w:rPr>
      </w:pPr>
      <w:r w:rsidRPr="6F1BB916">
        <w:rPr>
          <w:sz w:val="24"/>
          <w:szCs w:val="24"/>
        </w:rPr>
        <w:t xml:space="preserve">The </w:t>
      </w:r>
      <w:r w:rsidR="00D75AEB" w:rsidRPr="6F1BB916">
        <w:rPr>
          <w:sz w:val="24"/>
          <w:szCs w:val="24"/>
        </w:rPr>
        <w:t>S</w:t>
      </w:r>
      <w:r w:rsidRPr="6F1BB916">
        <w:rPr>
          <w:sz w:val="24"/>
          <w:szCs w:val="24"/>
        </w:rPr>
        <w:t xml:space="preserve">ocial </w:t>
      </w:r>
      <w:r w:rsidR="00D75AEB" w:rsidRPr="6F1BB916">
        <w:rPr>
          <w:sz w:val="24"/>
          <w:szCs w:val="24"/>
        </w:rPr>
        <w:t>C</w:t>
      </w:r>
      <w:r w:rsidRPr="6F1BB916">
        <w:rPr>
          <w:sz w:val="24"/>
          <w:szCs w:val="24"/>
        </w:rPr>
        <w:t xml:space="preserve">are </w:t>
      </w:r>
      <w:r w:rsidR="00D75AEB" w:rsidRPr="6F1BB916">
        <w:rPr>
          <w:sz w:val="24"/>
          <w:szCs w:val="24"/>
        </w:rPr>
        <w:t>H</w:t>
      </w:r>
      <w:r w:rsidRPr="6F1BB916">
        <w:rPr>
          <w:sz w:val="24"/>
          <w:szCs w:val="24"/>
        </w:rPr>
        <w:t xml:space="preserve">ub </w:t>
      </w:r>
      <w:r w:rsidR="00ED5758" w:rsidRPr="6F1BB916">
        <w:rPr>
          <w:sz w:val="24"/>
          <w:szCs w:val="24"/>
        </w:rPr>
        <w:t xml:space="preserve">will remain </w:t>
      </w:r>
      <w:r w:rsidRPr="6F1BB916">
        <w:rPr>
          <w:sz w:val="24"/>
          <w:szCs w:val="24"/>
        </w:rPr>
        <w:t>involved to support the social worker with the E</w:t>
      </w:r>
      <w:r w:rsidR="001372BD" w:rsidRPr="6F1BB916">
        <w:rPr>
          <w:sz w:val="24"/>
          <w:szCs w:val="24"/>
        </w:rPr>
        <w:t>HCP</w:t>
      </w:r>
      <w:r w:rsidRPr="6F1BB916">
        <w:rPr>
          <w:sz w:val="24"/>
          <w:szCs w:val="24"/>
        </w:rPr>
        <w:t xml:space="preserve"> process and planning.</w:t>
      </w:r>
    </w:p>
    <w:p w14:paraId="37BCDA67" w14:textId="38C93009" w:rsidR="00BE6D59" w:rsidRPr="001372BD" w:rsidRDefault="00BE6D59" w:rsidP="6F1BB916">
      <w:pPr>
        <w:pStyle w:val="ListParagraph"/>
        <w:numPr>
          <w:ilvl w:val="0"/>
          <w:numId w:val="17"/>
        </w:numPr>
        <w:jc w:val="both"/>
        <w:rPr>
          <w:sz w:val="24"/>
          <w:szCs w:val="24"/>
        </w:rPr>
      </w:pPr>
      <w:r w:rsidRPr="6F1BB916">
        <w:rPr>
          <w:sz w:val="24"/>
          <w:szCs w:val="24"/>
        </w:rPr>
        <w:t>Once the residential placement is established the child will transfer</w:t>
      </w:r>
      <w:r w:rsidR="001372BD" w:rsidRPr="6F1BB916">
        <w:rPr>
          <w:sz w:val="24"/>
          <w:szCs w:val="24"/>
        </w:rPr>
        <w:t xml:space="preserve"> from Area Services</w:t>
      </w:r>
      <w:r w:rsidRPr="6F1BB916">
        <w:rPr>
          <w:sz w:val="24"/>
          <w:szCs w:val="24"/>
        </w:rPr>
        <w:t xml:space="preserve"> to long term support from the Disabled Children’s team or Through care</w:t>
      </w:r>
      <w:r w:rsidR="001372BD" w:rsidRPr="6F1BB916">
        <w:rPr>
          <w:sz w:val="24"/>
          <w:szCs w:val="24"/>
        </w:rPr>
        <w:t xml:space="preserve"> as usual</w:t>
      </w:r>
      <w:r w:rsidRPr="6F1BB916">
        <w:rPr>
          <w:sz w:val="24"/>
          <w:szCs w:val="24"/>
        </w:rPr>
        <w:t>.</w:t>
      </w:r>
    </w:p>
    <w:p w14:paraId="618BE999" w14:textId="77777777" w:rsidR="00283EF6" w:rsidRPr="001372BD" w:rsidRDefault="00283EF6" w:rsidP="6F1BB916">
      <w:pPr>
        <w:jc w:val="both"/>
        <w:rPr>
          <w:sz w:val="24"/>
          <w:szCs w:val="24"/>
        </w:rPr>
      </w:pPr>
    </w:p>
    <w:p w14:paraId="45DE8277" w14:textId="77777777" w:rsidR="003B1E50" w:rsidRPr="001372BD" w:rsidRDefault="003B1E50" w:rsidP="6F1BB916">
      <w:pPr>
        <w:jc w:val="both"/>
        <w:rPr>
          <w:sz w:val="24"/>
          <w:szCs w:val="24"/>
        </w:rPr>
      </w:pPr>
      <w:r w:rsidRPr="6F1BB916">
        <w:rPr>
          <w:color w:val="00B0F0"/>
          <w:sz w:val="24"/>
          <w:szCs w:val="24"/>
        </w:rPr>
        <w:t xml:space="preserve">Practice Directions </w:t>
      </w:r>
      <w:r w:rsidRPr="6F1BB916">
        <w:rPr>
          <w:sz w:val="24"/>
          <w:szCs w:val="24"/>
        </w:rPr>
        <w:t xml:space="preserve">are supported by: </w:t>
      </w:r>
    </w:p>
    <w:p w14:paraId="63A29605" w14:textId="244E1BDB" w:rsidR="00FC7D30" w:rsidRPr="001372BD" w:rsidRDefault="00FC7D30" w:rsidP="6F1BB916">
      <w:pPr>
        <w:pStyle w:val="ListParagraph"/>
        <w:numPr>
          <w:ilvl w:val="0"/>
          <w:numId w:val="2"/>
        </w:numPr>
        <w:jc w:val="both"/>
        <w:rPr>
          <w:sz w:val="24"/>
          <w:szCs w:val="24"/>
        </w:rPr>
      </w:pPr>
      <w:r w:rsidRPr="6F1BB916">
        <w:rPr>
          <w:sz w:val="24"/>
          <w:szCs w:val="24"/>
        </w:rPr>
        <w:t xml:space="preserve">Working Together to </w:t>
      </w:r>
      <w:r w:rsidR="034F7370" w:rsidRPr="6F1BB916">
        <w:rPr>
          <w:sz w:val="24"/>
          <w:szCs w:val="24"/>
        </w:rPr>
        <w:t>S</w:t>
      </w:r>
      <w:r w:rsidRPr="6F1BB916">
        <w:rPr>
          <w:sz w:val="24"/>
          <w:szCs w:val="24"/>
        </w:rPr>
        <w:t xml:space="preserve">afeguard </w:t>
      </w:r>
      <w:r w:rsidR="39E115DB" w:rsidRPr="6F1BB916">
        <w:rPr>
          <w:sz w:val="24"/>
          <w:szCs w:val="24"/>
        </w:rPr>
        <w:t>C</w:t>
      </w:r>
      <w:r w:rsidRPr="6F1BB916">
        <w:rPr>
          <w:sz w:val="24"/>
          <w:szCs w:val="24"/>
        </w:rPr>
        <w:t>hildren 2018</w:t>
      </w:r>
    </w:p>
    <w:p w14:paraId="06B1899F" w14:textId="424B82C8" w:rsidR="00DF41F7" w:rsidRPr="001372BD" w:rsidRDefault="00BE023F" w:rsidP="6F1BB916">
      <w:pPr>
        <w:pStyle w:val="ListParagraph"/>
        <w:numPr>
          <w:ilvl w:val="0"/>
          <w:numId w:val="2"/>
        </w:numPr>
        <w:jc w:val="both"/>
        <w:rPr>
          <w:sz w:val="24"/>
          <w:szCs w:val="24"/>
        </w:rPr>
      </w:pPr>
      <w:r w:rsidRPr="6F1BB916">
        <w:rPr>
          <w:sz w:val="24"/>
          <w:szCs w:val="24"/>
        </w:rPr>
        <w:t>Children</w:t>
      </w:r>
      <w:r w:rsidR="00DF41F7" w:rsidRPr="6F1BB916">
        <w:rPr>
          <w:sz w:val="24"/>
          <w:szCs w:val="24"/>
        </w:rPr>
        <w:t xml:space="preserve"> </w:t>
      </w:r>
      <w:r w:rsidRPr="6F1BB916">
        <w:rPr>
          <w:sz w:val="24"/>
          <w:szCs w:val="24"/>
        </w:rPr>
        <w:t>and</w:t>
      </w:r>
      <w:r w:rsidR="00DF41F7" w:rsidRPr="6F1BB916">
        <w:rPr>
          <w:sz w:val="24"/>
          <w:szCs w:val="24"/>
        </w:rPr>
        <w:t xml:space="preserve"> Family Act 2014</w:t>
      </w:r>
    </w:p>
    <w:p w14:paraId="6F621C99" w14:textId="77777777" w:rsidR="00FC7D30" w:rsidRPr="001372BD" w:rsidRDefault="00FC7D30" w:rsidP="6F1BB916">
      <w:pPr>
        <w:pStyle w:val="ListParagraph"/>
        <w:numPr>
          <w:ilvl w:val="0"/>
          <w:numId w:val="2"/>
        </w:numPr>
        <w:jc w:val="both"/>
        <w:rPr>
          <w:sz w:val="24"/>
          <w:szCs w:val="24"/>
        </w:rPr>
      </w:pPr>
      <w:r w:rsidRPr="6F1BB916">
        <w:rPr>
          <w:sz w:val="24"/>
          <w:szCs w:val="24"/>
        </w:rPr>
        <w:t>Social Work England Standards</w:t>
      </w:r>
    </w:p>
    <w:p w14:paraId="21F0112B" w14:textId="101686E5" w:rsidR="00FC7D30" w:rsidRPr="001372BD" w:rsidRDefault="0030660C" w:rsidP="6F1BB916">
      <w:pPr>
        <w:pStyle w:val="ListParagraph"/>
        <w:numPr>
          <w:ilvl w:val="0"/>
          <w:numId w:val="2"/>
        </w:numPr>
        <w:jc w:val="both"/>
        <w:rPr>
          <w:sz w:val="24"/>
          <w:szCs w:val="24"/>
        </w:rPr>
      </w:pPr>
      <w:r w:rsidRPr="6F1BB916">
        <w:rPr>
          <w:sz w:val="24"/>
          <w:szCs w:val="24"/>
        </w:rPr>
        <w:t>Southwest</w:t>
      </w:r>
      <w:r w:rsidR="00FC7D30" w:rsidRPr="6F1BB916">
        <w:rPr>
          <w:sz w:val="24"/>
          <w:szCs w:val="24"/>
        </w:rPr>
        <w:t xml:space="preserve"> Child Protection Procedures</w:t>
      </w:r>
    </w:p>
    <w:p w14:paraId="11CF7491" w14:textId="51F82A84" w:rsidR="00FC7D30" w:rsidRPr="001372BD" w:rsidRDefault="00FC7D30" w:rsidP="6F1BB916">
      <w:pPr>
        <w:pStyle w:val="ListParagraph"/>
        <w:numPr>
          <w:ilvl w:val="0"/>
          <w:numId w:val="2"/>
        </w:numPr>
        <w:jc w:val="both"/>
        <w:rPr>
          <w:sz w:val="24"/>
          <w:szCs w:val="24"/>
        </w:rPr>
      </w:pPr>
      <w:r w:rsidRPr="6F1BB916">
        <w:rPr>
          <w:sz w:val="24"/>
          <w:szCs w:val="24"/>
        </w:rPr>
        <w:t>Bristol Children and Families, Quality Assurance Framework</w:t>
      </w:r>
    </w:p>
    <w:p w14:paraId="3883EB83" w14:textId="4D859D5B" w:rsidR="00DF41F7" w:rsidRPr="001372BD" w:rsidRDefault="00DF41F7" w:rsidP="6F1BB916">
      <w:pPr>
        <w:pStyle w:val="ListParagraph"/>
        <w:jc w:val="both"/>
        <w:rPr>
          <w:sz w:val="24"/>
          <w:szCs w:val="24"/>
        </w:rPr>
      </w:pPr>
    </w:p>
    <w:p w14:paraId="6E936BB0" w14:textId="33982E79" w:rsidR="000258C6" w:rsidRPr="001372BD" w:rsidRDefault="003B1E50" w:rsidP="6F1BB916">
      <w:pPr>
        <w:jc w:val="both"/>
        <w:rPr>
          <w:sz w:val="24"/>
          <w:szCs w:val="24"/>
        </w:rPr>
      </w:pPr>
      <w:r w:rsidRPr="6F1BB916">
        <w:rPr>
          <w:color w:val="00B0F0"/>
          <w:sz w:val="24"/>
          <w:szCs w:val="24"/>
        </w:rPr>
        <w:t xml:space="preserve">Objective:  </w:t>
      </w:r>
      <w:r w:rsidRPr="6F1BB916">
        <w:rPr>
          <w:sz w:val="24"/>
          <w:szCs w:val="24"/>
        </w:rPr>
        <w:t xml:space="preserve">the aim of Practice Directions </w:t>
      </w:r>
      <w:r w:rsidR="0030660C" w:rsidRPr="6F1BB916">
        <w:rPr>
          <w:sz w:val="24"/>
          <w:szCs w:val="24"/>
        </w:rPr>
        <w:t>is</w:t>
      </w:r>
      <w:r w:rsidRPr="6F1BB916">
        <w:rPr>
          <w:sz w:val="24"/>
          <w:szCs w:val="24"/>
        </w:rPr>
        <w:t xml:space="preserve"> intended to provide clarity of any change of expectations in practice OR clarity on elements of practice where there is confusion.   Practice Directions are intended for practitioners and managers.  Practice Directions enable an audit trail of change in practice expectations to be maintained.   </w:t>
      </w:r>
    </w:p>
    <w:p w14:paraId="28973207" w14:textId="191DFCD4" w:rsidR="003B1E50" w:rsidRPr="001372BD" w:rsidRDefault="000258C6" w:rsidP="6F1BB916">
      <w:pPr>
        <w:jc w:val="both"/>
        <w:rPr>
          <w:sz w:val="24"/>
          <w:szCs w:val="24"/>
        </w:rPr>
      </w:pPr>
      <w:r w:rsidRPr="6F1BB916">
        <w:rPr>
          <w:color w:val="00B0F0"/>
          <w:sz w:val="24"/>
          <w:szCs w:val="24"/>
        </w:rPr>
        <w:t xml:space="preserve">Process:   </w:t>
      </w:r>
      <w:r w:rsidRPr="6F1BB916">
        <w:rPr>
          <w:sz w:val="24"/>
          <w:szCs w:val="24"/>
        </w:rPr>
        <w:t>Children’s Management Team will consider and approve P</w:t>
      </w:r>
      <w:r w:rsidR="00C13C2F">
        <w:rPr>
          <w:sz w:val="24"/>
          <w:szCs w:val="24"/>
        </w:rPr>
        <w:t>ractice Direction</w:t>
      </w:r>
      <w:r w:rsidRPr="6F1BB916">
        <w:rPr>
          <w:sz w:val="24"/>
          <w:szCs w:val="24"/>
        </w:rPr>
        <w:t xml:space="preserve">s.  The PSW will issue and ensure that Practice Directions are entered onto Tri-x.  </w:t>
      </w:r>
    </w:p>
    <w:p w14:paraId="630D1242" w14:textId="77777777" w:rsidR="002A73E3" w:rsidRPr="001372BD" w:rsidRDefault="002A73E3" w:rsidP="6F1BB916">
      <w:pPr>
        <w:jc w:val="both"/>
        <w:rPr>
          <w:color w:val="00B0F0"/>
          <w:sz w:val="24"/>
          <w:szCs w:val="24"/>
        </w:rPr>
      </w:pPr>
      <w:r w:rsidRPr="6F1BB916">
        <w:rPr>
          <w:color w:val="00B0F0"/>
          <w:sz w:val="24"/>
          <w:szCs w:val="24"/>
        </w:rPr>
        <w:t>Q</w:t>
      </w:r>
      <w:r w:rsidR="000258C6" w:rsidRPr="6F1BB916">
        <w:rPr>
          <w:color w:val="00B0F0"/>
          <w:sz w:val="24"/>
          <w:szCs w:val="24"/>
        </w:rPr>
        <w:t>uality Assurance of practice change:</w:t>
      </w:r>
    </w:p>
    <w:p w14:paraId="07825BE6" w14:textId="35AD0643" w:rsidR="003B1E50" w:rsidRPr="001372BD" w:rsidRDefault="003B1E50" w:rsidP="6F1BB916">
      <w:pPr>
        <w:jc w:val="both"/>
        <w:rPr>
          <w:sz w:val="24"/>
          <w:szCs w:val="24"/>
        </w:rPr>
      </w:pPr>
      <w:r w:rsidRPr="6F1BB916">
        <w:rPr>
          <w:sz w:val="24"/>
          <w:szCs w:val="24"/>
        </w:rPr>
        <w:t xml:space="preserve">Compliance with Practice Directions will be monitored </w:t>
      </w:r>
      <w:r w:rsidR="000258C6" w:rsidRPr="6F1BB916">
        <w:rPr>
          <w:sz w:val="24"/>
          <w:szCs w:val="24"/>
        </w:rPr>
        <w:t xml:space="preserve">by deep dive audit and performance indicators where possible. </w:t>
      </w:r>
    </w:p>
    <w:p w14:paraId="49D5FA80" w14:textId="7F7BC264" w:rsidR="001372BD" w:rsidRPr="001372BD" w:rsidRDefault="001372BD" w:rsidP="6F1BB916">
      <w:pPr>
        <w:jc w:val="both"/>
        <w:rPr>
          <w:sz w:val="24"/>
          <w:szCs w:val="24"/>
        </w:rPr>
      </w:pPr>
      <w:r w:rsidRPr="6F1BB916">
        <w:rPr>
          <w:sz w:val="24"/>
          <w:szCs w:val="24"/>
        </w:rPr>
        <w:t>Placement Panel and Joint Commissioning Panel sign off</w:t>
      </w:r>
    </w:p>
    <w:p w14:paraId="63103B07" w14:textId="321982D2" w:rsidR="001372BD" w:rsidRPr="001372BD" w:rsidRDefault="001372BD" w:rsidP="6F1BB916">
      <w:pPr>
        <w:jc w:val="both"/>
        <w:rPr>
          <w:sz w:val="24"/>
          <w:szCs w:val="24"/>
        </w:rPr>
      </w:pPr>
      <w:r w:rsidRPr="6F1BB916">
        <w:rPr>
          <w:sz w:val="24"/>
          <w:szCs w:val="24"/>
        </w:rPr>
        <w:t>Senior Management oversight of child in care and section 17 decision making as set out above.</w:t>
      </w:r>
    </w:p>
    <w:p w14:paraId="2F0C4BF1" w14:textId="0B503264" w:rsidR="003B1E50" w:rsidRPr="001372BD" w:rsidRDefault="003B1E50" w:rsidP="6F1BB916">
      <w:pPr>
        <w:jc w:val="both"/>
        <w:rPr>
          <w:color w:val="00B0F0"/>
          <w:sz w:val="24"/>
          <w:szCs w:val="24"/>
        </w:rPr>
      </w:pPr>
      <w:r w:rsidRPr="6F1BB916">
        <w:rPr>
          <w:color w:val="00B0F0"/>
          <w:sz w:val="24"/>
          <w:szCs w:val="24"/>
        </w:rPr>
        <w:t xml:space="preserve">Service Areas / roles applicable:  </w:t>
      </w:r>
    </w:p>
    <w:p w14:paraId="1EA9E5CB" w14:textId="40FF1D2D" w:rsidR="007C0EF8" w:rsidRPr="001372BD" w:rsidRDefault="007C0EF8" w:rsidP="6F1BB916">
      <w:pPr>
        <w:jc w:val="both"/>
        <w:rPr>
          <w:sz w:val="24"/>
          <w:szCs w:val="24"/>
        </w:rPr>
      </w:pPr>
      <w:r w:rsidRPr="6F1BB916">
        <w:rPr>
          <w:sz w:val="24"/>
          <w:szCs w:val="24"/>
        </w:rPr>
        <w:t>All service areas</w:t>
      </w:r>
    </w:p>
    <w:p w14:paraId="29D1F86C" w14:textId="1E0744EA" w:rsidR="000258C6" w:rsidRPr="001372BD" w:rsidRDefault="003B1E50" w:rsidP="6F1BB916">
      <w:pPr>
        <w:jc w:val="both"/>
        <w:rPr>
          <w:color w:val="00B0F0"/>
          <w:sz w:val="24"/>
          <w:szCs w:val="24"/>
        </w:rPr>
      </w:pPr>
      <w:bookmarkStart w:id="1" w:name="_Hlk72497927"/>
      <w:r w:rsidRPr="6F1BB916">
        <w:rPr>
          <w:color w:val="00B0F0"/>
          <w:sz w:val="24"/>
          <w:szCs w:val="24"/>
        </w:rPr>
        <w:t xml:space="preserve">Date of Change: </w:t>
      </w:r>
      <w:r w:rsidR="00C62DA6" w:rsidRPr="6F1BB916">
        <w:rPr>
          <w:sz w:val="24"/>
          <w:szCs w:val="24"/>
        </w:rPr>
        <w:t>11</w:t>
      </w:r>
      <w:r w:rsidR="00C62DA6" w:rsidRPr="6F1BB916">
        <w:rPr>
          <w:sz w:val="24"/>
          <w:szCs w:val="24"/>
          <w:vertAlign w:val="superscript"/>
        </w:rPr>
        <w:t>th</w:t>
      </w:r>
      <w:r w:rsidR="00C62DA6" w:rsidRPr="6F1BB916">
        <w:rPr>
          <w:sz w:val="24"/>
          <w:szCs w:val="24"/>
        </w:rPr>
        <w:t xml:space="preserve"> </w:t>
      </w:r>
      <w:r w:rsidR="00DF41F7" w:rsidRPr="6F1BB916">
        <w:rPr>
          <w:sz w:val="24"/>
          <w:szCs w:val="24"/>
        </w:rPr>
        <w:t>April</w:t>
      </w:r>
      <w:r w:rsidR="007C0EF8" w:rsidRPr="6F1BB916">
        <w:rPr>
          <w:sz w:val="24"/>
          <w:szCs w:val="24"/>
        </w:rPr>
        <w:t xml:space="preserve"> 2023</w:t>
      </w:r>
    </w:p>
    <w:p w14:paraId="7734050C" w14:textId="5F498048" w:rsidR="000258C6" w:rsidRPr="001372BD" w:rsidRDefault="000258C6" w:rsidP="6F1BB916">
      <w:pPr>
        <w:jc w:val="both"/>
        <w:rPr>
          <w:color w:val="00B0F0"/>
          <w:sz w:val="24"/>
          <w:szCs w:val="24"/>
        </w:rPr>
      </w:pPr>
      <w:r w:rsidRPr="5BD4F845">
        <w:rPr>
          <w:color w:val="00B0F0"/>
          <w:sz w:val="24"/>
          <w:szCs w:val="24"/>
        </w:rPr>
        <w:t xml:space="preserve">PSW:     </w:t>
      </w:r>
      <w:bookmarkEnd w:id="1"/>
      <w:r w:rsidR="61E796AB" w:rsidRPr="5BD4F845">
        <w:rPr>
          <w:color w:val="00B0F0"/>
          <w:sz w:val="24"/>
          <w:szCs w:val="24"/>
        </w:rPr>
        <w:t>Becky Lewis</w:t>
      </w:r>
    </w:p>
    <w:sectPr w:rsidR="000258C6" w:rsidRPr="00137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2E4F" w14:textId="77777777" w:rsidR="00A51488" w:rsidRDefault="00A51488" w:rsidP="00E2464A">
      <w:pPr>
        <w:spacing w:after="0" w:line="240" w:lineRule="auto"/>
      </w:pPr>
      <w:r>
        <w:separator/>
      </w:r>
    </w:p>
  </w:endnote>
  <w:endnote w:type="continuationSeparator" w:id="0">
    <w:p w14:paraId="2FBF8682" w14:textId="77777777" w:rsidR="00A51488" w:rsidRDefault="00A51488" w:rsidP="00E2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1EE8" w14:textId="77777777" w:rsidR="00A51488" w:rsidRDefault="00A51488" w:rsidP="00E2464A">
      <w:pPr>
        <w:spacing w:after="0" w:line="240" w:lineRule="auto"/>
      </w:pPr>
      <w:r>
        <w:separator/>
      </w:r>
    </w:p>
  </w:footnote>
  <w:footnote w:type="continuationSeparator" w:id="0">
    <w:p w14:paraId="0478BCD7" w14:textId="77777777" w:rsidR="00A51488" w:rsidRDefault="00A51488" w:rsidP="00E2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F22"/>
    <w:multiLevelType w:val="hybridMultilevel"/>
    <w:tmpl w:val="17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3727"/>
    <w:multiLevelType w:val="hybridMultilevel"/>
    <w:tmpl w:val="468C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71A5"/>
    <w:multiLevelType w:val="hybridMultilevel"/>
    <w:tmpl w:val="428E9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1C2F"/>
    <w:multiLevelType w:val="multilevel"/>
    <w:tmpl w:val="BD8A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E60FA"/>
    <w:multiLevelType w:val="hybridMultilevel"/>
    <w:tmpl w:val="39328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53428A"/>
    <w:multiLevelType w:val="hybridMultilevel"/>
    <w:tmpl w:val="E95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D54D2"/>
    <w:multiLevelType w:val="multilevel"/>
    <w:tmpl w:val="6EB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C3DAB"/>
    <w:multiLevelType w:val="hybridMultilevel"/>
    <w:tmpl w:val="2BE2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F03"/>
    <w:multiLevelType w:val="hybridMultilevel"/>
    <w:tmpl w:val="68D8C45A"/>
    <w:lvl w:ilvl="0" w:tplc="B8809B9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92452A"/>
    <w:multiLevelType w:val="multilevel"/>
    <w:tmpl w:val="244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27002"/>
    <w:multiLevelType w:val="multilevel"/>
    <w:tmpl w:val="9B98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2733E"/>
    <w:multiLevelType w:val="multilevel"/>
    <w:tmpl w:val="A6F4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021F7"/>
    <w:multiLevelType w:val="hybridMultilevel"/>
    <w:tmpl w:val="8D5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1766D"/>
    <w:multiLevelType w:val="hybridMultilevel"/>
    <w:tmpl w:val="27EABE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3C2B2D"/>
    <w:multiLevelType w:val="multilevel"/>
    <w:tmpl w:val="55A4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C1C65"/>
    <w:multiLevelType w:val="multilevel"/>
    <w:tmpl w:val="E8F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24959"/>
    <w:multiLevelType w:val="hybridMultilevel"/>
    <w:tmpl w:val="31D62E98"/>
    <w:lvl w:ilvl="0" w:tplc="00BA1E92">
      <w:start w:val="1"/>
      <w:numFmt w:val="bullet"/>
      <w:lvlText w:val="•"/>
      <w:lvlJc w:val="left"/>
      <w:pPr>
        <w:tabs>
          <w:tab w:val="num" w:pos="720"/>
        </w:tabs>
        <w:ind w:left="720" w:hanging="360"/>
      </w:pPr>
      <w:rPr>
        <w:rFonts w:ascii="Arial" w:hAnsi="Arial" w:hint="default"/>
      </w:rPr>
    </w:lvl>
    <w:lvl w:ilvl="1" w:tplc="239451AE" w:tentative="1">
      <w:start w:val="1"/>
      <w:numFmt w:val="bullet"/>
      <w:lvlText w:val="•"/>
      <w:lvlJc w:val="left"/>
      <w:pPr>
        <w:tabs>
          <w:tab w:val="num" w:pos="1440"/>
        </w:tabs>
        <w:ind w:left="1440" w:hanging="360"/>
      </w:pPr>
      <w:rPr>
        <w:rFonts w:ascii="Arial" w:hAnsi="Arial" w:hint="default"/>
      </w:rPr>
    </w:lvl>
    <w:lvl w:ilvl="2" w:tplc="DFA8B34C" w:tentative="1">
      <w:start w:val="1"/>
      <w:numFmt w:val="bullet"/>
      <w:lvlText w:val="•"/>
      <w:lvlJc w:val="left"/>
      <w:pPr>
        <w:tabs>
          <w:tab w:val="num" w:pos="2160"/>
        </w:tabs>
        <w:ind w:left="2160" w:hanging="360"/>
      </w:pPr>
      <w:rPr>
        <w:rFonts w:ascii="Arial" w:hAnsi="Arial" w:hint="default"/>
      </w:rPr>
    </w:lvl>
    <w:lvl w:ilvl="3" w:tplc="DF509042" w:tentative="1">
      <w:start w:val="1"/>
      <w:numFmt w:val="bullet"/>
      <w:lvlText w:val="•"/>
      <w:lvlJc w:val="left"/>
      <w:pPr>
        <w:tabs>
          <w:tab w:val="num" w:pos="2880"/>
        </w:tabs>
        <w:ind w:left="2880" w:hanging="360"/>
      </w:pPr>
      <w:rPr>
        <w:rFonts w:ascii="Arial" w:hAnsi="Arial" w:hint="default"/>
      </w:rPr>
    </w:lvl>
    <w:lvl w:ilvl="4" w:tplc="9EACCC3E" w:tentative="1">
      <w:start w:val="1"/>
      <w:numFmt w:val="bullet"/>
      <w:lvlText w:val="•"/>
      <w:lvlJc w:val="left"/>
      <w:pPr>
        <w:tabs>
          <w:tab w:val="num" w:pos="3600"/>
        </w:tabs>
        <w:ind w:left="3600" w:hanging="360"/>
      </w:pPr>
      <w:rPr>
        <w:rFonts w:ascii="Arial" w:hAnsi="Arial" w:hint="default"/>
      </w:rPr>
    </w:lvl>
    <w:lvl w:ilvl="5" w:tplc="DCB8230E" w:tentative="1">
      <w:start w:val="1"/>
      <w:numFmt w:val="bullet"/>
      <w:lvlText w:val="•"/>
      <w:lvlJc w:val="left"/>
      <w:pPr>
        <w:tabs>
          <w:tab w:val="num" w:pos="4320"/>
        </w:tabs>
        <w:ind w:left="4320" w:hanging="360"/>
      </w:pPr>
      <w:rPr>
        <w:rFonts w:ascii="Arial" w:hAnsi="Arial" w:hint="default"/>
      </w:rPr>
    </w:lvl>
    <w:lvl w:ilvl="6" w:tplc="451EE43C" w:tentative="1">
      <w:start w:val="1"/>
      <w:numFmt w:val="bullet"/>
      <w:lvlText w:val="•"/>
      <w:lvlJc w:val="left"/>
      <w:pPr>
        <w:tabs>
          <w:tab w:val="num" w:pos="5040"/>
        </w:tabs>
        <w:ind w:left="5040" w:hanging="360"/>
      </w:pPr>
      <w:rPr>
        <w:rFonts w:ascii="Arial" w:hAnsi="Arial" w:hint="default"/>
      </w:rPr>
    </w:lvl>
    <w:lvl w:ilvl="7" w:tplc="7E10D346" w:tentative="1">
      <w:start w:val="1"/>
      <w:numFmt w:val="bullet"/>
      <w:lvlText w:val="•"/>
      <w:lvlJc w:val="left"/>
      <w:pPr>
        <w:tabs>
          <w:tab w:val="num" w:pos="5760"/>
        </w:tabs>
        <w:ind w:left="5760" w:hanging="360"/>
      </w:pPr>
      <w:rPr>
        <w:rFonts w:ascii="Arial" w:hAnsi="Arial" w:hint="default"/>
      </w:rPr>
    </w:lvl>
    <w:lvl w:ilvl="8" w:tplc="D7DEFD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80CD3"/>
    <w:multiLevelType w:val="multilevel"/>
    <w:tmpl w:val="5A1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91FFA"/>
    <w:multiLevelType w:val="hybridMultilevel"/>
    <w:tmpl w:val="083E7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E43E75"/>
    <w:multiLevelType w:val="hybridMultilevel"/>
    <w:tmpl w:val="214A7C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29C4EBD"/>
    <w:multiLevelType w:val="hybridMultilevel"/>
    <w:tmpl w:val="D842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4640B"/>
    <w:multiLevelType w:val="multilevel"/>
    <w:tmpl w:val="80E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A0D90"/>
    <w:multiLevelType w:val="multilevel"/>
    <w:tmpl w:val="FF6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23C81"/>
    <w:multiLevelType w:val="hybridMultilevel"/>
    <w:tmpl w:val="DBF28562"/>
    <w:lvl w:ilvl="0" w:tplc="61AC8860">
      <w:start w:val="1"/>
      <w:numFmt w:val="bullet"/>
      <w:lvlText w:val="•"/>
      <w:lvlJc w:val="left"/>
      <w:pPr>
        <w:tabs>
          <w:tab w:val="num" w:pos="720"/>
        </w:tabs>
        <w:ind w:left="720" w:hanging="360"/>
      </w:pPr>
      <w:rPr>
        <w:rFonts w:ascii="Arial" w:hAnsi="Arial" w:hint="default"/>
      </w:rPr>
    </w:lvl>
    <w:lvl w:ilvl="1" w:tplc="436C0F36" w:tentative="1">
      <w:start w:val="1"/>
      <w:numFmt w:val="bullet"/>
      <w:lvlText w:val="•"/>
      <w:lvlJc w:val="left"/>
      <w:pPr>
        <w:tabs>
          <w:tab w:val="num" w:pos="1440"/>
        </w:tabs>
        <w:ind w:left="1440" w:hanging="360"/>
      </w:pPr>
      <w:rPr>
        <w:rFonts w:ascii="Arial" w:hAnsi="Arial" w:hint="default"/>
      </w:rPr>
    </w:lvl>
    <w:lvl w:ilvl="2" w:tplc="0668FEA0" w:tentative="1">
      <w:start w:val="1"/>
      <w:numFmt w:val="bullet"/>
      <w:lvlText w:val="•"/>
      <w:lvlJc w:val="left"/>
      <w:pPr>
        <w:tabs>
          <w:tab w:val="num" w:pos="2160"/>
        </w:tabs>
        <w:ind w:left="2160" w:hanging="360"/>
      </w:pPr>
      <w:rPr>
        <w:rFonts w:ascii="Arial" w:hAnsi="Arial" w:hint="default"/>
      </w:rPr>
    </w:lvl>
    <w:lvl w:ilvl="3" w:tplc="CCC06D2E" w:tentative="1">
      <w:start w:val="1"/>
      <w:numFmt w:val="bullet"/>
      <w:lvlText w:val="•"/>
      <w:lvlJc w:val="left"/>
      <w:pPr>
        <w:tabs>
          <w:tab w:val="num" w:pos="2880"/>
        </w:tabs>
        <w:ind w:left="2880" w:hanging="360"/>
      </w:pPr>
      <w:rPr>
        <w:rFonts w:ascii="Arial" w:hAnsi="Arial" w:hint="default"/>
      </w:rPr>
    </w:lvl>
    <w:lvl w:ilvl="4" w:tplc="E486A0E6" w:tentative="1">
      <w:start w:val="1"/>
      <w:numFmt w:val="bullet"/>
      <w:lvlText w:val="•"/>
      <w:lvlJc w:val="left"/>
      <w:pPr>
        <w:tabs>
          <w:tab w:val="num" w:pos="3600"/>
        </w:tabs>
        <w:ind w:left="3600" w:hanging="360"/>
      </w:pPr>
      <w:rPr>
        <w:rFonts w:ascii="Arial" w:hAnsi="Arial" w:hint="default"/>
      </w:rPr>
    </w:lvl>
    <w:lvl w:ilvl="5" w:tplc="2C04E1AE" w:tentative="1">
      <w:start w:val="1"/>
      <w:numFmt w:val="bullet"/>
      <w:lvlText w:val="•"/>
      <w:lvlJc w:val="left"/>
      <w:pPr>
        <w:tabs>
          <w:tab w:val="num" w:pos="4320"/>
        </w:tabs>
        <w:ind w:left="4320" w:hanging="360"/>
      </w:pPr>
      <w:rPr>
        <w:rFonts w:ascii="Arial" w:hAnsi="Arial" w:hint="default"/>
      </w:rPr>
    </w:lvl>
    <w:lvl w:ilvl="6" w:tplc="698EDB30" w:tentative="1">
      <w:start w:val="1"/>
      <w:numFmt w:val="bullet"/>
      <w:lvlText w:val="•"/>
      <w:lvlJc w:val="left"/>
      <w:pPr>
        <w:tabs>
          <w:tab w:val="num" w:pos="5040"/>
        </w:tabs>
        <w:ind w:left="5040" w:hanging="360"/>
      </w:pPr>
      <w:rPr>
        <w:rFonts w:ascii="Arial" w:hAnsi="Arial" w:hint="default"/>
      </w:rPr>
    </w:lvl>
    <w:lvl w:ilvl="7" w:tplc="6B6C713E" w:tentative="1">
      <w:start w:val="1"/>
      <w:numFmt w:val="bullet"/>
      <w:lvlText w:val="•"/>
      <w:lvlJc w:val="left"/>
      <w:pPr>
        <w:tabs>
          <w:tab w:val="num" w:pos="5760"/>
        </w:tabs>
        <w:ind w:left="5760" w:hanging="360"/>
      </w:pPr>
      <w:rPr>
        <w:rFonts w:ascii="Arial" w:hAnsi="Arial" w:hint="default"/>
      </w:rPr>
    </w:lvl>
    <w:lvl w:ilvl="8" w:tplc="BC9898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CF45A3"/>
    <w:multiLevelType w:val="multilevel"/>
    <w:tmpl w:val="66C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44E36"/>
    <w:multiLevelType w:val="hybridMultilevel"/>
    <w:tmpl w:val="4A8073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DCCC9A5"/>
    <w:multiLevelType w:val="hybridMultilevel"/>
    <w:tmpl w:val="8796F138"/>
    <w:lvl w:ilvl="0" w:tplc="A0DC9CA2">
      <w:start w:val="1"/>
      <w:numFmt w:val="bullet"/>
      <w:lvlText w:val=""/>
      <w:lvlJc w:val="left"/>
      <w:pPr>
        <w:ind w:left="720" w:hanging="360"/>
      </w:pPr>
      <w:rPr>
        <w:rFonts w:ascii="Symbol" w:hAnsi="Symbol" w:hint="default"/>
      </w:rPr>
    </w:lvl>
    <w:lvl w:ilvl="1" w:tplc="5AF00774">
      <w:start w:val="1"/>
      <w:numFmt w:val="bullet"/>
      <w:lvlText w:val="o"/>
      <w:lvlJc w:val="left"/>
      <w:pPr>
        <w:ind w:left="1440" w:hanging="360"/>
      </w:pPr>
      <w:rPr>
        <w:rFonts w:ascii="Courier New" w:hAnsi="Courier New" w:hint="default"/>
      </w:rPr>
    </w:lvl>
    <w:lvl w:ilvl="2" w:tplc="432E8904">
      <w:start w:val="1"/>
      <w:numFmt w:val="bullet"/>
      <w:lvlText w:val=""/>
      <w:lvlJc w:val="left"/>
      <w:pPr>
        <w:ind w:left="2160" w:hanging="360"/>
      </w:pPr>
      <w:rPr>
        <w:rFonts w:ascii="Wingdings" w:hAnsi="Wingdings" w:hint="default"/>
      </w:rPr>
    </w:lvl>
    <w:lvl w:ilvl="3" w:tplc="C25A700A">
      <w:start w:val="1"/>
      <w:numFmt w:val="bullet"/>
      <w:lvlText w:val=""/>
      <w:lvlJc w:val="left"/>
      <w:pPr>
        <w:ind w:left="2880" w:hanging="360"/>
      </w:pPr>
      <w:rPr>
        <w:rFonts w:ascii="Symbol" w:hAnsi="Symbol" w:hint="default"/>
      </w:rPr>
    </w:lvl>
    <w:lvl w:ilvl="4" w:tplc="87881294">
      <w:start w:val="1"/>
      <w:numFmt w:val="bullet"/>
      <w:lvlText w:val="o"/>
      <w:lvlJc w:val="left"/>
      <w:pPr>
        <w:ind w:left="3600" w:hanging="360"/>
      </w:pPr>
      <w:rPr>
        <w:rFonts w:ascii="Courier New" w:hAnsi="Courier New" w:hint="default"/>
      </w:rPr>
    </w:lvl>
    <w:lvl w:ilvl="5" w:tplc="05BA1A52">
      <w:start w:val="1"/>
      <w:numFmt w:val="bullet"/>
      <w:lvlText w:val=""/>
      <w:lvlJc w:val="left"/>
      <w:pPr>
        <w:ind w:left="4320" w:hanging="360"/>
      </w:pPr>
      <w:rPr>
        <w:rFonts w:ascii="Wingdings" w:hAnsi="Wingdings" w:hint="default"/>
      </w:rPr>
    </w:lvl>
    <w:lvl w:ilvl="6" w:tplc="35E26A8C">
      <w:start w:val="1"/>
      <w:numFmt w:val="bullet"/>
      <w:lvlText w:val=""/>
      <w:lvlJc w:val="left"/>
      <w:pPr>
        <w:ind w:left="5040" w:hanging="360"/>
      </w:pPr>
      <w:rPr>
        <w:rFonts w:ascii="Symbol" w:hAnsi="Symbol" w:hint="default"/>
      </w:rPr>
    </w:lvl>
    <w:lvl w:ilvl="7" w:tplc="13A4ECDA">
      <w:start w:val="1"/>
      <w:numFmt w:val="bullet"/>
      <w:lvlText w:val="o"/>
      <w:lvlJc w:val="left"/>
      <w:pPr>
        <w:ind w:left="5760" w:hanging="360"/>
      </w:pPr>
      <w:rPr>
        <w:rFonts w:ascii="Courier New" w:hAnsi="Courier New" w:hint="default"/>
      </w:rPr>
    </w:lvl>
    <w:lvl w:ilvl="8" w:tplc="FD8A5E8E">
      <w:start w:val="1"/>
      <w:numFmt w:val="bullet"/>
      <w:lvlText w:val=""/>
      <w:lvlJc w:val="left"/>
      <w:pPr>
        <w:ind w:left="6480" w:hanging="360"/>
      </w:pPr>
      <w:rPr>
        <w:rFonts w:ascii="Wingdings" w:hAnsi="Wingdings" w:hint="default"/>
      </w:rPr>
    </w:lvl>
  </w:abstractNum>
  <w:num w:numId="1" w16cid:durableId="342366454">
    <w:abstractNumId w:val="27"/>
  </w:num>
  <w:num w:numId="2" w16cid:durableId="1996839862">
    <w:abstractNumId w:val="3"/>
  </w:num>
  <w:num w:numId="3" w16cid:durableId="198444310">
    <w:abstractNumId w:val="0"/>
  </w:num>
  <w:num w:numId="4" w16cid:durableId="620110859">
    <w:abstractNumId w:val="19"/>
  </w:num>
  <w:num w:numId="5" w16cid:durableId="1411999540">
    <w:abstractNumId w:val="5"/>
  </w:num>
  <w:num w:numId="6" w16cid:durableId="1059863478">
    <w:abstractNumId w:val="6"/>
  </w:num>
  <w:num w:numId="7" w16cid:durableId="1493138913">
    <w:abstractNumId w:val="13"/>
  </w:num>
  <w:num w:numId="8" w16cid:durableId="1783649268">
    <w:abstractNumId w:val="17"/>
  </w:num>
  <w:num w:numId="9" w16cid:durableId="1662349199">
    <w:abstractNumId w:val="24"/>
  </w:num>
  <w:num w:numId="10" w16cid:durableId="222758279">
    <w:abstractNumId w:val="13"/>
  </w:num>
  <w:num w:numId="11" w16cid:durableId="1807819155">
    <w:abstractNumId w:val="13"/>
  </w:num>
  <w:num w:numId="12" w16cid:durableId="1817338114">
    <w:abstractNumId w:val="26"/>
  </w:num>
  <w:num w:numId="13" w16cid:durableId="1594977045">
    <w:abstractNumId w:val="8"/>
  </w:num>
  <w:num w:numId="14" w16cid:durableId="1106005812">
    <w:abstractNumId w:val="20"/>
  </w:num>
  <w:num w:numId="15" w16cid:durableId="1193805383">
    <w:abstractNumId w:val="9"/>
  </w:num>
  <w:num w:numId="16" w16cid:durableId="736972061">
    <w:abstractNumId w:val="2"/>
  </w:num>
  <w:num w:numId="17" w16cid:durableId="1050958278">
    <w:abstractNumId w:val="14"/>
  </w:num>
  <w:num w:numId="18" w16cid:durableId="160584475">
    <w:abstractNumId w:val="1"/>
  </w:num>
  <w:num w:numId="19" w16cid:durableId="1276986242">
    <w:abstractNumId w:val="12"/>
  </w:num>
  <w:num w:numId="20" w16cid:durableId="286395331">
    <w:abstractNumId w:val="7"/>
  </w:num>
  <w:num w:numId="21" w16cid:durableId="2063211476">
    <w:abstractNumId w:val="18"/>
  </w:num>
  <w:num w:numId="22" w16cid:durableId="1549805058">
    <w:abstractNumId w:val="15"/>
  </w:num>
  <w:num w:numId="23" w16cid:durableId="1603680283">
    <w:abstractNumId w:val="22"/>
  </w:num>
  <w:num w:numId="24" w16cid:durableId="376590436">
    <w:abstractNumId w:val="4"/>
  </w:num>
  <w:num w:numId="25" w16cid:durableId="1321419932">
    <w:abstractNumId w:val="16"/>
  </w:num>
  <w:num w:numId="26" w16cid:durableId="1557357828">
    <w:abstractNumId w:val="25"/>
  </w:num>
  <w:num w:numId="27" w16cid:durableId="470830466">
    <w:abstractNumId w:val="11"/>
  </w:num>
  <w:num w:numId="28" w16cid:durableId="846754057">
    <w:abstractNumId w:val="10"/>
  </w:num>
  <w:num w:numId="29" w16cid:durableId="951321619">
    <w:abstractNumId w:val="23"/>
  </w:num>
  <w:num w:numId="30" w16cid:durableId="16136596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0"/>
    <w:rsid w:val="000128A4"/>
    <w:rsid w:val="00014B72"/>
    <w:rsid w:val="000258C6"/>
    <w:rsid w:val="0004265F"/>
    <w:rsid w:val="0005119E"/>
    <w:rsid w:val="000647D6"/>
    <w:rsid w:val="0006514C"/>
    <w:rsid w:val="000A68EF"/>
    <w:rsid w:val="001372BD"/>
    <w:rsid w:val="00192C73"/>
    <w:rsid w:val="001C1BDC"/>
    <w:rsid w:val="001C6E71"/>
    <w:rsid w:val="001D1449"/>
    <w:rsid w:val="002134EF"/>
    <w:rsid w:val="00213CC7"/>
    <w:rsid w:val="00226160"/>
    <w:rsid w:val="002310DE"/>
    <w:rsid w:val="00232457"/>
    <w:rsid w:val="0026336B"/>
    <w:rsid w:val="002838B2"/>
    <w:rsid w:val="00283EF6"/>
    <w:rsid w:val="00285B95"/>
    <w:rsid w:val="002A73E3"/>
    <w:rsid w:val="002B304E"/>
    <w:rsid w:val="002B5360"/>
    <w:rsid w:val="002B7714"/>
    <w:rsid w:val="0030660C"/>
    <w:rsid w:val="00326249"/>
    <w:rsid w:val="003411EF"/>
    <w:rsid w:val="00344272"/>
    <w:rsid w:val="00362E56"/>
    <w:rsid w:val="00365CD9"/>
    <w:rsid w:val="0038258A"/>
    <w:rsid w:val="003967BB"/>
    <w:rsid w:val="003A2AB0"/>
    <w:rsid w:val="003B1E50"/>
    <w:rsid w:val="003F2B1C"/>
    <w:rsid w:val="0044076D"/>
    <w:rsid w:val="004413DB"/>
    <w:rsid w:val="00441D60"/>
    <w:rsid w:val="004437C0"/>
    <w:rsid w:val="00445C03"/>
    <w:rsid w:val="004563BE"/>
    <w:rsid w:val="00480FA6"/>
    <w:rsid w:val="00487D0F"/>
    <w:rsid w:val="00490AB6"/>
    <w:rsid w:val="004A4680"/>
    <w:rsid w:val="004E2747"/>
    <w:rsid w:val="004E69A0"/>
    <w:rsid w:val="004F506D"/>
    <w:rsid w:val="00517DC0"/>
    <w:rsid w:val="00525945"/>
    <w:rsid w:val="005F71B0"/>
    <w:rsid w:val="0065460D"/>
    <w:rsid w:val="006732B9"/>
    <w:rsid w:val="00695DB9"/>
    <w:rsid w:val="006A1C18"/>
    <w:rsid w:val="006D40B8"/>
    <w:rsid w:val="007014DD"/>
    <w:rsid w:val="007203D9"/>
    <w:rsid w:val="00725E08"/>
    <w:rsid w:val="00764B50"/>
    <w:rsid w:val="007B549E"/>
    <w:rsid w:val="007C0EF8"/>
    <w:rsid w:val="007E4E30"/>
    <w:rsid w:val="00801806"/>
    <w:rsid w:val="00806D34"/>
    <w:rsid w:val="00813BD8"/>
    <w:rsid w:val="00831793"/>
    <w:rsid w:val="0083221E"/>
    <w:rsid w:val="008408B1"/>
    <w:rsid w:val="00864439"/>
    <w:rsid w:val="0086745C"/>
    <w:rsid w:val="008A5CEC"/>
    <w:rsid w:val="009647A8"/>
    <w:rsid w:val="009A52AB"/>
    <w:rsid w:val="009D031E"/>
    <w:rsid w:val="00A032ED"/>
    <w:rsid w:val="00A0764C"/>
    <w:rsid w:val="00A1231B"/>
    <w:rsid w:val="00A16622"/>
    <w:rsid w:val="00A31A46"/>
    <w:rsid w:val="00A51488"/>
    <w:rsid w:val="00A7433B"/>
    <w:rsid w:val="00A83416"/>
    <w:rsid w:val="00A846D5"/>
    <w:rsid w:val="00AE2A4F"/>
    <w:rsid w:val="00B00081"/>
    <w:rsid w:val="00B208D0"/>
    <w:rsid w:val="00B77C32"/>
    <w:rsid w:val="00BB0673"/>
    <w:rsid w:val="00BB1F04"/>
    <w:rsid w:val="00BC3717"/>
    <w:rsid w:val="00BC5F0C"/>
    <w:rsid w:val="00BE023F"/>
    <w:rsid w:val="00BE6D59"/>
    <w:rsid w:val="00C03B75"/>
    <w:rsid w:val="00C13C2F"/>
    <w:rsid w:val="00C269B2"/>
    <w:rsid w:val="00C4256F"/>
    <w:rsid w:val="00C4637B"/>
    <w:rsid w:val="00C62DA6"/>
    <w:rsid w:val="00C635EF"/>
    <w:rsid w:val="00C734E7"/>
    <w:rsid w:val="00C8795C"/>
    <w:rsid w:val="00CE2B6C"/>
    <w:rsid w:val="00D67C49"/>
    <w:rsid w:val="00D75AEB"/>
    <w:rsid w:val="00DD104F"/>
    <w:rsid w:val="00DF41F7"/>
    <w:rsid w:val="00DF65A4"/>
    <w:rsid w:val="00E226A4"/>
    <w:rsid w:val="00E2464A"/>
    <w:rsid w:val="00E710A6"/>
    <w:rsid w:val="00EA1532"/>
    <w:rsid w:val="00EA5DDE"/>
    <w:rsid w:val="00ED5758"/>
    <w:rsid w:val="00ED7E48"/>
    <w:rsid w:val="00EF0C34"/>
    <w:rsid w:val="00F026D0"/>
    <w:rsid w:val="00F509FE"/>
    <w:rsid w:val="00F63E39"/>
    <w:rsid w:val="00F643C2"/>
    <w:rsid w:val="00F6730E"/>
    <w:rsid w:val="00F745D2"/>
    <w:rsid w:val="00F93C45"/>
    <w:rsid w:val="00FC7235"/>
    <w:rsid w:val="00FC7D30"/>
    <w:rsid w:val="02593074"/>
    <w:rsid w:val="034F7370"/>
    <w:rsid w:val="0918AF4E"/>
    <w:rsid w:val="19E192C0"/>
    <w:rsid w:val="1C3FE87E"/>
    <w:rsid w:val="36C5312E"/>
    <w:rsid w:val="37AE0ED3"/>
    <w:rsid w:val="39E115DB"/>
    <w:rsid w:val="3B620240"/>
    <w:rsid w:val="4711CADC"/>
    <w:rsid w:val="49E35152"/>
    <w:rsid w:val="4CF42F1E"/>
    <w:rsid w:val="5259919C"/>
    <w:rsid w:val="56F295E1"/>
    <w:rsid w:val="5BD4F845"/>
    <w:rsid w:val="61E796AB"/>
    <w:rsid w:val="62146671"/>
    <w:rsid w:val="62E6E83D"/>
    <w:rsid w:val="65F47948"/>
    <w:rsid w:val="6F1BB916"/>
    <w:rsid w:val="6F3ED0D4"/>
    <w:rsid w:val="70DAA135"/>
    <w:rsid w:val="7A35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D8AF"/>
  <w15:docId w15:val="{0A5462E2-C9F5-4FEC-8D8F-9563E4C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0C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0C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F0C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 w:type="character" w:styleId="CommentReference">
    <w:name w:val="annotation reference"/>
    <w:basedOn w:val="DefaultParagraphFont"/>
    <w:uiPriority w:val="99"/>
    <w:semiHidden/>
    <w:unhideWhenUsed/>
    <w:rsid w:val="008A5CEC"/>
    <w:rPr>
      <w:sz w:val="16"/>
      <w:szCs w:val="16"/>
    </w:rPr>
  </w:style>
  <w:style w:type="paragraph" w:styleId="CommentText">
    <w:name w:val="annotation text"/>
    <w:basedOn w:val="Normal"/>
    <w:link w:val="CommentTextChar"/>
    <w:uiPriority w:val="99"/>
    <w:semiHidden/>
    <w:unhideWhenUsed/>
    <w:rsid w:val="008A5CEC"/>
    <w:pPr>
      <w:spacing w:line="240" w:lineRule="auto"/>
    </w:pPr>
    <w:rPr>
      <w:sz w:val="20"/>
      <w:szCs w:val="20"/>
    </w:rPr>
  </w:style>
  <w:style w:type="character" w:customStyle="1" w:styleId="CommentTextChar">
    <w:name w:val="Comment Text Char"/>
    <w:basedOn w:val="DefaultParagraphFont"/>
    <w:link w:val="CommentText"/>
    <w:uiPriority w:val="99"/>
    <w:semiHidden/>
    <w:rsid w:val="008A5CEC"/>
    <w:rPr>
      <w:sz w:val="20"/>
      <w:szCs w:val="20"/>
    </w:rPr>
  </w:style>
  <w:style w:type="paragraph" w:styleId="CommentSubject">
    <w:name w:val="annotation subject"/>
    <w:basedOn w:val="CommentText"/>
    <w:next w:val="CommentText"/>
    <w:link w:val="CommentSubjectChar"/>
    <w:uiPriority w:val="99"/>
    <w:semiHidden/>
    <w:unhideWhenUsed/>
    <w:rsid w:val="008A5CEC"/>
    <w:rPr>
      <w:b/>
      <w:bCs/>
    </w:rPr>
  </w:style>
  <w:style w:type="character" w:customStyle="1" w:styleId="CommentSubjectChar">
    <w:name w:val="Comment Subject Char"/>
    <w:basedOn w:val="CommentTextChar"/>
    <w:link w:val="CommentSubject"/>
    <w:uiPriority w:val="99"/>
    <w:semiHidden/>
    <w:rsid w:val="008A5CEC"/>
    <w:rPr>
      <w:b/>
      <w:bCs/>
      <w:sz w:val="20"/>
      <w:szCs w:val="20"/>
    </w:rPr>
  </w:style>
  <w:style w:type="character" w:styleId="Hyperlink">
    <w:name w:val="Hyperlink"/>
    <w:basedOn w:val="DefaultParagraphFont"/>
    <w:uiPriority w:val="99"/>
    <w:unhideWhenUsed/>
    <w:rsid w:val="00F63E39"/>
    <w:rPr>
      <w:color w:val="0000FF" w:themeColor="hyperlink"/>
      <w:u w:val="single"/>
    </w:rPr>
  </w:style>
  <w:style w:type="character" w:styleId="UnresolvedMention">
    <w:name w:val="Unresolved Mention"/>
    <w:basedOn w:val="DefaultParagraphFont"/>
    <w:uiPriority w:val="99"/>
    <w:semiHidden/>
    <w:unhideWhenUsed/>
    <w:rsid w:val="00F63E39"/>
    <w:rPr>
      <w:color w:val="605E5C"/>
      <w:shd w:val="clear" w:color="auto" w:fill="E1DFDD"/>
    </w:rPr>
  </w:style>
  <w:style w:type="paragraph" w:styleId="Revision">
    <w:name w:val="Revision"/>
    <w:hidden/>
    <w:uiPriority w:val="99"/>
    <w:semiHidden/>
    <w:rsid w:val="004563BE"/>
    <w:pPr>
      <w:spacing w:after="0" w:line="240" w:lineRule="auto"/>
    </w:pPr>
  </w:style>
  <w:style w:type="character" w:customStyle="1" w:styleId="Heading2Char">
    <w:name w:val="Heading 2 Char"/>
    <w:basedOn w:val="DefaultParagraphFont"/>
    <w:link w:val="Heading2"/>
    <w:uiPriority w:val="9"/>
    <w:rsid w:val="00EF0C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C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F0C3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F0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EF0C34"/>
  </w:style>
  <w:style w:type="character" w:customStyle="1" w:styleId="italic">
    <w:name w:val="italic"/>
    <w:basedOn w:val="DefaultParagraphFont"/>
    <w:rsid w:val="00EF0C34"/>
  </w:style>
  <w:style w:type="paragraph" w:customStyle="1" w:styleId="tinytext">
    <w:name w:val="tiny_text"/>
    <w:basedOn w:val="Normal"/>
    <w:rsid w:val="00EF0C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3subheadingnounderline">
    <w:name w:val="h3_subheading_no_underline"/>
    <w:basedOn w:val="Normal"/>
    <w:rsid w:val="00EF0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nytext1">
    <w:name w:val="tiny_text1"/>
    <w:basedOn w:val="DefaultParagraphFont"/>
    <w:rsid w:val="00EF0C34"/>
  </w:style>
  <w:style w:type="character" w:styleId="FollowedHyperlink">
    <w:name w:val="FollowedHyperlink"/>
    <w:basedOn w:val="DefaultParagraphFont"/>
    <w:uiPriority w:val="99"/>
    <w:semiHidden/>
    <w:unhideWhenUsed/>
    <w:rsid w:val="00EF0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117">
      <w:bodyDiv w:val="1"/>
      <w:marLeft w:val="0"/>
      <w:marRight w:val="0"/>
      <w:marTop w:val="0"/>
      <w:marBottom w:val="0"/>
      <w:divBdr>
        <w:top w:val="none" w:sz="0" w:space="0" w:color="auto"/>
        <w:left w:val="none" w:sz="0" w:space="0" w:color="auto"/>
        <w:bottom w:val="none" w:sz="0" w:space="0" w:color="auto"/>
        <w:right w:val="none" w:sz="0" w:space="0" w:color="auto"/>
      </w:divBdr>
    </w:div>
    <w:div w:id="294721615">
      <w:bodyDiv w:val="1"/>
      <w:marLeft w:val="0"/>
      <w:marRight w:val="0"/>
      <w:marTop w:val="0"/>
      <w:marBottom w:val="0"/>
      <w:divBdr>
        <w:top w:val="none" w:sz="0" w:space="0" w:color="auto"/>
        <w:left w:val="none" w:sz="0" w:space="0" w:color="auto"/>
        <w:bottom w:val="none" w:sz="0" w:space="0" w:color="auto"/>
        <w:right w:val="none" w:sz="0" w:space="0" w:color="auto"/>
      </w:divBdr>
    </w:div>
    <w:div w:id="507015404">
      <w:bodyDiv w:val="1"/>
      <w:marLeft w:val="0"/>
      <w:marRight w:val="0"/>
      <w:marTop w:val="0"/>
      <w:marBottom w:val="0"/>
      <w:divBdr>
        <w:top w:val="none" w:sz="0" w:space="0" w:color="auto"/>
        <w:left w:val="none" w:sz="0" w:space="0" w:color="auto"/>
        <w:bottom w:val="none" w:sz="0" w:space="0" w:color="auto"/>
        <w:right w:val="none" w:sz="0" w:space="0" w:color="auto"/>
      </w:divBdr>
      <w:divsChild>
        <w:div w:id="988896563">
          <w:marLeft w:val="360"/>
          <w:marRight w:val="0"/>
          <w:marTop w:val="200"/>
          <w:marBottom w:val="0"/>
          <w:divBdr>
            <w:top w:val="none" w:sz="0" w:space="0" w:color="auto"/>
            <w:left w:val="none" w:sz="0" w:space="0" w:color="auto"/>
            <w:bottom w:val="none" w:sz="0" w:space="0" w:color="auto"/>
            <w:right w:val="none" w:sz="0" w:space="0" w:color="auto"/>
          </w:divBdr>
        </w:div>
      </w:divsChild>
    </w:div>
    <w:div w:id="98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33278815">
          <w:marLeft w:val="360"/>
          <w:marRight w:val="0"/>
          <w:marTop w:val="200"/>
          <w:marBottom w:val="0"/>
          <w:divBdr>
            <w:top w:val="none" w:sz="0" w:space="0" w:color="auto"/>
            <w:left w:val="none" w:sz="0" w:space="0" w:color="auto"/>
            <w:bottom w:val="none" w:sz="0" w:space="0" w:color="auto"/>
            <w:right w:val="none" w:sz="0" w:space="0" w:color="auto"/>
          </w:divBdr>
        </w:div>
        <w:div w:id="590431841">
          <w:marLeft w:val="360"/>
          <w:marRight w:val="0"/>
          <w:marTop w:val="200"/>
          <w:marBottom w:val="0"/>
          <w:divBdr>
            <w:top w:val="none" w:sz="0" w:space="0" w:color="auto"/>
            <w:left w:val="none" w:sz="0" w:space="0" w:color="auto"/>
            <w:bottom w:val="none" w:sz="0" w:space="0" w:color="auto"/>
            <w:right w:val="none" w:sz="0" w:space="0" w:color="auto"/>
          </w:divBdr>
        </w:div>
        <w:div w:id="698898447">
          <w:marLeft w:val="360"/>
          <w:marRight w:val="0"/>
          <w:marTop w:val="200"/>
          <w:marBottom w:val="0"/>
          <w:divBdr>
            <w:top w:val="none" w:sz="0" w:space="0" w:color="auto"/>
            <w:left w:val="none" w:sz="0" w:space="0" w:color="auto"/>
            <w:bottom w:val="none" w:sz="0" w:space="0" w:color="auto"/>
            <w:right w:val="none" w:sz="0" w:space="0" w:color="auto"/>
          </w:divBdr>
        </w:div>
        <w:div w:id="852037079">
          <w:marLeft w:val="360"/>
          <w:marRight w:val="0"/>
          <w:marTop w:val="200"/>
          <w:marBottom w:val="0"/>
          <w:divBdr>
            <w:top w:val="none" w:sz="0" w:space="0" w:color="auto"/>
            <w:left w:val="none" w:sz="0" w:space="0" w:color="auto"/>
            <w:bottom w:val="none" w:sz="0" w:space="0" w:color="auto"/>
            <w:right w:val="none" w:sz="0" w:space="0" w:color="auto"/>
          </w:divBdr>
        </w:div>
        <w:div w:id="1131483378">
          <w:marLeft w:val="360"/>
          <w:marRight w:val="0"/>
          <w:marTop w:val="200"/>
          <w:marBottom w:val="0"/>
          <w:divBdr>
            <w:top w:val="none" w:sz="0" w:space="0" w:color="auto"/>
            <w:left w:val="none" w:sz="0" w:space="0" w:color="auto"/>
            <w:bottom w:val="none" w:sz="0" w:space="0" w:color="auto"/>
            <w:right w:val="none" w:sz="0" w:space="0" w:color="auto"/>
          </w:divBdr>
        </w:div>
        <w:div w:id="1547329972">
          <w:marLeft w:val="360"/>
          <w:marRight w:val="0"/>
          <w:marTop w:val="200"/>
          <w:marBottom w:val="0"/>
          <w:divBdr>
            <w:top w:val="none" w:sz="0" w:space="0" w:color="auto"/>
            <w:left w:val="none" w:sz="0" w:space="0" w:color="auto"/>
            <w:bottom w:val="none" w:sz="0" w:space="0" w:color="auto"/>
            <w:right w:val="none" w:sz="0" w:space="0" w:color="auto"/>
          </w:divBdr>
        </w:div>
        <w:div w:id="1053652742">
          <w:marLeft w:val="360"/>
          <w:marRight w:val="0"/>
          <w:marTop w:val="200"/>
          <w:marBottom w:val="0"/>
          <w:divBdr>
            <w:top w:val="none" w:sz="0" w:space="0" w:color="auto"/>
            <w:left w:val="none" w:sz="0" w:space="0" w:color="auto"/>
            <w:bottom w:val="none" w:sz="0" w:space="0" w:color="auto"/>
            <w:right w:val="none" w:sz="0" w:space="0" w:color="auto"/>
          </w:divBdr>
        </w:div>
        <w:div w:id="1460033120">
          <w:marLeft w:val="360"/>
          <w:marRight w:val="0"/>
          <w:marTop w:val="200"/>
          <w:marBottom w:val="0"/>
          <w:divBdr>
            <w:top w:val="none" w:sz="0" w:space="0" w:color="auto"/>
            <w:left w:val="none" w:sz="0" w:space="0" w:color="auto"/>
            <w:bottom w:val="none" w:sz="0" w:space="0" w:color="auto"/>
            <w:right w:val="none" w:sz="0" w:space="0" w:color="auto"/>
          </w:divBdr>
        </w:div>
        <w:div w:id="1554464615">
          <w:marLeft w:val="360"/>
          <w:marRight w:val="0"/>
          <w:marTop w:val="200"/>
          <w:marBottom w:val="0"/>
          <w:divBdr>
            <w:top w:val="none" w:sz="0" w:space="0" w:color="auto"/>
            <w:left w:val="none" w:sz="0" w:space="0" w:color="auto"/>
            <w:bottom w:val="none" w:sz="0" w:space="0" w:color="auto"/>
            <w:right w:val="none" w:sz="0" w:space="0" w:color="auto"/>
          </w:divBdr>
        </w:div>
        <w:div w:id="236137513">
          <w:marLeft w:val="360"/>
          <w:marRight w:val="0"/>
          <w:marTop w:val="200"/>
          <w:marBottom w:val="0"/>
          <w:divBdr>
            <w:top w:val="none" w:sz="0" w:space="0" w:color="auto"/>
            <w:left w:val="none" w:sz="0" w:space="0" w:color="auto"/>
            <w:bottom w:val="none" w:sz="0" w:space="0" w:color="auto"/>
            <w:right w:val="none" w:sz="0" w:space="0" w:color="auto"/>
          </w:divBdr>
        </w:div>
      </w:divsChild>
    </w:div>
    <w:div w:id="1256522043">
      <w:bodyDiv w:val="1"/>
      <w:marLeft w:val="0"/>
      <w:marRight w:val="0"/>
      <w:marTop w:val="0"/>
      <w:marBottom w:val="0"/>
      <w:divBdr>
        <w:top w:val="none" w:sz="0" w:space="0" w:color="auto"/>
        <w:left w:val="none" w:sz="0" w:space="0" w:color="auto"/>
        <w:bottom w:val="none" w:sz="0" w:space="0" w:color="auto"/>
        <w:right w:val="none" w:sz="0" w:space="0" w:color="auto"/>
      </w:divBdr>
    </w:div>
    <w:div w:id="1365598036">
      <w:bodyDiv w:val="1"/>
      <w:marLeft w:val="0"/>
      <w:marRight w:val="0"/>
      <w:marTop w:val="0"/>
      <w:marBottom w:val="0"/>
      <w:divBdr>
        <w:top w:val="none" w:sz="0" w:space="0" w:color="auto"/>
        <w:left w:val="none" w:sz="0" w:space="0" w:color="auto"/>
        <w:bottom w:val="none" w:sz="0" w:space="0" w:color="auto"/>
        <w:right w:val="none" w:sz="0" w:space="0" w:color="auto"/>
      </w:divBdr>
    </w:div>
    <w:div w:id="17413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StartDate xmlns="d373b4a9-5e9c-4a91-95b1-33b421fa774e" xsi:nil="true"/>
    <z0m9 xmlns="19d215d3-1cde-4422-9399-fd972d44f24f" xsi:nil="true"/>
    <RetentionEvent xmlns="d373b4a9-5e9c-4a91-95b1-33b421fa774e" xsi:nil="true"/>
    <_dlc_DocId xmlns="d373b4a9-5e9c-4a91-95b1-33b421fa774e">J5PUN76CQPXE-182568654-4070</_dlc_DocId>
    <_dlc_DocIdUrl xmlns="d373b4a9-5e9c-4a91-95b1-33b421fa774e">
      <Url>https://bristolcouncil.sharepoint.com/sites/CMT/_layouts/15/DocIdRedir.aspx?ID=J5PUN76CQPXE-182568654-4070</Url>
      <Description>J5PUN76CQPXE-182568654-4070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24CA91E116143B8FCFCF5563A627D" ma:contentTypeVersion="16" ma:contentTypeDescription="Create a new document." ma:contentTypeScope="" ma:versionID="190b77ced0edfc82f42b319703b0555d">
  <xsd:schema xmlns:xsd="http://www.w3.org/2001/XMLSchema" xmlns:xs="http://www.w3.org/2001/XMLSchema" xmlns:p="http://schemas.microsoft.com/office/2006/metadata/properties" xmlns:ns2="d373b4a9-5e9c-4a91-95b1-33b421fa774e" xmlns:ns3="19d215d3-1cde-4422-9399-fd972d44f24f" targetNamespace="http://schemas.microsoft.com/office/2006/metadata/properties" ma:root="true" ma:fieldsID="86928d6a7cc1c9101c527a2f4ebc5638" ns2:_="" ns3:_="">
    <xsd:import namespace="d373b4a9-5e9c-4a91-95b1-33b421fa774e"/>
    <xsd:import namespace="19d215d3-1cde-4422-9399-fd972d44f24f"/>
    <xsd:element name="properties">
      <xsd:complexType>
        <xsd:sequence>
          <xsd:element name="documentManagement">
            <xsd:complexType>
              <xsd:all>
                <xsd:element ref="ns2:SharedWithUsers" minOccurs="0"/>
                <xsd:element ref="ns3:z0m9"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RetentionStartDate" minOccurs="0"/>
                <xsd:element ref="ns2:RetentionEvent"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b4a9-5e9c-4a91-95b1-33b421fa774e" elementFormDefault="qualified">
    <xsd:import namespace="http://schemas.microsoft.com/office/2006/documentManagement/types"/>
    <xsd:import namespace="http://schemas.microsoft.com/office/infopath/2007/PartnerControls"/>
    <xsd:element name="SharedWithUsers" ma:index="8" nillable="true" ma:displayNam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RetentionStartDate" ma:index="17"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18"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215d3-1cde-4422-9399-fd972d44f24f" elementFormDefault="qualified">
    <xsd:import namespace="http://schemas.microsoft.com/office/2006/documentManagement/types"/>
    <xsd:import namespace="http://schemas.microsoft.com/office/infopath/2007/PartnerControls"/>
    <xsd:element name="z0m9" ma:index="9" nillable="true" ma:displayName="Te" ma:internalName="z0m9">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EDD04F-3B41-4939-8F49-A6AF1637E1B0}">
  <ds:schemaRefs>
    <ds:schemaRef ds:uri="http://schemas.microsoft.com/sharepoint/v3/contenttype/forms"/>
  </ds:schemaRefs>
</ds:datastoreItem>
</file>

<file path=customXml/itemProps2.xml><?xml version="1.0" encoding="utf-8"?>
<ds:datastoreItem xmlns:ds="http://schemas.openxmlformats.org/officeDocument/2006/customXml" ds:itemID="{B06C1BB0-48D1-4E5F-8C9C-D1F81AA883CA}">
  <ds:schemaRefs>
    <ds:schemaRef ds:uri="http://purl.org/dc/terms/"/>
    <ds:schemaRef ds:uri="http://schemas.microsoft.com/office/2006/metadata/properties"/>
    <ds:schemaRef ds:uri="d373b4a9-5e9c-4a91-95b1-33b421fa774e"/>
    <ds:schemaRef ds:uri="http://schemas.microsoft.com/office/2006/documentManagement/types"/>
    <ds:schemaRef ds:uri="19d215d3-1cde-4422-9399-fd972d44f24f"/>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FE3CE8-B0C4-4E36-B959-180AC661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b4a9-5e9c-4a91-95b1-33b421fa774e"/>
    <ds:schemaRef ds:uri="19d215d3-1cde-4422-9399-fd972d44f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C7644-240D-48F7-B4A4-F9370AF5EB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9216</Characters>
  <Application>Microsoft Office Word</Application>
  <DocSecurity>0</DocSecurity>
  <Lines>76</Lines>
  <Paragraphs>21</Paragraphs>
  <ScaleCrop>false</ScaleCrop>
  <Company>Bristol City Council</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Jensen</dc:creator>
  <cp:lastModifiedBy>Becky Lewis</cp:lastModifiedBy>
  <cp:revision>2</cp:revision>
  <dcterms:created xsi:type="dcterms:W3CDTF">2023-04-21T14:15:00Z</dcterms:created>
  <dcterms:modified xsi:type="dcterms:W3CDTF">2023-04-21T14:15:00Z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0x0101000E224CA91E116143B8FCFCF5563A627D</vt:lpwstr>
  </property>
  <property fmtid="{D5CDD505-2E9C-101B-9397-08002B2CF9AE}" pid="3" name="_dlc_DocIdItemGuid">
    <vt:lpwstr>0289a6a4-3c52-4516-804b-06e9ab45b45d</vt:lpwstr>
  </property>
</Properties>
</file>