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94A4" w14:textId="361B3295" w:rsidR="009B76E2" w:rsidRDefault="009B76E2" w:rsidP="009B76E2">
      <w:pPr>
        <w:spacing w:after="0"/>
        <w:rPr>
          <w:b/>
          <w:u w:val="single"/>
        </w:rPr>
      </w:pPr>
      <w:r>
        <w:rPr>
          <w:b/>
          <w:u w:val="single"/>
        </w:rPr>
        <w:t>Legal Tracking</w:t>
      </w:r>
      <w:r w:rsidR="00DD009A">
        <w:rPr>
          <w:b/>
          <w:u w:val="single"/>
        </w:rPr>
        <w:t xml:space="preserve"> Meeting</w:t>
      </w:r>
      <w:r w:rsidR="001C0CF3">
        <w:rPr>
          <w:b/>
          <w:u w:val="single"/>
        </w:rPr>
        <w:t>: Terms of Reference</w:t>
      </w:r>
    </w:p>
    <w:p w14:paraId="4E963533" w14:textId="7543B5CA" w:rsidR="009B76E2" w:rsidRDefault="009B76E2" w:rsidP="009B76E2">
      <w:pPr>
        <w:spacing w:after="0"/>
        <w:rPr>
          <w:b/>
          <w:u w:val="single"/>
        </w:rPr>
      </w:pPr>
    </w:p>
    <w:p w14:paraId="41A1F5BA" w14:textId="7D5CB769" w:rsidR="001C0CF3" w:rsidRDefault="001C0CF3" w:rsidP="009B76E2">
      <w:pPr>
        <w:spacing w:after="0"/>
        <w:rPr>
          <w:b/>
          <w:u w:val="single"/>
        </w:rPr>
      </w:pPr>
    </w:p>
    <w:p w14:paraId="1F98E2D7" w14:textId="77777777" w:rsidR="001C0CF3" w:rsidRPr="0078230F" w:rsidRDefault="001C0CF3" w:rsidP="001C0CF3">
      <w:pPr>
        <w:spacing w:after="0"/>
        <w:rPr>
          <w:bCs/>
          <w:i/>
          <w:iCs/>
          <w:sz w:val="24"/>
          <w:szCs w:val="24"/>
        </w:rPr>
      </w:pPr>
      <w:r>
        <w:rPr>
          <w:bCs/>
          <w:i/>
          <w:iCs/>
          <w:sz w:val="24"/>
          <w:szCs w:val="24"/>
        </w:rPr>
        <w:t>Version Control</w:t>
      </w:r>
    </w:p>
    <w:tbl>
      <w:tblPr>
        <w:tblStyle w:val="GridTable1Light"/>
        <w:tblW w:w="0" w:type="auto"/>
        <w:tblLook w:val="04A0" w:firstRow="1" w:lastRow="0" w:firstColumn="1" w:lastColumn="0" w:noHBand="0" w:noVBand="1"/>
      </w:tblPr>
      <w:tblGrid>
        <w:gridCol w:w="3485"/>
        <w:gridCol w:w="3485"/>
        <w:gridCol w:w="3486"/>
      </w:tblGrid>
      <w:tr w:rsidR="001C0CF3" w:rsidRPr="00E73785" w14:paraId="17E73510" w14:textId="77777777" w:rsidTr="00911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7431F48" w14:textId="77777777" w:rsidR="001C0CF3" w:rsidRPr="00E73785" w:rsidRDefault="001C0CF3" w:rsidP="009114E3">
            <w:r w:rsidRPr="00E73785">
              <w:t>Date</w:t>
            </w:r>
          </w:p>
        </w:tc>
        <w:tc>
          <w:tcPr>
            <w:tcW w:w="3485" w:type="dxa"/>
          </w:tcPr>
          <w:p w14:paraId="7513EA70" w14:textId="77777777" w:rsidR="001C0CF3" w:rsidRPr="00E73785" w:rsidRDefault="001C0CF3" w:rsidP="009114E3">
            <w:pPr>
              <w:cnfStyle w:val="100000000000" w:firstRow="1" w:lastRow="0" w:firstColumn="0" w:lastColumn="0" w:oddVBand="0" w:evenVBand="0" w:oddHBand="0" w:evenHBand="0" w:firstRowFirstColumn="0" w:firstRowLastColumn="0" w:lastRowFirstColumn="0" w:lastRowLastColumn="0"/>
            </w:pPr>
            <w:r w:rsidRPr="00E73785">
              <w:t>Details</w:t>
            </w:r>
          </w:p>
        </w:tc>
        <w:tc>
          <w:tcPr>
            <w:tcW w:w="3486" w:type="dxa"/>
          </w:tcPr>
          <w:p w14:paraId="1815D05D" w14:textId="77777777" w:rsidR="001C0CF3" w:rsidRPr="00E73785" w:rsidRDefault="001C0CF3" w:rsidP="009114E3">
            <w:pPr>
              <w:cnfStyle w:val="100000000000" w:firstRow="1" w:lastRow="0" w:firstColumn="0" w:lastColumn="0" w:oddVBand="0" w:evenVBand="0" w:oddHBand="0" w:evenHBand="0" w:firstRowFirstColumn="0" w:firstRowLastColumn="0" w:lastRowFirstColumn="0" w:lastRowLastColumn="0"/>
            </w:pPr>
            <w:r w:rsidRPr="00E73785">
              <w:t>Updated by</w:t>
            </w:r>
          </w:p>
        </w:tc>
      </w:tr>
      <w:tr w:rsidR="001C0CF3" w14:paraId="1AA94E41"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1BEB5FE9" w14:textId="77777777" w:rsidR="001C0CF3" w:rsidRDefault="001C0CF3" w:rsidP="009114E3">
            <w:r>
              <w:t>01/11/2022</w:t>
            </w:r>
          </w:p>
        </w:tc>
        <w:tc>
          <w:tcPr>
            <w:tcW w:w="3485" w:type="dxa"/>
          </w:tcPr>
          <w:p w14:paraId="2FCB30DB" w14:textId="77777777" w:rsidR="001C0CF3" w:rsidRDefault="001C0CF3" w:rsidP="009114E3">
            <w:pPr>
              <w:cnfStyle w:val="000000000000" w:firstRow="0" w:lastRow="0" w:firstColumn="0" w:lastColumn="0" w:oddVBand="0" w:evenVBand="0" w:oddHBand="0" w:evenHBand="0" w:firstRowFirstColumn="0" w:firstRowLastColumn="0" w:lastRowFirstColumn="0" w:lastRowLastColumn="0"/>
            </w:pPr>
            <w:r>
              <w:t xml:space="preserve">Implementation </w:t>
            </w:r>
          </w:p>
        </w:tc>
        <w:tc>
          <w:tcPr>
            <w:tcW w:w="3486" w:type="dxa"/>
          </w:tcPr>
          <w:p w14:paraId="211E18C7" w14:textId="77777777" w:rsidR="001C0CF3" w:rsidRDefault="001C0CF3" w:rsidP="009114E3">
            <w:pPr>
              <w:cnfStyle w:val="000000000000" w:firstRow="0" w:lastRow="0" w:firstColumn="0" w:lastColumn="0" w:oddVBand="0" w:evenVBand="0" w:oddHBand="0" w:evenHBand="0" w:firstRowFirstColumn="0" w:firstRowLastColumn="0" w:lastRowFirstColumn="0" w:lastRowLastColumn="0"/>
            </w:pPr>
          </w:p>
        </w:tc>
      </w:tr>
      <w:tr w:rsidR="001C0CF3" w14:paraId="41B5F4A8"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6C2BE3C9" w14:textId="77777777" w:rsidR="001C0CF3" w:rsidRDefault="001C0CF3" w:rsidP="009114E3">
            <w:r>
              <w:t>01/02/2021</w:t>
            </w:r>
          </w:p>
        </w:tc>
        <w:tc>
          <w:tcPr>
            <w:tcW w:w="3485" w:type="dxa"/>
          </w:tcPr>
          <w:p w14:paraId="6ACE7D7E" w14:textId="77777777" w:rsidR="001C0CF3" w:rsidRDefault="001C0CF3" w:rsidP="009114E3">
            <w:pPr>
              <w:cnfStyle w:val="000000000000" w:firstRow="0" w:lastRow="0" w:firstColumn="0" w:lastColumn="0" w:oddVBand="0" w:evenVBand="0" w:oddHBand="0" w:evenHBand="0" w:firstRowFirstColumn="0" w:firstRowLastColumn="0" w:lastRowFirstColumn="0" w:lastRowLastColumn="0"/>
            </w:pPr>
            <w:r>
              <w:t>Annual Review</w:t>
            </w:r>
          </w:p>
        </w:tc>
        <w:tc>
          <w:tcPr>
            <w:tcW w:w="3486" w:type="dxa"/>
          </w:tcPr>
          <w:p w14:paraId="0EB14522" w14:textId="77777777" w:rsidR="001C0CF3" w:rsidRDefault="001C0CF3" w:rsidP="009114E3">
            <w:pPr>
              <w:cnfStyle w:val="000000000000" w:firstRow="0" w:lastRow="0" w:firstColumn="0" w:lastColumn="0" w:oddVBand="0" w:evenVBand="0" w:oddHBand="0" w:evenHBand="0" w:firstRowFirstColumn="0" w:firstRowLastColumn="0" w:lastRowFirstColumn="0" w:lastRowLastColumn="0"/>
            </w:pPr>
            <w:r>
              <w:t>Shaun Evans and Helena Svedang</w:t>
            </w:r>
          </w:p>
        </w:tc>
      </w:tr>
      <w:tr w:rsidR="001C0CF3" w14:paraId="11F54AFE"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7C77998F" w14:textId="77777777" w:rsidR="001C0CF3" w:rsidRDefault="001C0CF3" w:rsidP="009114E3">
            <w:r>
              <w:t>09/02/2023</w:t>
            </w:r>
          </w:p>
        </w:tc>
        <w:tc>
          <w:tcPr>
            <w:tcW w:w="3485" w:type="dxa"/>
          </w:tcPr>
          <w:p w14:paraId="134AFC90" w14:textId="77777777" w:rsidR="001C0CF3" w:rsidRDefault="001C0CF3" w:rsidP="009114E3">
            <w:pPr>
              <w:cnfStyle w:val="000000000000" w:firstRow="0" w:lastRow="0" w:firstColumn="0" w:lastColumn="0" w:oddVBand="0" w:evenVBand="0" w:oddHBand="0" w:evenHBand="0" w:firstRowFirstColumn="0" w:firstRowLastColumn="0" w:lastRowFirstColumn="0" w:lastRowLastColumn="0"/>
            </w:pPr>
            <w:r>
              <w:t>Annual Review</w:t>
            </w:r>
          </w:p>
        </w:tc>
        <w:tc>
          <w:tcPr>
            <w:tcW w:w="3486" w:type="dxa"/>
          </w:tcPr>
          <w:p w14:paraId="3EC7CC4C" w14:textId="6A9956D6" w:rsidR="001C0CF3" w:rsidRDefault="001C0CF3" w:rsidP="009114E3">
            <w:pPr>
              <w:cnfStyle w:val="000000000000" w:firstRow="0" w:lastRow="0" w:firstColumn="0" w:lastColumn="0" w:oddVBand="0" w:evenVBand="0" w:oddHBand="0" w:evenHBand="0" w:firstRowFirstColumn="0" w:firstRowLastColumn="0" w:lastRowFirstColumn="0" w:lastRowLastColumn="0"/>
            </w:pPr>
            <w:r>
              <w:t>Karen Ogle, Louisa Jones and Helena Svedang</w:t>
            </w:r>
          </w:p>
        </w:tc>
      </w:tr>
      <w:tr w:rsidR="00B569C4" w14:paraId="6D7E4E5B"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0E674918" w14:textId="5624B51E" w:rsidR="00B569C4" w:rsidRDefault="00B569C4" w:rsidP="009114E3">
            <w:r>
              <w:t>30/05/2023</w:t>
            </w:r>
          </w:p>
        </w:tc>
        <w:tc>
          <w:tcPr>
            <w:tcW w:w="3485" w:type="dxa"/>
          </w:tcPr>
          <w:p w14:paraId="2B6BDF6F" w14:textId="56A14EE0" w:rsidR="00B569C4" w:rsidRDefault="00B569C4" w:rsidP="009114E3">
            <w:pPr>
              <w:cnfStyle w:val="000000000000" w:firstRow="0" w:lastRow="0" w:firstColumn="0" w:lastColumn="0" w:oddVBand="0" w:evenVBand="0" w:oddHBand="0" w:evenHBand="0" w:firstRowFirstColumn="0" w:firstRowLastColumn="0" w:lastRowFirstColumn="0" w:lastRowLastColumn="0"/>
            </w:pPr>
            <w:r>
              <w:t>Amendment to Core Membership</w:t>
            </w:r>
          </w:p>
        </w:tc>
        <w:tc>
          <w:tcPr>
            <w:tcW w:w="3486" w:type="dxa"/>
          </w:tcPr>
          <w:p w14:paraId="64676443" w14:textId="516D2599" w:rsidR="00B569C4" w:rsidRDefault="00B569C4" w:rsidP="009114E3">
            <w:pPr>
              <w:cnfStyle w:val="000000000000" w:firstRow="0" w:lastRow="0" w:firstColumn="0" w:lastColumn="0" w:oddVBand="0" w:evenVBand="0" w:oddHBand="0" w:evenHBand="0" w:firstRowFirstColumn="0" w:firstRowLastColumn="0" w:lastRowFirstColumn="0" w:lastRowLastColumn="0"/>
            </w:pPr>
            <w:r>
              <w:t>Louisa Jones</w:t>
            </w:r>
          </w:p>
        </w:tc>
      </w:tr>
    </w:tbl>
    <w:p w14:paraId="68F524FD" w14:textId="77777777" w:rsidR="001C0CF3" w:rsidRPr="006B1FE1" w:rsidRDefault="001C0CF3" w:rsidP="009B76E2">
      <w:pPr>
        <w:spacing w:after="0"/>
        <w:rPr>
          <w:b/>
          <w:u w:val="single"/>
        </w:rPr>
      </w:pPr>
    </w:p>
    <w:p w14:paraId="4113B729" w14:textId="77777777" w:rsidR="00832DBF" w:rsidRDefault="00832DBF" w:rsidP="009B76E2">
      <w:pPr>
        <w:spacing w:after="0"/>
        <w:rPr>
          <w:b/>
        </w:rPr>
      </w:pPr>
    </w:p>
    <w:p w14:paraId="71843C89" w14:textId="16C30B5E" w:rsidR="00832DBF" w:rsidRDefault="00832DBF" w:rsidP="009B76E2">
      <w:pPr>
        <w:spacing w:after="0"/>
        <w:rPr>
          <w:b/>
        </w:rPr>
      </w:pPr>
      <w:r>
        <w:rPr>
          <w:b/>
        </w:rPr>
        <w:t>Purpose/role of the Legal Tracking Meeting</w:t>
      </w:r>
    </w:p>
    <w:p w14:paraId="5397D12A" w14:textId="0240250F" w:rsidR="00832DBF" w:rsidRDefault="00832DBF" w:rsidP="009B76E2">
      <w:pPr>
        <w:spacing w:after="0"/>
        <w:rPr>
          <w:b/>
        </w:rPr>
      </w:pPr>
    </w:p>
    <w:p w14:paraId="71DA5A08" w14:textId="4632AD9C" w:rsidR="00832DBF" w:rsidRDefault="00832DBF" w:rsidP="009B76E2">
      <w:pPr>
        <w:spacing w:after="0"/>
        <w:rPr>
          <w:bCs/>
        </w:rPr>
      </w:pPr>
      <w:r>
        <w:rPr>
          <w:bCs/>
        </w:rPr>
        <w:t xml:space="preserve">The Legal Tracking Meeting will sit within the scope of the Learning Academy; its ultimately function and purpose is to provide strategic oversight of all </w:t>
      </w:r>
      <w:r w:rsidR="000D746A">
        <w:rPr>
          <w:bCs/>
        </w:rPr>
        <w:t xml:space="preserve">planning pre-proceedings, proceedings and private proceedings, with the aim of reducing drift and delay and ensuring that children achieve the right plan of permanence in the most timely way. </w:t>
      </w:r>
    </w:p>
    <w:p w14:paraId="213B2293" w14:textId="74AA2044" w:rsidR="000D746A" w:rsidRDefault="000D746A" w:rsidP="009B76E2">
      <w:pPr>
        <w:spacing w:after="0"/>
        <w:rPr>
          <w:bCs/>
        </w:rPr>
      </w:pPr>
    </w:p>
    <w:p w14:paraId="3DA4B9C1" w14:textId="220EF3BD" w:rsidR="000D746A" w:rsidRDefault="008E52FD" w:rsidP="009B76E2">
      <w:pPr>
        <w:spacing w:after="0"/>
        <w:rPr>
          <w:bCs/>
        </w:rPr>
      </w:pPr>
      <w:r>
        <w:rPr>
          <w:bCs/>
        </w:rPr>
        <w:t>The Legal Tracking Meeting will lead to the production of a weekly legal overview, provided in written format to all relevant Team Managers, Service Managers and legal officers, to ensure joint oversight of any issue which may impact on the legal planning for a child.</w:t>
      </w:r>
      <w:r w:rsidR="004005C0">
        <w:rPr>
          <w:bCs/>
        </w:rPr>
        <w:t xml:space="preserve"> This includes but is not limited to any key staffing issues and plans of mitigation, key Court hearings</w:t>
      </w:r>
      <w:r w:rsidR="00AB02FF">
        <w:rPr>
          <w:bCs/>
        </w:rPr>
        <w:t xml:space="preserve"> and any changes to attendance, key filing dates and identification of any potential delay and plans to address this</w:t>
      </w:r>
      <w:r w:rsidR="001D0856">
        <w:rPr>
          <w:bCs/>
        </w:rPr>
        <w:t>, oversight of those children subject to private proceedings and critical midpoint and final reviews of those children subject to pre-proceedings.</w:t>
      </w:r>
    </w:p>
    <w:p w14:paraId="2ECBE7F5" w14:textId="01D15780" w:rsidR="009B76E2" w:rsidRDefault="009B76E2" w:rsidP="009B76E2">
      <w:pPr>
        <w:spacing w:after="0"/>
        <w:jc w:val="both"/>
        <w:rPr>
          <w:rFonts w:cstheme="minorHAnsi"/>
          <w:b/>
          <w:u w:val="single"/>
        </w:rPr>
      </w:pPr>
    </w:p>
    <w:p w14:paraId="15C528FD" w14:textId="77777777" w:rsidR="00A53B93" w:rsidRPr="00A53B93" w:rsidRDefault="00A53B93" w:rsidP="00A53B93">
      <w:pPr>
        <w:spacing w:after="0"/>
        <w:rPr>
          <w:b/>
        </w:rPr>
      </w:pPr>
      <w:r w:rsidRPr="00A53B93">
        <w:rPr>
          <w:b/>
        </w:rPr>
        <w:t>Aims and responsibilities</w:t>
      </w:r>
    </w:p>
    <w:p w14:paraId="571683A5" w14:textId="4545B595" w:rsidR="00A53B93" w:rsidRDefault="00A53B93" w:rsidP="009B76E2">
      <w:pPr>
        <w:spacing w:after="0"/>
        <w:jc w:val="both"/>
        <w:rPr>
          <w:rFonts w:cstheme="minorHAnsi"/>
          <w:b/>
          <w:u w:val="single"/>
        </w:rPr>
      </w:pPr>
    </w:p>
    <w:p w14:paraId="1E53F99C" w14:textId="60F2E727" w:rsidR="00A53B93" w:rsidRPr="000E3EF5" w:rsidRDefault="00A53B93" w:rsidP="00A53B93">
      <w:pPr>
        <w:pStyle w:val="ListParagraph"/>
        <w:numPr>
          <w:ilvl w:val="0"/>
          <w:numId w:val="11"/>
        </w:numPr>
        <w:spacing w:after="0"/>
        <w:jc w:val="both"/>
        <w:rPr>
          <w:rFonts w:cstheme="minorHAnsi"/>
          <w:b/>
          <w:u w:val="single"/>
        </w:rPr>
      </w:pPr>
      <w:r>
        <w:rPr>
          <w:rFonts w:cstheme="minorHAnsi"/>
          <w:bCs/>
        </w:rPr>
        <w:t>To track and monitor the timely progress of actions and work identified through the Legal Gateway Panel process</w:t>
      </w:r>
      <w:r w:rsidR="000E3EF5">
        <w:rPr>
          <w:rFonts w:cstheme="minorHAnsi"/>
          <w:bCs/>
        </w:rPr>
        <w:t>.</w:t>
      </w:r>
    </w:p>
    <w:p w14:paraId="619A9CDB" w14:textId="39E2E3E1" w:rsidR="000E3EF5" w:rsidRPr="00CD2A4B" w:rsidRDefault="000E3EF5" w:rsidP="00A53B93">
      <w:pPr>
        <w:pStyle w:val="ListParagraph"/>
        <w:numPr>
          <w:ilvl w:val="0"/>
          <w:numId w:val="11"/>
        </w:numPr>
        <w:spacing w:after="0"/>
        <w:jc w:val="both"/>
        <w:rPr>
          <w:rFonts w:cstheme="minorHAnsi"/>
          <w:b/>
          <w:u w:val="single"/>
        </w:rPr>
      </w:pPr>
      <w:r>
        <w:rPr>
          <w:rFonts w:cstheme="minorHAnsi"/>
          <w:bCs/>
        </w:rPr>
        <w:t>To identify, challenge and support practice, to achieve the most appropriate and timely outcomes for children.</w:t>
      </w:r>
    </w:p>
    <w:p w14:paraId="47B0B0B5" w14:textId="77777777" w:rsidR="00BA69BE" w:rsidRDefault="00CD2A4B" w:rsidP="00BA69BE">
      <w:pPr>
        <w:pStyle w:val="ListParagraph"/>
        <w:numPr>
          <w:ilvl w:val="0"/>
          <w:numId w:val="11"/>
        </w:numPr>
        <w:spacing w:after="0"/>
        <w:jc w:val="both"/>
        <w:rPr>
          <w:rFonts w:cstheme="minorHAnsi"/>
          <w:bCs/>
        </w:rPr>
      </w:pPr>
      <w:r>
        <w:rPr>
          <w:rFonts w:cstheme="minorHAnsi"/>
          <w:bCs/>
        </w:rPr>
        <w:t xml:space="preserve">To ensure timely </w:t>
      </w:r>
      <w:r w:rsidR="00743A0C">
        <w:rPr>
          <w:rFonts w:cstheme="minorHAnsi"/>
          <w:bCs/>
        </w:rPr>
        <w:t xml:space="preserve">and proportionate </w:t>
      </w:r>
      <w:r>
        <w:rPr>
          <w:rFonts w:cstheme="minorHAnsi"/>
          <w:bCs/>
        </w:rPr>
        <w:t>decisions are made</w:t>
      </w:r>
      <w:r w:rsidR="00743A0C">
        <w:rPr>
          <w:rFonts w:cstheme="minorHAnsi"/>
          <w:bCs/>
        </w:rPr>
        <w:t xml:space="preserve"> in respect of any identified need for extension to the twelve week timescale for those children in pre-</w:t>
      </w:r>
      <w:r w:rsidR="00F21565">
        <w:rPr>
          <w:rFonts w:cstheme="minorHAnsi"/>
          <w:bCs/>
        </w:rPr>
        <w:t>proceedings.</w:t>
      </w:r>
    </w:p>
    <w:p w14:paraId="53BB9C9E" w14:textId="77777777" w:rsidR="00A41093" w:rsidRDefault="00BA69BE" w:rsidP="00A41093">
      <w:pPr>
        <w:pStyle w:val="ListParagraph"/>
        <w:numPr>
          <w:ilvl w:val="0"/>
          <w:numId w:val="11"/>
        </w:numPr>
        <w:spacing w:after="0"/>
        <w:jc w:val="both"/>
        <w:rPr>
          <w:rFonts w:cstheme="minorHAnsi"/>
          <w:bCs/>
        </w:rPr>
      </w:pPr>
      <w:r w:rsidRPr="00BA69BE">
        <w:rPr>
          <w:rFonts w:cstheme="minorHAnsi"/>
          <w:bCs/>
        </w:rPr>
        <w:t>To ensure oversight of the practice leading to the issuing of public law proceedings and that this is in line with the requirements of the Public Law Outline (2014, as updated).</w:t>
      </w:r>
    </w:p>
    <w:p w14:paraId="3ED66A8B" w14:textId="77777777" w:rsidR="00A41093" w:rsidRDefault="00BA69BE" w:rsidP="00A41093">
      <w:pPr>
        <w:pStyle w:val="ListParagraph"/>
        <w:numPr>
          <w:ilvl w:val="0"/>
          <w:numId w:val="11"/>
        </w:numPr>
        <w:spacing w:after="0"/>
        <w:jc w:val="both"/>
        <w:rPr>
          <w:rFonts w:cstheme="minorHAnsi"/>
          <w:bCs/>
        </w:rPr>
      </w:pPr>
      <w:r w:rsidRPr="00A41093">
        <w:rPr>
          <w:rFonts w:cstheme="minorHAnsi"/>
          <w:bCs/>
        </w:rPr>
        <w:t>To ensure that improving outcomes for children remains at the centre of any decisions in relation to PLO and all alternatives have been considered.</w:t>
      </w:r>
    </w:p>
    <w:p w14:paraId="141BAC6E" w14:textId="77777777" w:rsidR="00A41093" w:rsidRDefault="00BA69BE" w:rsidP="00A41093">
      <w:pPr>
        <w:pStyle w:val="ListParagraph"/>
        <w:numPr>
          <w:ilvl w:val="0"/>
          <w:numId w:val="11"/>
        </w:numPr>
        <w:spacing w:after="0"/>
        <w:jc w:val="both"/>
        <w:rPr>
          <w:rFonts w:cstheme="minorHAnsi"/>
          <w:bCs/>
        </w:rPr>
      </w:pPr>
      <w:r w:rsidRPr="00A41093">
        <w:rPr>
          <w:rFonts w:cstheme="minorHAnsi"/>
          <w:bCs/>
        </w:rPr>
        <w:t>To gather appropriate information to inform sufficiency planning.</w:t>
      </w:r>
    </w:p>
    <w:p w14:paraId="6459049B" w14:textId="1170167E" w:rsidR="00BA69BE" w:rsidRPr="00A41093" w:rsidRDefault="00BA69BE" w:rsidP="00A41093">
      <w:pPr>
        <w:pStyle w:val="ListParagraph"/>
        <w:numPr>
          <w:ilvl w:val="0"/>
          <w:numId w:val="11"/>
        </w:numPr>
        <w:spacing w:after="0"/>
        <w:jc w:val="both"/>
        <w:rPr>
          <w:rFonts w:cstheme="minorHAnsi"/>
          <w:bCs/>
        </w:rPr>
      </w:pPr>
      <w:r w:rsidRPr="00A41093">
        <w:rPr>
          <w:rFonts w:cstheme="minorHAnsi"/>
          <w:bCs/>
        </w:rPr>
        <w:t>To ensure that outcomes are as positive as they can be for children.</w:t>
      </w:r>
    </w:p>
    <w:p w14:paraId="2AD38ECF" w14:textId="77777777" w:rsidR="00BA69BE" w:rsidRPr="00A53B93" w:rsidRDefault="00BA69BE" w:rsidP="00A41093">
      <w:pPr>
        <w:pStyle w:val="ListParagraph"/>
        <w:spacing w:after="0"/>
        <w:jc w:val="both"/>
        <w:rPr>
          <w:rFonts w:cstheme="minorHAnsi"/>
          <w:b/>
          <w:u w:val="single"/>
        </w:rPr>
      </w:pPr>
    </w:p>
    <w:p w14:paraId="2A164B8A" w14:textId="77777777" w:rsidR="00743A0C" w:rsidRDefault="00743A0C" w:rsidP="009B76E2">
      <w:pPr>
        <w:spacing w:after="0"/>
        <w:jc w:val="both"/>
        <w:rPr>
          <w:rFonts w:cstheme="minorHAnsi"/>
          <w:b/>
        </w:rPr>
      </w:pPr>
      <w:r>
        <w:rPr>
          <w:rFonts w:cstheme="minorHAnsi"/>
          <w:b/>
        </w:rPr>
        <w:t xml:space="preserve">Membership </w:t>
      </w:r>
    </w:p>
    <w:p w14:paraId="61E342D3" w14:textId="459E32C6" w:rsidR="00743A0C" w:rsidRDefault="00743A0C" w:rsidP="009B76E2">
      <w:pPr>
        <w:spacing w:after="0"/>
        <w:jc w:val="both"/>
        <w:rPr>
          <w:rFonts w:cstheme="minorHAnsi"/>
          <w:b/>
        </w:rPr>
      </w:pPr>
    </w:p>
    <w:p w14:paraId="610EAA99" w14:textId="5A0BB6A1" w:rsidR="00743A0C" w:rsidRDefault="00743A0C" w:rsidP="009B76E2">
      <w:pPr>
        <w:spacing w:after="0"/>
        <w:jc w:val="both"/>
        <w:rPr>
          <w:rFonts w:cstheme="minorHAnsi"/>
          <w:bCs/>
          <w:i/>
          <w:iCs/>
        </w:rPr>
      </w:pPr>
      <w:r>
        <w:rPr>
          <w:rFonts w:cstheme="minorHAnsi"/>
          <w:bCs/>
          <w:i/>
          <w:iCs/>
        </w:rPr>
        <w:t>Core</w:t>
      </w:r>
    </w:p>
    <w:p w14:paraId="0E6A2A77" w14:textId="19EBC0E5" w:rsidR="00F21565" w:rsidRDefault="00F21565" w:rsidP="009B76E2">
      <w:pPr>
        <w:spacing w:after="0"/>
        <w:jc w:val="both"/>
        <w:rPr>
          <w:rFonts w:cstheme="minorHAnsi"/>
          <w:bCs/>
          <w:i/>
          <w:iCs/>
        </w:rPr>
      </w:pPr>
    </w:p>
    <w:p w14:paraId="0453C45F" w14:textId="04757843" w:rsidR="00F21565" w:rsidRPr="00F21565" w:rsidRDefault="004C6F8B" w:rsidP="009B76E2">
      <w:pPr>
        <w:spacing w:after="0"/>
        <w:jc w:val="both"/>
        <w:rPr>
          <w:rFonts w:cstheme="minorHAnsi"/>
          <w:bCs/>
        </w:rPr>
      </w:pPr>
      <w:r>
        <w:rPr>
          <w:rFonts w:cstheme="minorHAnsi"/>
          <w:bCs/>
        </w:rPr>
        <w:t>Head of Service of Quality Assurance</w:t>
      </w:r>
      <w:r w:rsidR="00F21565">
        <w:rPr>
          <w:rFonts w:cstheme="minorHAnsi"/>
          <w:bCs/>
        </w:rPr>
        <w:t xml:space="preserve"> – Chair (Head of Service of </w:t>
      </w:r>
      <w:r>
        <w:rPr>
          <w:rFonts w:cstheme="minorHAnsi"/>
          <w:bCs/>
        </w:rPr>
        <w:t xml:space="preserve">MASH, Front Door and Operational </w:t>
      </w:r>
      <w:r w:rsidR="008A74CC">
        <w:rPr>
          <w:rFonts w:cstheme="minorHAnsi"/>
          <w:bCs/>
        </w:rPr>
        <w:t>acting as deputy Chair)</w:t>
      </w:r>
    </w:p>
    <w:p w14:paraId="01750C55" w14:textId="4470BA81" w:rsidR="00743A0C" w:rsidRDefault="00743A0C" w:rsidP="00743A0C">
      <w:pPr>
        <w:spacing w:after="0"/>
        <w:jc w:val="both"/>
        <w:rPr>
          <w:rFonts w:cstheme="minorHAnsi"/>
        </w:rPr>
      </w:pPr>
      <w:r w:rsidRPr="00852DD5">
        <w:rPr>
          <w:rFonts w:cstheme="minorHAnsi"/>
        </w:rPr>
        <w:t xml:space="preserve">Court QA Manager </w:t>
      </w:r>
    </w:p>
    <w:p w14:paraId="33AFCAF8" w14:textId="1D6CF5E9" w:rsidR="008A74CC" w:rsidRDefault="008A74CC" w:rsidP="00743A0C">
      <w:pPr>
        <w:spacing w:after="0"/>
        <w:jc w:val="both"/>
        <w:rPr>
          <w:rFonts w:cstheme="minorHAnsi"/>
        </w:rPr>
      </w:pPr>
      <w:r>
        <w:rPr>
          <w:rFonts w:cstheme="minorHAnsi"/>
        </w:rPr>
        <w:t>Head of Service, MASH, Front Door and Operational</w:t>
      </w:r>
    </w:p>
    <w:p w14:paraId="78229D52" w14:textId="4A59667E" w:rsidR="008A74CC" w:rsidRDefault="008A74CC" w:rsidP="00743A0C">
      <w:pPr>
        <w:spacing w:after="0"/>
        <w:jc w:val="both"/>
        <w:rPr>
          <w:rFonts w:cstheme="minorHAnsi"/>
        </w:rPr>
      </w:pPr>
      <w:r>
        <w:rPr>
          <w:rFonts w:cstheme="minorHAnsi"/>
        </w:rPr>
        <w:t>Service Manager, Operational</w:t>
      </w:r>
    </w:p>
    <w:p w14:paraId="62BDC51D" w14:textId="7384B3C8" w:rsidR="008A74CC" w:rsidRDefault="008A74CC" w:rsidP="00743A0C">
      <w:pPr>
        <w:spacing w:after="0"/>
        <w:jc w:val="both"/>
        <w:rPr>
          <w:rFonts w:cstheme="minorHAnsi"/>
        </w:rPr>
      </w:pPr>
      <w:r>
        <w:rPr>
          <w:rFonts w:cstheme="minorHAnsi"/>
        </w:rPr>
        <w:t>Head of Service</w:t>
      </w:r>
      <w:r w:rsidR="00A247A0">
        <w:rPr>
          <w:rFonts w:cstheme="minorHAnsi"/>
        </w:rPr>
        <w:t>, Regulated Services</w:t>
      </w:r>
    </w:p>
    <w:p w14:paraId="44F20375" w14:textId="74A280E3" w:rsidR="00A247A0" w:rsidRPr="00852DD5" w:rsidRDefault="00A247A0" w:rsidP="00743A0C">
      <w:pPr>
        <w:spacing w:after="0"/>
        <w:jc w:val="both"/>
        <w:rPr>
          <w:rFonts w:cstheme="minorHAnsi"/>
          <w:color w:val="FF0000"/>
        </w:rPr>
      </w:pPr>
      <w:r>
        <w:rPr>
          <w:rFonts w:cstheme="minorHAnsi"/>
        </w:rPr>
        <w:t>Service Manager, Regulated Services</w:t>
      </w:r>
    </w:p>
    <w:p w14:paraId="0266C11F" w14:textId="19376CEB" w:rsidR="00743A0C" w:rsidRDefault="008A74CC" w:rsidP="00743A0C">
      <w:pPr>
        <w:spacing w:after="0"/>
        <w:jc w:val="both"/>
        <w:rPr>
          <w:rFonts w:cstheme="minorHAnsi"/>
        </w:rPr>
      </w:pPr>
      <w:r>
        <w:rPr>
          <w:rFonts w:cstheme="minorHAnsi"/>
        </w:rPr>
        <w:t>Legal Gateway</w:t>
      </w:r>
      <w:r w:rsidR="00743A0C">
        <w:rPr>
          <w:rFonts w:cstheme="minorHAnsi"/>
        </w:rPr>
        <w:t xml:space="preserve"> Panel administrator – minute taker</w:t>
      </w:r>
    </w:p>
    <w:p w14:paraId="7E5A2EF0" w14:textId="64C79689" w:rsidR="00A247A0" w:rsidRDefault="00A247A0" w:rsidP="00743A0C">
      <w:pPr>
        <w:spacing w:after="0"/>
        <w:jc w:val="both"/>
        <w:rPr>
          <w:rFonts w:cstheme="minorHAnsi"/>
        </w:rPr>
      </w:pPr>
    </w:p>
    <w:p w14:paraId="57E6EE98" w14:textId="21F6A7ED" w:rsidR="00A247A0" w:rsidRPr="00A247A0" w:rsidRDefault="00A247A0" w:rsidP="00743A0C">
      <w:pPr>
        <w:spacing w:after="0"/>
        <w:jc w:val="both"/>
        <w:rPr>
          <w:rFonts w:cstheme="minorHAnsi"/>
          <w:i/>
          <w:iCs/>
        </w:rPr>
      </w:pPr>
      <w:r>
        <w:rPr>
          <w:rFonts w:cstheme="minorHAnsi"/>
          <w:i/>
          <w:iCs/>
        </w:rPr>
        <w:t>If required</w:t>
      </w:r>
    </w:p>
    <w:p w14:paraId="3B0B6422" w14:textId="77777777" w:rsidR="00743A0C" w:rsidRPr="00852DD5" w:rsidRDefault="00743A0C" w:rsidP="00743A0C">
      <w:pPr>
        <w:spacing w:after="0"/>
        <w:jc w:val="both"/>
        <w:rPr>
          <w:rFonts w:cstheme="minorHAnsi"/>
        </w:rPr>
      </w:pPr>
      <w:r w:rsidRPr="00852DD5">
        <w:rPr>
          <w:rFonts w:cstheme="minorHAnsi"/>
        </w:rPr>
        <w:t>Team Manager and Social Worker for the child/children</w:t>
      </w:r>
    </w:p>
    <w:p w14:paraId="77D97824" w14:textId="77777777" w:rsidR="00743A0C" w:rsidRPr="00852DD5" w:rsidRDefault="00743A0C" w:rsidP="00743A0C">
      <w:pPr>
        <w:spacing w:after="0"/>
        <w:jc w:val="both"/>
        <w:rPr>
          <w:rFonts w:cstheme="minorHAnsi"/>
        </w:rPr>
      </w:pPr>
      <w:r w:rsidRPr="00852DD5">
        <w:rPr>
          <w:rFonts w:cstheme="minorHAnsi"/>
        </w:rPr>
        <w:t>Legal solicitor with conduct</w:t>
      </w:r>
    </w:p>
    <w:p w14:paraId="6CE3067F" w14:textId="77777777" w:rsidR="00743A0C" w:rsidRDefault="00743A0C" w:rsidP="00743A0C">
      <w:pPr>
        <w:spacing w:after="0"/>
        <w:jc w:val="both"/>
        <w:rPr>
          <w:rFonts w:cstheme="minorHAnsi"/>
        </w:rPr>
      </w:pPr>
      <w:r w:rsidRPr="00852DD5">
        <w:rPr>
          <w:rFonts w:cstheme="minorHAnsi"/>
        </w:rPr>
        <w:t xml:space="preserve">Family Group Conference Manager </w:t>
      </w:r>
    </w:p>
    <w:p w14:paraId="5C7D1512" w14:textId="0679C8EE" w:rsidR="00743A0C" w:rsidRPr="00852DD5" w:rsidRDefault="00743A0C" w:rsidP="00743A0C">
      <w:pPr>
        <w:spacing w:after="0"/>
        <w:jc w:val="both"/>
        <w:rPr>
          <w:rFonts w:cstheme="minorHAnsi"/>
        </w:rPr>
      </w:pPr>
      <w:r>
        <w:rPr>
          <w:rFonts w:cstheme="minorHAnsi"/>
        </w:rPr>
        <w:t xml:space="preserve">Others as identified </w:t>
      </w:r>
    </w:p>
    <w:p w14:paraId="75CFD6FA" w14:textId="366C43ED" w:rsidR="00743A0C" w:rsidRDefault="00743A0C" w:rsidP="009B76E2">
      <w:pPr>
        <w:spacing w:after="0"/>
        <w:jc w:val="both"/>
        <w:rPr>
          <w:rFonts w:cstheme="minorHAnsi"/>
          <w:b/>
        </w:rPr>
      </w:pPr>
    </w:p>
    <w:p w14:paraId="7276ABCB" w14:textId="5B4AD9CE" w:rsidR="00505B9C" w:rsidRDefault="00505B9C" w:rsidP="009B76E2">
      <w:pPr>
        <w:spacing w:after="0"/>
        <w:jc w:val="both"/>
        <w:rPr>
          <w:rFonts w:cstheme="minorHAnsi"/>
          <w:b/>
        </w:rPr>
      </w:pPr>
      <w:r>
        <w:rPr>
          <w:rFonts w:cstheme="minorHAnsi"/>
          <w:b/>
        </w:rPr>
        <w:t>Membership</w:t>
      </w:r>
    </w:p>
    <w:p w14:paraId="6192AB92" w14:textId="77777777" w:rsidR="001D559E" w:rsidRDefault="001D559E" w:rsidP="009B76E2">
      <w:pPr>
        <w:spacing w:after="0"/>
        <w:jc w:val="both"/>
        <w:rPr>
          <w:rFonts w:cstheme="minorHAnsi"/>
          <w:b/>
        </w:rPr>
      </w:pPr>
    </w:p>
    <w:p w14:paraId="4E462534" w14:textId="19508D15" w:rsidR="00FC1EE7" w:rsidRDefault="00FC1EE7" w:rsidP="00FC1EE7">
      <w:pPr>
        <w:spacing w:after="0"/>
      </w:pPr>
      <w:r>
        <w:t>A review of the Terms of Reference for the Legal Tracking Meeting is to be undertaken annually.</w:t>
      </w:r>
    </w:p>
    <w:p w14:paraId="424128E2" w14:textId="58CA402A" w:rsidR="001D559E" w:rsidRDefault="001D559E" w:rsidP="00FC1EE7">
      <w:pPr>
        <w:spacing w:after="0"/>
      </w:pPr>
    </w:p>
    <w:p w14:paraId="1277EBC6" w14:textId="2C03CED4" w:rsidR="001D559E" w:rsidRDefault="001D559E" w:rsidP="001D559E">
      <w:pPr>
        <w:spacing w:after="0"/>
        <w:jc w:val="both"/>
        <w:rPr>
          <w:rFonts w:cstheme="minorHAnsi"/>
          <w:b/>
        </w:rPr>
      </w:pPr>
      <w:r>
        <w:rPr>
          <w:rFonts w:cstheme="minorHAnsi"/>
          <w:b/>
        </w:rPr>
        <w:t>Working Methods</w:t>
      </w:r>
    </w:p>
    <w:p w14:paraId="2922668C" w14:textId="27C4BFEF" w:rsidR="001D559E" w:rsidRDefault="001D559E" w:rsidP="001D559E">
      <w:pPr>
        <w:spacing w:after="0"/>
        <w:jc w:val="both"/>
        <w:rPr>
          <w:rFonts w:cstheme="minorHAnsi"/>
          <w:b/>
        </w:rPr>
      </w:pPr>
    </w:p>
    <w:p w14:paraId="4E915150" w14:textId="645A695D" w:rsidR="00BC083D" w:rsidRPr="00343E12" w:rsidRDefault="00BC083D" w:rsidP="00BC083D">
      <w:pPr>
        <w:numPr>
          <w:ilvl w:val="0"/>
          <w:numId w:val="12"/>
        </w:numPr>
        <w:spacing w:after="0"/>
        <w:rPr>
          <w:b/>
        </w:rPr>
      </w:pPr>
      <w:r w:rsidRPr="00343E12">
        <w:t>The meeting will be held every</w:t>
      </w:r>
      <w:r>
        <w:t xml:space="preserve"> week, normally on a Monday morning from 9am-10am. </w:t>
      </w:r>
    </w:p>
    <w:p w14:paraId="37E94972" w14:textId="00C7DB66" w:rsidR="00BC083D" w:rsidRPr="00BC083D" w:rsidRDefault="00BC083D" w:rsidP="00BC083D">
      <w:pPr>
        <w:numPr>
          <w:ilvl w:val="0"/>
          <w:numId w:val="12"/>
        </w:numPr>
        <w:spacing w:after="0"/>
        <w:rPr>
          <w:b/>
        </w:rPr>
      </w:pPr>
      <w:r>
        <w:t>The agenda will follow the structure of the Legal Overview</w:t>
      </w:r>
      <w:r w:rsidR="001F4C88">
        <w:t xml:space="preserve">, with specific agenda items in relation to any child/ren who are subject to pre-proceedings, and a midpoint or final </w:t>
      </w:r>
      <w:r w:rsidR="00630530">
        <w:t xml:space="preserve">decision is required. </w:t>
      </w:r>
    </w:p>
    <w:p w14:paraId="67B59A82" w14:textId="6D5B98B2" w:rsidR="00BC083D" w:rsidRPr="00343E12" w:rsidRDefault="00BC083D" w:rsidP="00BC083D">
      <w:pPr>
        <w:numPr>
          <w:ilvl w:val="0"/>
          <w:numId w:val="12"/>
        </w:numPr>
        <w:spacing w:after="0"/>
        <w:rPr>
          <w:b/>
        </w:rPr>
      </w:pPr>
      <w:r>
        <w:t xml:space="preserve">The Court QA </w:t>
      </w:r>
      <w:r w:rsidR="00F61EDA">
        <w:t xml:space="preserve">Manager will take responsibility for the creation of the Legal Overview following every Legal Tracking Meeting; this will be sent to all relevant Team Managers, Service Managers and legal officers. </w:t>
      </w:r>
    </w:p>
    <w:p w14:paraId="4203FAB5" w14:textId="390BFF01" w:rsidR="001D559E" w:rsidRPr="00B90181" w:rsidRDefault="00630530" w:rsidP="00B90181">
      <w:pPr>
        <w:numPr>
          <w:ilvl w:val="0"/>
          <w:numId w:val="12"/>
        </w:numPr>
        <w:spacing w:after="0"/>
      </w:pPr>
      <w:r>
        <w:t>Actions</w:t>
      </w:r>
      <w:r w:rsidR="00BC083D" w:rsidRPr="00724ABB">
        <w:t xml:space="preserve"> </w:t>
      </w:r>
      <w:r>
        <w:t xml:space="preserve">and decisions </w:t>
      </w:r>
      <w:r w:rsidR="00BC083D" w:rsidRPr="00724ABB">
        <w:t xml:space="preserve">will be recorded by the </w:t>
      </w:r>
      <w:r w:rsidR="00BC083D">
        <w:t>P</w:t>
      </w:r>
      <w:r w:rsidR="00BC083D" w:rsidRPr="00724ABB">
        <w:t xml:space="preserve">anel administrator who will add the actions and decisions to child/ young person’s LCS file and a Legal Case Note. </w:t>
      </w:r>
      <w:r>
        <w:t>The</w:t>
      </w:r>
      <w:r w:rsidR="00BC083D">
        <w:t xml:space="preserve"> Panel</w:t>
      </w:r>
      <w:r w:rsidR="00BC083D" w:rsidRPr="00724ABB">
        <w:t xml:space="preserve"> administrator</w:t>
      </w:r>
      <w:r w:rsidR="00BC083D">
        <w:t xml:space="preserve"> will then</w:t>
      </w:r>
      <w:r w:rsidR="00BC083D" w:rsidRPr="00724ABB">
        <w:t xml:space="preserve"> upload all supporting documents and referral to child’s LCS file in documents</w:t>
      </w:r>
      <w:r w:rsidR="00BC083D">
        <w:t xml:space="preserve"> within one working day</w:t>
      </w:r>
      <w:r>
        <w:t>.</w:t>
      </w:r>
      <w:r w:rsidR="00BC083D">
        <w:t xml:space="preserve"> </w:t>
      </w:r>
    </w:p>
    <w:p w14:paraId="620C71D5" w14:textId="77777777" w:rsidR="001D559E" w:rsidRPr="002C6E02" w:rsidRDefault="001D559E" w:rsidP="00FC1EE7">
      <w:pPr>
        <w:spacing w:after="0"/>
      </w:pPr>
    </w:p>
    <w:p w14:paraId="41717399" w14:textId="6687763C" w:rsidR="005C4C5D" w:rsidRPr="005C4C5D" w:rsidRDefault="005C4C5D" w:rsidP="009B76E2">
      <w:pPr>
        <w:spacing w:after="0"/>
        <w:jc w:val="both"/>
        <w:rPr>
          <w:rFonts w:cstheme="minorHAnsi"/>
          <w:b/>
        </w:rPr>
      </w:pPr>
      <w:r>
        <w:rPr>
          <w:rFonts w:cstheme="minorHAnsi"/>
          <w:b/>
        </w:rPr>
        <w:t>Specific Guidance for Pre-Proceedings Midpoint Review</w:t>
      </w:r>
      <w:r w:rsidR="00016457">
        <w:rPr>
          <w:rFonts w:cstheme="minorHAnsi"/>
          <w:b/>
        </w:rPr>
        <w:t>s</w:t>
      </w:r>
      <w:r>
        <w:rPr>
          <w:rFonts w:cstheme="minorHAnsi"/>
          <w:b/>
        </w:rPr>
        <w:t xml:space="preserve"> and </w:t>
      </w:r>
      <w:r w:rsidR="00016457">
        <w:rPr>
          <w:rFonts w:cstheme="minorHAnsi"/>
          <w:b/>
        </w:rPr>
        <w:t>Final Pre-Proceedings Reviews</w:t>
      </w:r>
    </w:p>
    <w:p w14:paraId="37EB538B" w14:textId="77777777" w:rsidR="005C4C5D" w:rsidRDefault="005C4C5D" w:rsidP="009B76E2">
      <w:pPr>
        <w:spacing w:after="0"/>
        <w:jc w:val="both"/>
        <w:rPr>
          <w:rFonts w:cstheme="minorHAnsi"/>
          <w:b/>
          <w:u w:val="single"/>
        </w:rPr>
      </w:pPr>
    </w:p>
    <w:p w14:paraId="5F8E7A0B" w14:textId="0DD76744" w:rsidR="009B76E2" w:rsidRPr="00CE5400" w:rsidRDefault="009B76E2" w:rsidP="009B76E2">
      <w:pPr>
        <w:spacing w:after="0"/>
        <w:jc w:val="both"/>
        <w:rPr>
          <w:rFonts w:cstheme="minorHAnsi"/>
          <w:bCs/>
          <w:i/>
          <w:iCs/>
        </w:rPr>
      </w:pPr>
      <w:r w:rsidRPr="00CE5400">
        <w:rPr>
          <w:rFonts w:cstheme="minorHAnsi"/>
          <w:bCs/>
          <w:i/>
          <w:iCs/>
        </w:rPr>
        <w:t>Pre-Proceedings Mid</w:t>
      </w:r>
      <w:r w:rsidR="005C4C5D">
        <w:rPr>
          <w:rFonts w:cstheme="minorHAnsi"/>
          <w:bCs/>
          <w:i/>
          <w:iCs/>
        </w:rPr>
        <w:t>p</w:t>
      </w:r>
      <w:r w:rsidRPr="00CE5400">
        <w:rPr>
          <w:rFonts w:cstheme="minorHAnsi"/>
          <w:bCs/>
          <w:i/>
          <w:iCs/>
        </w:rPr>
        <w:t>oint Review (at 6 weeks)</w:t>
      </w:r>
    </w:p>
    <w:p w14:paraId="77ECE23E" w14:textId="77777777" w:rsidR="009B76E2" w:rsidRPr="00C63511" w:rsidRDefault="009B76E2" w:rsidP="009B76E2">
      <w:pPr>
        <w:spacing w:after="0"/>
        <w:jc w:val="both"/>
        <w:rPr>
          <w:rFonts w:ascii="Arial" w:hAnsi="Arial" w:cs="Arial"/>
          <w:b/>
          <w:sz w:val="20"/>
          <w:szCs w:val="20"/>
        </w:rPr>
      </w:pPr>
    </w:p>
    <w:p w14:paraId="35EEECE9" w14:textId="654F7F5B" w:rsidR="009B76E2" w:rsidRDefault="00F21565" w:rsidP="00BC343F">
      <w:pPr>
        <w:spacing w:after="0"/>
        <w:jc w:val="both"/>
        <w:rPr>
          <w:bCs/>
        </w:rPr>
      </w:pPr>
      <w:r>
        <w:rPr>
          <w:bCs/>
        </w:rPr>
        <w:t xml:space="preserve">Midpoint Reviews will take place as part of the core Legal Tracking Meeting, at the six week point of the pre-proceedings process. </w:t>
      </w:r>
    </w:p>
    <w:p w14:paraId="35D5B4A7" w14:textId="77777777" w:rsidR="00F21565" w:rsidRPr="00F21565" w:rsidRDefault="00F21565" w:rsidP="00BC343F">
      <w:pPr>
        <w:spacing w:after="0"/>
        <w:jc w:val="both"/>
        <w:rPr>
          <w:rFonts w:cstheme="minorHAnsi"/>
        </w:rPr>
      </w:pPr>
    </w:p>
    <w:p w14:paraId="2A037F36" w14:textId="0215AC56" w:rsidR="009B76E2" w:rsidRPr="00F21565" w:rsidRDefault="009B76E2" w:rsidP="00BC343F">
      <w:pPr>
        <w:spacing w:after="0"/>
        <w:jc w:val="both"/>
        <w:rPr>
          <w:rFonts w:cstheme="minorHAnsi"/>
        </w:rPr>
      </w:pPr>
      <w:r w:rsidRPr="00F21565">
        <w:rPr>
          <w:rFonts w:cstheme="minorHAnsi"/>
        </w:rPr>
        <w:t xml:space="preserve">Where the midpoint review identifies an extension to 12-week timescale may be </w:t>
      </w:r>
      <w:r w:rsidR="00F21565">
        <w:rPr>
          <w:rFonts w:cstheme="minorHAnsi"/>
        </w:rPr>
        <w:t xml:space="preserve">required, this will only be agreed by </w:t>
      </w:r>
      <w:r w:rsidR="00463FFD">
        <w:rPr>
          <w:rFonts w:cstheme="minorHAnsi"/>
        </w:rPr>
        <w:t>the Divisional Director of Safeguarding.</w:t>
      </w:r>
      <w:r w:rsidRPr="00F21565">
        <w:rPr>
          <w:rFonts w:cstheme="minorHAnsi"/>
        </w:rPr>
        <w:t xml:space="preserve"> </w:t>
      </w:r>
      <w:r w:rsidR="00BC343F">
        <w:rPr>
          <w:rFonts w:cstheme="minorHAnsi"/>
        </w:rPr>
        <w:t xml:space="preserve">Any </w:t>
      </w:r>
      <w:r w:rsidRPr="00F21565">
        <w:rPr>
          <w:rFonts w:cstheme="minorHAnsi"/>
        </w:rPr>
        <w:t>extension request will need to evidence ‘exceptional’ circumstances and can only be agreed up to a max</w:t>
      </w:r>
      <w:r w:rsidR="00463FFD">
        <w:rPr>
          <w:rFonts w:cstheme="minorHAnsi"/>
        </w:rPr>
        <w:t>imum</w:t>
      </w:r>
      <w:r w:rsidRPr="00F21565">
        <w:rPr>
          <w:rFonts w:cstheme="minorHAnsi"/>
        </w:rPr>
        <w:t xml:space="preserve"> of 16 weeks.</w:t>
      </w:r>
    </w:p>
    <w:p w14:paraId="14DEF1EA" w14:textId="77777777" w:rsidR="00B90181" w:rsidRDefault="00B90181" w:rsidP="00BC343F">
      <w:pPr>
        <w:spacing w:after="0"/>
        <w:jc w:val="both"/>
        <w:rPr>
          <w:rFonts w:cstheme="minorHAnsi"/>
        </w:rPr>
      </w:pPr>
    </w:p>
    <w:p w14:paraId="633408EA" w14:textId="38AEF7E3" w:rsidR="009B76E2" w:rsidRPr="00B90181" w:rsidRDefault="009B76E2" w:rsidP="00BC343F">
      <w:pPr>
        <w:spacing w:after="0"/>
        <w:jc w:val="both"/>
        <w:rPr>
          <w:rFonts w:cstheme="minorHAnsi"/>
        </w:rPr>
      </w:pPr>
      <w:r w:rsidRPr="00B90181">
        <w:rPr>
          <w:rFonts w:cstheme="minorHAnsi"/>
        </w:rPr>
        <w:t>Where there is drift and delay and or actions not being progressed</w:t>
      </w:r>
      <w:r w:rsidR="00BC343F">
        <w:rPr>
          <w:rFonts w:cstheme="minorHAnsi"/>
        </w:rPr>
        <w:t>,</w:t>
      </w:r>
      <w:r w:rsidRPr="00B90181">
        <w:rPr>
          <w:rFonts w:cstheme="minorHAnsi"/>
        </w:rPr>
        <w:t xml:space="preserve"> the mid-point review will seek to resolve the</w:t>
      </w:r>
      <w:r w:rsidR="0019067F">
        <w:rPr>
          <w:rFonts w:cstheme="minorHAnsi"/>
        </w:rPr>
        <w:t>se, with clear direction from the Chair and the relevant Head of Service in terms of the actions required</w:t>
      </w:r>
      <w:r w:rsidRPr="00B90181">
        <w:rPr>
          <w:rFonts w:cstheme="minorHAnsi"/>
        </w:rPr>
        <w:t xml:space="preserve">. </w:t>
      </w:r>
    </w:p>
    <w:p w14:paraId="0C31A7C9" w14:textId="77777777" w:rsidR="0019067F" w:rsidRDefault="0019067F" w:rsidP="00BC343F">
      <w:pPr>
        <w:spacing w:after="0"/>
        <w:jc w:val="both"/>
        <w:rPr>
          <w:rFonts w:cstheme="minorHAnsi"/>
        </w:rPr>
      </w:pPr>
    </w:p>
    <w:p w14:paraId="5E46F217" w14:textId="363BE980" w:rsidR="009B76E2" w:rsidRPr="0019067F" w:rsidRDefault="009B76E2" w:rsidP="00BC343F">
      <w:pPr>
        <w:spacing w:after="0"/>
        <w:jc w:val="both"/>
        <w:rPr>
          <w:rFonts w:cstheme="minorHAnsi"/>
        </w:rPr>
      </w:pPr>
      <w:r w:rsidRPr="0019067F">
        <w:rPr>
          <w:rFonts w:cstheme="minorHAnsi"/>
        </w:rPr>
        <w:t xml:space="preserve">Where agreement is needed for additional resources not previously agreed </w:t>
      </w:r>
      <w:r w:rsidR="0019067F">
        <w:rPr>
          <w:rFonts w:cstheme="minorHAnsi"/>
        </w:rPr>
        <w:t>(for example</w:t>
      </w:r>
      <w:r w:rsidRPr="0019067F">
        <w:rPr>
          <w:rFonts w:cstheme="minorHAnsi"/>
        </w:rPr>
        <w:t xml:space="preserve"> other expert</w:t>
      </w:r>
      <w:r w:rsidR="0019067F">
        <w:rPr>
          <w:rFonts w:cstheme="minorHAnsi"/>
        </w:rPr>
        <w:t xml:space="preserve"> assessment</w:t>
      </w:r>
      <w:r w:rsidRPr="0019067F">
        <w:rPr>
          <w:rFonts w:cstheme="minorHAnsi"/>
        </w:rPr>
        <w:t xml:space="preserve"> or </w:t>
      </w:r>
      <w:r w:rsidR="0019067F">
        <w:rPr>
          <w:rFonts w:cstheme="minorHAnsi"/>
        </w:rPr>
        <w:t>services such as h</w:t>
      </w:r>
      <w:r w:rsidRPr="0019067F">
        <w:rPr>
          <w:rFonts w:cstheme="minorHAnsi"/>
        </w:rPr>
        <w:t>air strand testing</w:t>
      </w:r>
      <w:r w:rsidR="0019067F">
        <w:rPr>
          <w:rFonts w:cstheme="minorHAnsi"/>
        </w:rPr>
        <w:t xml:space="preserve">), </w:t>
      </w:r>
      <w:r w:rsidRPr="0019067F">
        <w:rPr>
          <w:rFonts w:cstheme="minorHAnsi"/>
        </w:rPr>
        <w:t>the social work team will make a request to ATR/their Service Manager/Head Of Service in line with delegated financial authority.</w:t>
      </w:r>
    </w:p>
    <w:p w14:paraId="216E917B" w14:textId="77777777" w:rsidR="00BC343F" w:rsidRDefault="00BC343F" w:rsidP="00BC343F">
      <w:pPr>
        <w:spacing w:after="0"/>
        <w:jc w:val="both"/>
        <w:rPr>
          <w:rFonts w:cstheme="minorHAnsi"/>
        </w:rPr>
      </w:pPr>
    </w:p>
    <w:p w14:paraId="62C24A93" w14:textId="3A2140A1" w:rsidR="009B76E2" w:rsidRPr="00BC343F" w:rsidRDefault="009B76E2" w:rsidP="00BC343F">
      <w:pPr>
        <w:spacing w:after="0"/>
        <w:jc w:val="both"/>
        <w:rPr>
          <w:rFonts w:ascii="Arial" w:hAnsi="Arial" w:cs="Arial"/>
          <w:sz w:val="20"/>
          <w:szCs w:val="20"/>
        </w:rPr>
      </w:pPr>
      <w:r w:rsidRPr="00BC343F">
        <w:rPr>
          <w:rFonts w:cstheme="minorHAnsi"/>
        </w:rPr>
        <w:t xml:space="preserve">Where we are unable to engage with families </w:t>
      </w:r>
      <w:r w:rsidR="00BC343F">
        <w:rPr>
          <w:rFonts w:cstheme="minorHAnsi"/>
        </w:rPr>
        <w:t>within</w:t>
      </w:r>
      <w:r w:rsidRPr="00BC343F">
        <w:rPr>
          <w:rFonts w:cstheme="minorHAnsi"/>
        </w:rPr>
        <w:t xml:space="preserve"> the pre</w:t>
      </w:r>
      <w:r w:rsidR="00BC343F">
        <w:rPr>
          <w:rFonts w:cstheme="minorHAnsi"/>
        </w:rPr>
        <w:t>-</w:t>
      </w:r>
      <w:r w:rsidRPr="00BC343F">
        <w:rPr>
          <w:rFonts w:cstheme="minorHAnsi"/>
        </w:rPr>
        <w:t xml:space="preserve">proceedings process to ensure children are safe and not at risk of significant harm, the </w:t>
      </w:r>
      <w:r w:rsidR="00BC343F">
        <w:rPr>
          <w:rFonts w:cstheme="minorHAnsi"/>
        </w:rPr>
        <w:t>membership of the Legal Tracking Meeting will</w:t>
      </w:r>
      <w:r w:rsidRPr="00BC343F">
        <w:rPr>
          <w:rFonts w:cstheme="minorHAnsi"/>
        </w:rPr>
        <w:t xml:space="preserve"> review the plan and threshold and seek an urgent return to Legal Gateway </w:t>
      </w:r>
      <w:r w:rsidR="00B642B7">
        <w:rPr>
          <w:rFonts w:cstheme="minorHAnsi"/>
        </w:rPr>
        <w:t>Panel</w:t>
      </w:r>
      <w:r w:rsidRPr="00BC343F">
        <w:rPr>
          <w:rFonts w:cstheme="minorHAnsi"/>
        </w:rPr>
        <w:t xml:space="preserve">. </w:t>
      </w:r>
    </w:p>
    <w:p w14:paraId="52B3CAA9" w14:textId="77777777" w:rsidR="009B76E2" w:rsidRPr="00852DD5" w:rsidRDefault="009B76E2" w:rsidP="009B76E2">
      <w:pPr>
        <w:pStyle w:val="ListParagraph"/>
        <w:spacing w:after="0"/>
        <w:ind w:left="360"/>
        <w:jc w:val="both"/>
        <w:rPr>
          <w:rFonts w:cstheme="minorHAnsi"/>
          <w:sz w:val="24"/>
          <w:szCs w:val="24"/>
        </w:rPr>
      </w:pPr>
    </w:p>
    <w:p w14:paraId="093F5557" w14:textId="7F3A3BAF" w:rsidR="009B76E2" w:rsidRPr="00B642B7" w:rsidRDefault="009B76E2" w:rsidP="009B76E2">
      <w:pPr>
        <w:spacing w:after="0"/>
        <w:jc w:val="both"/>
        <w:rPr>
          <w:rFonts w:cstheme="minorHAnsi"/>
          <w:bCs/>
          <w:i/>
          <w:iCs/>
        </w:rPr>
      </w:pPr>
      <w:r w:rsidRPr="00B642B7">
        <w:rPr>
          <w:rFonts w:cstheme="minorHAnsi"/>
          <w:bCs/>
          <w:i/>
          <w:iCs/>
        </w:rPr>
        <w:t>Final PLO review at 12 weeks (and 16 weeks in exceptional circumstances if agreed extension)</w:t>
      </w:r>
    </w:p>
    <w:p w14:paraId="5DB99E9B" w14:textId="77777777" w:rsidR="009B76E2" w:rsidRPr="004B47E0" w:rsidRDefault="009B76E2" w:rsidP="009B76E2">
      <w:pPr>
        <w:spacing w:after="0"/>
        <w:jc w:val="both"/>
        <w:rPr>
          <w:rFonts w:cstheme="minorHAnsi"/>
          <w:b/>
          <w:u w:val="single"/>
        </w:rPr>
      </w:pPr>
    </w:p>
    <w:p w14:paraId="5E30F1EE" w14:textId="66B14844" w:rsidR="00A41093" w:rsidRDefault="00A41093" w:rsidP="00A41093">
      <w:pPr>
        <w:spacing w:after="0"/>
        <w:jc w:val="both"/>
        <w:rPr>
          <w:bCs/>
        </w:rPr>
      </w:pPr>
      <w:r>
        <w:rPr>
          <w:bCs/>
        </w:rPr>
        <w:t xml:space="preserve">Final PLO Reviews will take place as part of the core Legal Tracking Meeting, at the twelve week point of the pre-proceedings process (or 16 weeks in exceptional circumstances). </w:t>
      </w:r>
    </w:p>
    <w:p w14:paraId="0AD1E49C" w14:textId="77777777" w:rsidR="009B76E2" w:rsidRPr="00164974" w:rsidRDefault="009B76E2" w:rsidP="009B76E2">
      <w:pPr>
        <w:spacing w:after="0"/>
        <w:jc w:val="both"/>
        <w:rPr>
          <w:rFonts w:cstheme="minorHAnsi"/>
          <w:b/>
          <w:u w:val="single"/>
        </w:rPr>
      </w:pPr>
    </w:p>
    <w:p w14:paraId="536E183C" w14:textId="241AE765" w:rsidR="009B76E2" w:rsidRPr="00EA7199" w:rsidRDefault="00EA7199" w:rsidP="00EA7199">
      <w:pPr>
        <w:spacing w:after="0"/>
        <w:jc w:val="both"/>
        <w:rPr>
          <w:rFonts w:cstheme="minorHAnsi"/>
        </w:rPr>
      </w:pPr>
      <w:r>
        <w:rPr>
          <w:rFonts w:cstheme="minorHAnsi"/>
        </w:rPr>
        <w:t xml:space="preserve">The </w:t>
      </w:r>
      <w:r w:rsidR="009B76E2" w:rsidRPr="00EA7199">
        <w:rPr>
          <w:rFonts w:cstheme="minorHAnsi"/>
        </w:rPr>
        <w:t xml:space="preserve">Final PLO review record will be saved to a Legal Case Note on the child’s LCS file by the </w:t>
      </w:r>
      <w:r>
        <w:rPr>
          <w:rFonts w:cstheme="minorHAnsi"/>
        </w:rPr>
        <w:t>Legal Gateway Panel</w:t>
      </w:r>
      <w:r w:rsidR="009B76E2" w:rsidRPr="00EA7199">
        <w:rPr>
          <w:rFonts w:cstheme="minorHAnsi"/>
        </w:rPr>
        <w:t xml:space="preserve"> administrator. </w:t>
      </w:r>
    </w:p>
    <w:p w14:paraId="7E96998F" w14:textId="77777777" w:rsidR="00EA7199" w:rsidRDefault="00EA7199" w:rsidP="00EA7199">
      <w:pPr>
        <w:spacing w:after="0"/>
        <w:jc w:val="both"/>
        <w:rPr>
          <w:rFonts w:cstheme="minorHAnsi"/>
        </w:rPr>
      </w:pPr>
    </w:p>
    <w:p w14:paraId="5B510B2A" w14:textId="22AAC13F" w:rsidR="009B76E2" w:rsidRPr="00EA7199" w:rsidRDefault="00EA7199" w:rsidP="00EA7199">
      <w:pPr>
        <w:spacing w:after="0"/>
        <w:jc w:val="both"/>
        <w:rPr>
          <w:rFonts w:cstheme="minorHAnsi"/>
        </w:rPr>
      </w:pPr>
      <w:r>
        <w:rPr>
          <w:rFonts w:cstheme="minorHAnsi"/>
        </w:rPr>
        <w:t xml:space="preserve">In making this decision, the Legal Tracking Meeting will consider </w:t>
      </w:r>
      <w:r w:rsidR="009B76E2" w:rsidRPr="00EA7199">
        <w:rPr>
          <w:rFonts w:cstheme="minorHAnsi"/>
        </w:rPr>
        <w:t xml:space="preserve">updates and progress of actions and </w:t>
      </w:r>
      <w:r>
        <w:rPr>
          <w:rFonts w:cstheme="minorHAnsi"/>
        </w:rPr>
        <w:t>identified</w:t>
      </w:r>
      <w:r w:rsidR="009B76E2" w:rsidRPr="00EA7199">
        <w:rPr>
          <w:rFonts w:cstheme="minorHAnsi"/>
        </w:rPr>
        <w:t xml:space="preserve">, outcomes, </w:t>
      </w:r>
      <w:r>
        <w:rPr>
          <w:rFonts w:cstheme="minorHAnsi"/>
        </w:rPr>
        <w:t xml:space="preserve">the </w:t>
      </w:r>
      <w:r w:rsidR="009B76E2" w:rsidRPr="00EA7199">
        <w:rPr>
          <w:rFonts w:cstheme="minorHAnsi"/>
        </w:rPr>
        <w:t>impact for the children of the PLO process</w:t>
      </w:r>
      <w:r>
        <w:rPr>
          <w:rFonts w:cstheme="minorHAnsi"/>
        </w:rPr>
        <w:t xml:space="preserve"> and any identified reduction of risk</w:t>
      </w:r>
      <w:r w:rsidR="009B76E2" w:rsidRPr="00EA7199">
        <w:rPr>
          <w:rFonts w:cstheme="minorHAnsi"/>
        </w:rPr>
        <w:t xml:space="preserve">, any continuing needs, </w:t>
      </w:r>
      <w:r>
        <w:rPr>
          <w:rFonts w:cstheme="minorHAnsi"/>
        </w:rPr>
        <w:t xml:space="preserve">enduring </w:t>
      </w:r>
      <w:r w:rsidR="009B76E2" w:rsidRPr="00EA7199">
        <w:rPr>
          <w:rFonts w:cstheme="minorHAnsi"/>
        </w:rPr>
        <w:t xml:space="preserve">risks, protective factors (and or issues of drift/delay with proposals for addressing these if seeking an extension to 16 weeks). </w:t>
      </w:r>
    </w:p>
    <w:p w14:paraId="7659BE89" w14:textId="77777777" w:rsidR="00EA7199" w:rsidRDefault="00EA7199" w:rsidP="00EA7199">
      <w:pPr>
        <w:spacing w:after="0"/>
        <w:jc w:val="both"/>
        <w:rPr>
          <w:rFonts w:cstheme="minorHAnsi"/>
        </w:rPr>
      </w:pPr>
    </w:p>
    <w:p w14:paraId="0906996F" w14:textId="3208B8D4" w:rsidR="009B76E2" w:rsidRPr="00EA7199" w:rsidRDefault="00EA7199" w:rsidP="00EA7199">
      <w:pPr>
        <w:spacing w:after="0"/>
        <w:jc w:val="both"/>
        <w:rPr>
          <w:rFonts w:cstheme="minorHAnsi"/>
        </w:rPr>
      </w:pPr>
      <w:r>
        <w:rPr>
          <w:rFonts w:cstheme="minorHAnsi"/>
        </w:rPr>
        <w:t>The decision in respect of stepping</w:t>
      </w:r>
      <w:r w:rsidR="009B76E2" w:rsidRPr="00EA7199">
        <w:rPr>
          <w:rFonts w:cstheme="minorHAnsi"/>
        </w:rPr>
        <w:t xml:space="preserve"> out of PLO process to a CP/CIN plan or step up to initiate Legal Proceedings (or extend to 16 weeks PLO process if necessary)</w:t>
      </w:r>
      <w:r w:rsidR="00625D4E">
        <w:rPr>
          <w:rFonts w:cstheme="minorHAnsi"/>
        </w:rPr>
        <w:t xml:space="preserve"> will be the decision of the Chair</w:t>
      </w:r>
      <w:r w:rsidR="009B76E2" w:rsidRPr="00EA7199">
        <w:rPr>
          <w:rFonts w:cstheme="minorHAnsi"/>
        </w:rPr>
        <w:t xml:space="preserve">. </w:t>
      </w:r>
    </w:p>
    <w:p w14:paraId="5D38EAE0" w14:textId="77777777" w:rsidR="009B76E2" w:rsidRPr="009F783A" w:rsidRDefault="009B76E2" w:rsidP="009B76E2">
      <w:pPr>
        <w:pStyle w:val="ListParagraph"/>
        <w:spacing w:after="0"/>
        <w:jc w:val="both"/>
        <w:rPr>
          <w:rFonts w:ascii="Arial" w:hAnsi="Arial" w:cs="Arial"/>
          <w:color w:val="FF0000"/>
          <w:sz w:val="20"/>
          <w:szCs w:val="20"/>
        </w:rPr>
      </w:pPr>
    </w:p>
    <w:p w14:paraId="6B976C03" w14:textId="77777777" w:rsidR="009B76E2" w:rsidRDefault="009B76E2" w:rsidP="009B76E2">
      <w:pPr>
        <w:spacing w:after="0"/>
        <w:jc w:val="both"/>
        <w:rPr>
          <w:rFonts w:ascii="Arial" w:hAnsi="Arial" w:cs="Arial"/>
          <w:sz w:val="20"/>
          <w:szCs w:val="20"/>
        </w:rPr>
      </w:pPr>
    </w:p>
    <w:p w14:paraId="2B17AAB9" w14:textId="77777777" w:rsidR="009B76E2" w:rsidRPr="00910A2E" w:rsidRDefault="009B76E2" w:rsidP="009B76E2">
      <w:pPr>
        <w:spacing w:after="0"/>
        <w:jc w:val="both"/>
        <w:rPr>
          <w:rFonts w:cstheme="minorHAnsi"/>
          <w:color w:val="FF0000"/>
        </w:rPr>
      </w:pPr>
    </w:p>
    <w:p w14:paraId="0314DF26" w14:textId="77777777" w:rsidR="00B377FC" w:rsidRPr="00B530D1" w:rsidRDefault="00B377FC" w:rsidP="00B530D1"/>
    <w:sectPr w:rsidR="00B377FC" w:rsidRPr="00B530D1" w:rsidSect="0002446C">
      <w:headerReference w:type="even" r:id="rId10"/>
      <w:headerReference w:type="default" r:id="rId11"/>
      <w:footerReference w:type="even" r:id="rId12"/>
      <w:footerReference w:type="default" r:id="rId13"/>
      <w:headerReference w:type="firs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6A64" w14:textId="77777777" w:rsidR="009B76E2" w:rsidRDefault="009B76E2" w:rsidP="008952DF">
      <w:r>
        <w:separator/>
      </w:r>
    </w:p>
  </w:endnote>
  <w:endnote w:type="continuationSeparator" w:id="0">
    <w:p w14:paraId="57674E16" w14:textId="77777777" w:rsidR="009B76E2" w:rsidRDefault="009B76E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F106"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706ED623" w14:textId="77777777" w:rsidTr="0002446C">
      <w:tc>
        <w:tcPr>
          <w:tcW w:w="10456" w:type="dxa"/>
        </w:tcPr>
        <w:sdt>
          <w:sdtPr>
            <w:id w:val="-518623638"/>
            <w:docPartObj>
              <w:docPartGallery w:val="Page Numbers (Bottom of Page)"/>
              <w:docPartUnique/>
            </w:docPartObj>
          </w:sdtPr>
          <w:sdtEndPr>
            <w:rPr>
              <w:noProof/>
            </w:rPr>
          </w:sdtEndPr>
          <w:sdtContent>
            <w:p w14:paraId="6DBFC17D"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6719F51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704C" w14:textId="77777777" w:rsidR="009B76E2" w:rsidRDefault="009B76E2" w:rsidP="008952DF">
      <w:r>
        <w:separator/>
      </w:r>
    </w:p>
  </w:footnote>
  <w:footnote w:type="continuationSeparator" w:id="0">
    <w:p w14:paraId="66D2EEB5" w14:textId="77777777" w:rsidR="009B76E2" w:rsidRDefault="009B76E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957D"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2FF5"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6B69" w14:textId="0E5A05F1" w:rsidR="00396AD4" w:rsidRDefault="00396AD4">
    <w:pPr>
      <w:pStyle w:val="Header"/>
    </w:pPr>
    <w:r w:rsidRPr="001A6C78">
      <w:rPr>
        <w:noProof/>
      </w:rPr>
      <w:drawing>
        <wp:inline distT="0" distB="0" distL="0" distR="0" wp14:anchorId="2C80C018" wp14:editId="625618B5">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76B27BA0"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278F2"/>
    <w:multiLevelType w:val="hybridMultilevel"/>
    <w:tmpl w:val="4EBA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B24BCF"/>
    <w:multiLevelType w:val="hybridMultilevel"/>
    <w:tmpl w:val="07301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AF317A"/>
    <w:multiLevelType w:val="hybridMultilevel"/>
    <w:tmpl w:val="6E7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46298"/>
    <w:multiLevelType w:val="singleLevel"/>
    <w:tmpl w:val="00000000"/>
    <w:lvl w:ilvl="0">
      <w:start w:val="1"/>
      <w:numFmt w:val="bullet"/>
      <w:lvlText w:val="·"/>
      <w:lvlJc w:val="left"/>
      <w:pPr>
        <w:ind w:left="0" w:hanging="360"/>
      </w:pPr>
      <w:rPr>
        <w:rFonts w:ascii="Symbol" w:hAnsi="Symbol" w:hint="default"/>
        <w:w w:val="100"/>
      </w:rPr>
    </w:lvl>
  </w:abstractNum>
  <w:abstractNum w:abstractNumId="9"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417D2B"/>
    <w:multiLevelType w:val="hybridMultilevel"/>
    <w:tmpl w:val="4078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B25E7B"/>
    <w:multiLevelType w:val="hybridMultilevel"/>
    <w:tmpl w:val="5DF03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324383">
    <w:abstractNumId w:val="10"/>
  </w:num>
  <w:num w:numId="2" w16cid:durableId="163014800">
    <w:abstractNumId w:val="1"/>
  </w:num>
  <w:num w:numId="3" w16cid:durableId="791903677">
    <w:abstractNumId w:val="12"/>
  </w:num>
  <w:num w:numId="4" w16cid:durableId="918297380">
    <w:abstractNumId w:val="6"/>
  </w:num>
  <w:num w:numId="5" w16cid:durableId="1629314742">
    <w:abstractNumId w:val="9"/>
  </w:num>
  <w:num w:numId="6" w16cid:durableId="2139713584">
    <w:abstractNumId w:val="4"/>
  </w:num>
  <w:num w:numId="7" w16cid:durableId="1947229601">
    <w:abstractNumId w:val="0"/>
  </w:num>
  <w:num w:numId="8" w16cid:durableId="1207258741">
    <w:abstractNumId w:val="3"/>
  </w:num>
  <w:num w:numId="9" w16cid:durableId="945311654">
    <w:abstractNumId w:val="7"/>
  </w:num>
  <w:num w:numId="10" w16cid:durableId="1372850018">
    <w:abstractNumId w:val="5"/>
  </w:num>
  <w:num w:numId="11" w16cid:durableId="1748309716">
    <w:abstractNumId w:val="11"/>
  </w:num>
  <w:num w:numId="12" w16cid:durableId="231700406">
    <w:abstractNumId w:val="13"/>
  </w:num>
  <w:num w:numId="13" w16cid:durableId="933592492">
    <w:abstractNumId w:val="2"/>
  </w:num>
  <w:num w:numId="14" w16cid:durableId="196554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2"/>
    <w:rsid w:val="00016457"/>
    <w:rsid w:val="0002446C"/>
    <w:rsid w:val="00087D33"/>
    <w:rsid w:val="000D746A"/>
    <w:rsid w:val="000E3EF5"/>
    <w:rsid w:val="00126E15"/>
    <w:rsid w:val="0019067F"/>
    <w:rsid w:val="001C0CF3"/>
    <w:rsid w:val="001D0856"/>
    <w:rsid w:val="001D559E"/>
    <w:rsid w:val="001F4C88"/>
    <w:rsid w:val="00324433"/>
    <w:rsid w:val="00363A16"/>
    <w:rsid w:val="00396AD4"/>
    <w:rsid w:val="003D033D"/>
    <w:rsid w:val="004005C0"/>
    <w:rsid w:val="004067A0"/>
    <w:rsid w:val="004404F5"/>
    <w:rsid w:val="00463FFD"/>
    <w:rsid w:val="00492E76"/>
    <w:rsid w:val="0049312B"/>
    <w:rsid w:val="004C6F8B"/>
    <w:rsid w:val="00505B9C"/>
    <w:rsid w:val="00520C03"/>
    <w:rsid w:val="00535E8E"/>
    <w:rsid w:val="005C4C5D"/>
    <w:rsid w:val="00625D4E"/>
    <w:rsid w:val="00630530"/>
    <w:rsid w:val="0065240B"/>
    <w:rsid w:val="00682C97"/>
    <w:rsid w:val="00726EA3"/>
    <w:rsid w:val="00743A0C"/>
    <w:rsid w:val="007455B3"/>
    <w:rsid w:val="007C339D"/>
    <w:rsid w:val="00832DBF"/>
    <w:rsid w:val="0083385A"/>
    <w:rsid w:val="00876DDA"/>
    <w:rsid w:val="008952DF"/>
    <w:rsid w:val="008A74CC"/>
    <w:rsid w:val="008B32DB"/>
    <w:rsid w:val="008E52FD"/>
    <w:rsid w:val="009255E9"/>
    <w:rsid w:val="009B41EF"/>
    <w:rsid w:val="009B76E2"/>
    <w:rsid w:val="00A247A0"/>
    <w:rsid w:val="00A41093"/>
    <w:rsid w:val="00A53B93"/>
    <w:rsid w:val="00A93F8C"/>
    <w:rsid w:val="00AB02FF"/>
    <w:rsid w:val="00AF592C"/>
    <w:rsid w:val="00B237C0"/>
    <w:rsid w:val="00B377FC"/>
    <w:rsid w:val="00B530D1"/>
    <w:rsid w:val="00B569C4"/>
    <w:rsid w:val="00B642B7"/>
    <w:rsid w:val="00B90181"/>
    <w:rsid w:val="00BA69BE"/>
    <w:rsid w:val="00BC083D"/>
    <w:rsid w:val="00BC343F"/>
    <w:rsid w:val="00C00AB0"/>
    <w:rsid w:val="00C520E4"/>
    <w:rsid w:val="00CD2A4B"/>
    <w:rsid w:val="00CE5400"/>
    <w:rsid w:val="00DD009A"/>
    <w:rsid w:val="00E078E6"/>
    <w:rsid w:val="00EA7199"/>
    <w:rsid w:val="00EB6BD0"/>
    <w:rsid w:val="00F21565"/>
    <w:rsid w:val="00F61EDA"/>
    <w:rsid w:val="00F87B8D"/>
    <w:rsid w:val="00FC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F458A"/>
  <w15:chartTrackingRefBased/>
  <w15:docId w15:val="{AF3DFDF1-D68A-4E39-ABEE-BDEF3D80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B76E2"/>
    <w:pPr>
      <w:spacing w:after="200" w:line="276" w:lineRule="auto"/>
    </w:pPr>
    <w:rPr>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1Light">
    <w:name w:val="Grid Table 1 Light"/>
    <w:basedOn w:val="TableNormal"/>
    <w:uiPriority w:val="46"/>
    <w:rsid w:val="001C0CF3"/>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mestartyear xmlns="91238666-3c46-409f-9265-95f3236ffbc3" xsi:nil="true"/>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Props1.xml><?xml version="1.0" encoding="utf-8"?>
<ds:datastoreItem xmlns:ds="http://schemas.openxmlformats.org/officeDocument/2006/customXml" ds:itemID="{ECAF7FBE-F9D7-4FB8-866B-F6880829BAD9}"/>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Thompson, Becky</cp:lastModifiedBy>
  <cp:revision>3</cp:revision>
  <dcterms:created xsi:type="dcterms:W3CDTF">2023-05-30T10:26:00Z</dcterms:created>
  <dcterms:modified xsi:type="dcterms:W3CDTF">2023-05-30T10:26:00Z</dcterms:modified>
</cp:coreProperties>
</file>