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FD099" w14:textId="075F5FB7" w:rsidR="00430DF3" w:rsidRDefault="00AB5211" w:rsidP="00430DF3">
      <w:r w:rsidRPr="005B4AAB">
        <w:rPr>
          <w:b/>
          <w:sz w:val="28"/>
          <w:szCs w:val="28"/>
        </w:rPr>
        <w:t>Carers Assessment</w:t>
      </w:r>
      <w:r w:rsidR="00243FBE">
        <w:rPr>
          <w:b/>
          <w:sz w:val="28"/>
          <w:szCs w:val="28"/>
        </w:rPr>
        <w:t xml:space="preserve"> Points to </w:t>
      </w:r>
      <w:r w:rsidR="00C63CBB">
        <w:rPr>
          <w:b/>
          <w:sz w:val="28"/>
          <w:szCs w:val="28"/>
        </w:rPr>
        <w:t>Consider…</w:t>
      </w:r>
    </w:p>
    <w:tbl>
      <w:tblPr>
        <w:tblStyle w:val="TableGrid"/>
        <w:tblW w:w="0" w:type="auto"/>
        <w:tblLook w:val="04A0" w:firstRow="1" w:lastRow="0" w:firstColumn="1" w:lastColumn="0" w:noHBand="0" w:noVBand="1"/>
      </w:tblPr>
      <w:tblGrid>
        <w:gridCol w:w="1696"/>
        <w:gridCol w:w="7320"/>
      </w:tblGrid>
      <w:tr w:rsidR="00430DF3" w14:paraId="2B6668DD" w14:textId="77777777" w:rsidTr="00A13AF2">
        <w:tc>
          <w:tcPr>
            <w:tcW w:w="1696" w:type="dxa"/>
          </w:tcPr>
          <w:p w14:paraId="29324391" w14:textId="77777777" w:rsidR="00430DF3" w:rsidRPr="005B4AAB" w:rsidRDefault="0000704E" w:rsidP="00430DF3">
            <w:pPr>
              <w:rPr>
                <w:b/>
              </w:rPr>
            </w:pPr>
            <w:r w:rsidRPr="005B4AAB">
              <w:rPr>
                <w:b/>
              </w:rPr>
              <w:t>Legislation.</w:t>
            </w:r>
          </w:p>
        </w:tc>
        <w:tc>
          <w:tcPr>
            <w:tcW w:w="7320" w:type="dxa"/>
          </w:tcPr>
          <w:p w14:paraId="652B652F" w14:textId="77777777" w:rsidR="00C63CBB" w:rsidRDefault="00C63CBB" w:rsidP="00430DF3">
            <w:pPr>
              <w:rPr>
                <w:rFonts w:eastAsia="Times New Roman" w:cstheme="minorHAnsi"/>
                <w:lang w:eastAsia="en-GB"/>
              </w:rPr>
            </w:pPr>
            <w:r>
              <w:rPr>
                <w:rFonts w:eastAsia="Times New Roman" w:cstheme="minorHAnsi"/>
                <w:lang w:eastAsia="en-GB"/>
              </w:rPr>
              <w:t>Care Act 2014</w:t>
            </w:r>
          </w:p>
          <w:p w14:paraId="3A5D92BD" w14:textId="77777777" w:rsidR="00C63CBB" w:rsidRDefault="00C63CBB" w:rsidP="00430DF3">
            <w:pPr>
              <w:rPr>
                <w:rFonts w:eastAsia="Times New Roman" w:cstheme="minorHAnsi"/>
                <w:lang w:eastAsia="en-GB"/>
              </w:rPr>
            </w:pPr>
          </w:p>
          <w:p w14:paraId="54E29B39" w14:textId="4CD59FBA" w:rsidR="00C63CBB" w:rsidRDefault="00C63CBB" w:rsidP="00430DF3">
            <w:pPr>
              <w:rPr>
                <w:rStyle w:val="Hyperlink"/>
              </w:rPr>
            </w:pPr>
            <w:r w:rsidRPr="00F24F77">
              <w:rPr>
                <w:rFonts w:eastAsia="Times New Roman" w:cstheme="minorHAnsi"/>
                <w:lang w:eastAsia="en-GB"/>
              </w:rPr>
              <w:t>Ensure the carer understands their legal right to an assessment and possible services, even if the person they care for does not want to receive services themselves.</w:t>
            </w:r>
            <w:r>
              <w:rPr>
                <w:rFonts w:eastAsia="Times New Roman" w:cstheme="minorHAnsi"/>
                <w:lang w:eastAsia="en-GB"/>
              </w:rPr>
              <w:t xml:space="preserve">    </w:t>
            </w:r>
            <w:hyperlink r:id="rId7" w:history="1">
              <w:r>
                <w:rPr>
                  <w:rStyle w:val="Hyperlink"/>
                </w:rPr>
                <w:t>Understanding and Applying Eligibility Criteria (Carers) (proceduresonl</w:t>
              </w:r>
              <w:r>
                <w:rPr>
                  <w:rStyle w:val="Hyperlink"/>
                </w:rPr>
                <w:t>i</w:t>
              </w:r>
              <w:r>
                <w:rPr>
                  <w:rStyle w:val="Hyperlink"/>
                </w:rPr>
                <w:t>ne.com)</w:t>
              </w:r>
            </w:hyperlink>
          </w:p>
          <w:p w14:paraId="04D5E01C" w14:textId="77777777" w:rsidR="00C63CBB" w:rsidRDefault="00C63CBB" w:rsidP="00430DF3"/>
          <w:p w14:paraId="0856DE2E" w14:textId="58C13456" w:rsidR="00F73B2C" w:rsidRDefault="00C63CBB" w:rsidP="00430DF3">
            <w:r>
              <w:t>Eligibility:</w:t>
            </w:r>
            <w:r w:rsidR="00430DF3">
              <w:t xml:space="preserve"> </w:t>
            </w:r>
          </w:p>
          <w:p w14:paraId="07964FA6" w14:textId="77777777" w:rsidR="00430DF3" w:rsidRPr="00430DF3" w:rsidRDefault="00430DF3" w:rsidP="00430DF3">
            <w:pPr>
              <w:rPr>
                <w:rFonts w:cs="Arial"/>
                <w:szCs w:val="24"/>
              </w:rPr>
            </w:pPr>
            <w:r w:rsidRPr="00430DF3">
              <w:rPr>
                <w:rFonts w:cs="Arial"/>
                <w:szCs w:val="24"/>
              </w:rPr>
              <w:t>The needs arise as a consequence of providing necessary care to an adult;</w:t>
            </w:r>
          </w:p>
          <w:p w14:paraId="2C7A4AFA" w14:textId="77777777" w:rsidR="00430DF3" w:rsidRPr="00430DF3" w:rsidRDefault="00430DF3" w:rsidP="00430DF3">
            <w:pPr>
              <w:rPr>
                <w:rFonts w:cs="Arial"/>
                <w:szCs w:val="24"/>
              </w:rPr>
            </w:pPr>
            <w:r w:rsidRPr="00430DF3">
              <w:rPr>
                <w:rFonts w:cs="Arial"/>
                <w:szCs w:val="24"/>
              </w:rPr>
              <w:t xml:space="preserve">As a </w:t>
            </w:r>
            <w:r w:rsidR="00F73B2C" w:rsidRPr="00430DF3">
              <w:rPr>
                <w:rFonts w:cs="Arial"/>
                <w:szCs w:val="24"/>
              </w:rPr>
              <w:t>result,</w:t>
            </w:r>
            <w:r w:rsidRPr="00430DF3">
              <w:rPr>
                <w:rFonts w:cs="Arial"/>
                <w:szCs w:val="24"/>
              </w:rPr>
              <w:t xml:space="preserve"> they must be unable to achieve specified outcomes; and </w:t>
            </w:r>
          </w:p>
          <w:p w14:paraId="5EB6F1C8" w14:textId="50930E13" w:rsidR="00430DF3" w:rsidRPr="00C63CBB" w:rsidRDefault="00430DF3" w:rsidP="00C63CBB">
            <w:pPr>
              <w:rPr>
                <w:rFonts w:cs="Arial"/>
                <w:szCs w:val="24"/>
              </w:rPr>
            </w:pPr>
            <w:r w:rsidRPr="00430DF3">
              <w:rPr>
                <w:rFonts w:cs="Arial"/>
                <w:szCs w:val="24"/>
              </w:rPr>
              <w:t>As a consequence, there is (or there is likely to be) a significant impact on their wellbeing</w:t>
            </w:r>
            <w:r w:rsidR="00C63CBB">
              <w:rPr>
                <w:rFonts w:cs="Arial"/>
                <w:szCs w:val="24"/>
              </w:rPr>
              <w:t>.</w:t>
            </w:r>
          </w:p>
        </w:tc>
      </w:tr>
      <w:tr w:rsidR="00451BC0" w14:paraId="00865EF6" w14:textId="77777777" w:rsidTr="00A13AF2">
        <w:tc>
          <w:tcPr>
            <w:tcW w:w="1696" w:type="dxa"/>
          </w:tcPr>
          <w:p w14:paraId="12D1ACA5" w14:textId="77777777" w:rsidR="00451BC0" w:rsidRPr="005B4AAB" w:rsidRDefault="0000704E" w:rsidP="00430DF3">
            <w:pPr>
              <w:rPr>
                <w:b/>
              </w:rPr>
            </w:pPr>
            <w:r w:rsidRPr="005B4AAB">
              <w:rPr>
                <w:b/>
              </w:rPr>
              <w:t>Carers assessments.</w:t>
            </w:r>
          </w:p>
        </w:tc>
        <w:tc>
          <w:tcPr>
            <w:tcW w:w="7320" w:type="dxa"/>
          </w:tcPr>
          <w:p w14:paraId="10D8FEED" w14:textId="348FD388" w:rsidR="00F367E7" w:rsidRDefault="00DF6153" w:rsidP="00430DF3">
            <w:r>
              <w:t>C</w:t>
            </w:r>
            <w:r w:rsidR="00F367E7">
              <w:t>arer's assessment</w:t>
            </w:r>
            <w:r>
              <w:t>s should be</w:t>
            </w:r>
            <w:r w:rsidR="00F367E7">
              <w:t xml:space="preserve"> a positive, empowering process that values the carer’s strengths and helps them build on their existing capabilities, while ensuring their well-being and ability to manage their role in a sustainable, healthy way.</w:t>
            </w:r>
          </w:p>
          <w:p w14:paraId="0CB2E013" w14:textId="77777777" w:rsidR="00C63CBB" w:rsidRDefault="00C63CBB" w:rsidP="00430DF3"/>
          <w:p w14:paraId="6FB87A6C" w14:textId="6957B482" w:rsidR="00451BC0" w:rsidRDefault="00451BC0" w:rsidP="00430DF3">
            <w:pPr>
              <w:rPr>
                <w:rStyle w:val="Hyperlink"/>
              </w:rPr>
            </w:pPr>
            <w:r>
              <w:t>Carers assessments are not and should not be led by requests for statutory services. Care</w:t>
            </w:r>
            <w:r w:rsidR="00BA396E">
              <w:t>r</w:t>
            </w:r>
            <w:r>
              <w:t>s assessments should focus on the carer, what support they provide, can continue to provide, how this impact</w:t>
            </w:r>
            <w:r w:rsidR="003817D8">
              <w:t>s</w:t>
            </w:r>
            <w:r>
              <w:t xml:space="preserve"> </w:t>
            </w:r>
            <w:r w:rsidR="004E108A">
              <w:t>their</w:t>
            </w:r>
            <w:r>
              <w:t xml:space="preserve"> wellbeing, then once completed revisit how they could be supported. Signposting, </w:t>
            </w:r>
            <w:r w:rsidR="00C63CBB">
              <w:t>f</w:t>
            </w:r>
            <w:r>
              <w:t xml:space="preserve">ormal support, advice ETC. </w:t>
            </w:r>
            <w:r w:rsidR="00AB5211">
              <w:t xml:space="preserve"> </w:t>
            </w:r>
            <w:hyperlink r:id="rId8" w:history="1">
              <w:r w:rsidR="00AB5211">
                <w:rPr>
                  <w:rStyle w:val="Hyperlink"/>
                </w:rPr>
                <w:t>Introduction, Legal Requirements and Tools (Carers) (proceduresonline.com)</w:t>
              </w:r>
            </w:hyperlink>
          </w:p>
          <w:p w14:paraId="133D8782" w14:textId="77777777" w:rsidR="004436C6" w:rsidRDefault="004436C6" w:rsidP="00430DF3"/>
          <w:p w14:paraId="3A844CE2" w14:textId="77777777" w:rsidR="004436C6" w:rsidRDefault="00AF5063" w:rsidP="00430DF3">
            <w:hyperlink r:id="rId9" w:history="1">
              <w:r w:rsidR="004436C6">
                <w:rPr>
                  <w:rStyle w:val="Hyperlink"/>
                </w:rPr>
                <w:t>Supporting socia</w:t>
              </w:r>
              <w:r w:rsidR="004436C6">
                <w:rPr>
                  <w:rStyle w:val="Hyperlink"/>
                </w:rPr>
                <w:t>l</w:t>
              </w:r>
              <w:r w:rsidR="004436C6">
                <w:rPr>
                  <w:rStyle w:val="Hyperlink"/>
                </w:rPr>
                <w:t xml:space="preserve"> work with carers – resources and tools | Research in Practice</w:t>
              </w:r>
            </w:hyperlink>
          </w:p>
        </w:tc>
      </w:tr>
      <w:tr w:rsidR="00430DF3" w14:paraId="30D490A2" w14:textId="77777777" w:rsidTr="00A13AF2">
        <w:tc>
          <w:tcPr>
            <w:tcW w:w="1696" w:type="dxa"/>
          </w:tcPr>
          <w:p w14:paraId="3DF5A336" w14:textId="77777777" w:rsidR="00430DF3" w:rsidRDefault="0000704E" w:rsidP="00342909">
            <w:r w:rsidRPr="005B4AAB">
              <w:rPr>
                <w:b/>
              </w:rPr>
              <w:t>Strength based approach</w:t>
            </w:r>
            <w:r>
              <w:t>.</w:t>
            </w:r>
          </w:p>
        </w:tc>
        <w:tc>
          <w:tcPr>
            <w:tcW w:w="7320" w:type="dxa"/>
          </w:tcPr>
          <w:p w14:paraId="13833007" w14:textId="77777777" w:rsidR="00DF6153" w:rsidRPr="00DF6153" w:rsidRDefault="00DF6153" w:rsidP="00342909">
            <w:pPr>
              <w:rPr>
                <w:rFonts w:eastAsia="Times New Roman" w:cstheme="minorHAnsi"/>
                <w:lang w:eastAsia="en-GB"/>
              </w:rPr>
            </w:pPr>
            <w:r w:rsidRPr="00F24F77">
              <w:rPr>
                <w:rFonts w:eastAsia="Times New Roman" w:cstheme="minorHAnsi"/>
                <w:lang w:eastAsia="en-GB"/>
              </w:rPr>
              <w:t>Identify the carer’s strengths and existing coping mechanisms. Use a strengths-based approach to empower them, considering w</w:t>
            </w:r>
            <w:r w:rsidRPr="00DF6153">
              <w:rPr>
                <w:rFonts w:eastAsia="Times New Roman" w:cstheme="minorHAnsi"/>
                <w:lang w:eastAsia="en-GB"/>
              </w:rPr>
              <w:t>hat is working well.</w:t>
            </w:r>
          </w:p>
          <w:p w14:paraId="2AD64094" w14:textId="77777777" w:rsidR="00DF6153" w:rsidRDefault="00DF6153" w:rsidP="00342909">
            <w:pPr>
              <w:rPr>
                <w:rFonts w:ascii="Arial" w:hAnsi="Arial" w:cs="Arial"/>
                <w:sz w:val="20"/>
                <w:szCs w:val="20"/>
              </w:rPr>
            </w:pPr>
          </w:p>
          <w:p w14:paraId="787844E7" w14:textId="77777777" w:rsidR="004E108A" w:rsidRPr="00C63CBB" w:rsidRDefault="003817D8" w:rsidP="00342909">
            <w:pPr>
              <w:rPr>
                <w:rFonts w:ascii="Calibri" w:hAnsi="Calibri" w:cs="Calibri"/>
                <w:sz w:val="24"/>
                <w:szCs w:val="20"/>
                <w:u w:val="single"/>
              </w:rPr>
            </w:pPr>
            <w:r w:rsidRPr="00C63CBB">
              <w:rPr>
                <w:rFonts w:ascii="Calibri" w:hAnsi="Calibri" w:cs="Calibri"/>
                <w:sz w:val="24"/>
                <w:szCs w:val="20"/>
                <w:u w:val="single"/>
              </w:rPr>
              <w:t xml:space="preserve">Questions to consider as part of a </w:t>
            </w:r>
            <w:r w:rsidR="00D91C4A" w:rsidRPr="00C63CBB">
              <w:rPr>
                <w:rFonts w:ascii="Calibri" w:hAnsi="Calibri" w:cs="Calibri"/>
                <w:sz w:val="24"/>
                <w:szCs w:val="20"/>
                <w:u w:val="single"/>
              </w:rPr>
              <w:t>carer’s</w:t>
            </w:r>
            <w:r w:rsidRPr="00C63CBB">
              <w:rPr>
                <w:rFonts w:ascii="Calibri" w:hAnsi="Calibri" w:cs="Calibri"/>
                <w:sz w:val="24"/>
                <w:szCs w:val="20"/>
                <w:u w:val="single"/>
              </w:rPr>
              <w:t xml:space="preserve"> assessment; </w:t>
            </w:r>
          </w:p>
          <w:p w14:paraId="2AE050A9" w14:textId="77777777" w:rsidR="00A13AF2" w:rsidRPr="00C63CBB" w:rsidRDefault="00430DF3" w:rsidP="00342909">
            <w:pPr>
              <w:rPr>
                <w:rFonts w:ascii="Calibri" w:hAnsi="Calibri" w:cs="Calibri"/>
                <w:i/>
                <w:szCs w:val="20"/>
              </w:rPr>
            </w:pPr>
            <w:r w:rsidRPr="00C63CBB">
              <w:rPr>
                <w:rFonts w:ascii="Calibri" w:hAnsi="Calibri" w:cs="Calibri"/>
                <w:i/>
                <w:szCs w:val="20"/>
              </w:rPr>
              <w:t xml:space="preserve">What support do you provide? </w:t>
            </w:r>
          </w:p>
          <w:p w14:paraId="7A833211" w14:textId="77777777" w:rsidR="00A13AF2" w:rsidRPr="00C63CBB" w:rsidRDefault="00430DF3" w:rsidP="00342909">
            <w:pPr>
              <w:rPr>
                <w:rFonts w:ascii="Calibri" w:hAnsi="Calibri" w:cs="Calibri"/>
                <w:i/>
                <w:szCs w:val="20"/>
              </w:rPr>
            </w:pPr>
            <w:r w:rsidRPr="00C63CBB">
              <w:rPr>
                <w:rFonts w:ascii="Calibri" w:hAnsi="Calibri" w:cs="Calibri"/>
                <w:i/>
                <w:szCs w:val="20"/>
              </w:rPr>
              <w:t xml:space="preserve">What’s going well? </w:t>
            </w:r>
          </w:p>
          <w:p w14:paraId="1624ABBE" w14:textId="77777777" w:rsidR="00A13AF2" w:rsidRPr="00C63CBB" w:rsidRDefault="00430DF3" w:rsidP="00342909">
            <w:pPr>
              <w:rPr>
                <w:rFonts w:ascii="Calibri" w:hAnsi="Calibri" w:cs="Calibri"/>
                <w:i/>
                <w:szCs w:val="20"/>
              </w:rPr>
            </w:pPr>
            <w:r w:rsidRPr="00C63CBB">
              <w:rPr>
                <w:rFonts w:ascii="Calibri" w:hAnsi="Calibri" w:cs="Calibri"/>
                <w:i/>
                <w:szCs w:val="20"/>
              </w:rPr>
              <w:t xml:space="preserve">Are you able / willing to continue to provide support? </w:t>
            </w:r>
          </w:p>
          <w:p w14:paraId="17DD4B5A" w14:textId="77777777" w:rsidR="00F73B2C" w:rsidRPr="00C63CBB" w:rsidRDefault="00430DF3" w:rsidP="00342909">
            <w:pPr>
              <w:rPr>
                <w:rFonts w:ascii="Calibri" w:hAnsi="Calibri" w:cs="Calibri"/>
                <w:i/>
                <w:szCs w:val="20"/>
              </w:rPr>
            </w:pPr>
            <w:r w:rsidRPr="00C63CBB">
              <w:rPr>
                <w:rFonts w:ascii="Calibri" w:hAnsi="Calibri" w:cs="Calibri"/>
                <w:i/>
                <w:szCs w:val="20"/>
              </w:rPr>
              <w:t xml:space="preserve">What outcomes would you like to achieve in your day-to-day life? </w:t>
            </w:r>
          </w:p>
          <w:p w14:paraId="1FA07F6F" w14:textId="77777777" w:rsidR="00F73B2C" w:rsidRPr="00C63CBB" w:rsidRDefault="00430DF3" w:rsidP="00342909">
            <w:pPr>
              <w:rPr>
                <w:rFonts w:ascii="Calibri" w:hAnsi="Calibri" w:cs="Calibri"/>
                <w:i/>
                <w:szCs w:val="20"/>
              </w:rPr>
            </w:pPr>
            <w:r w:rsidRPr="00C63CBB">
              <w:rPr>
                <w:rFonts w:ascii="Calibri" w:hAnsi="Calibri" w:cs="Calibri"/>
                <w:i/>
                <w:szCs w:val="20"/>
              </w:rPr>
              <w:t xml:space="preserve">What is the impact of your support on your wellbeing (including health, relationships, social activities, finances)? </w:t>
            </w:r>
          </w:p>
          <w:p w14:paraId="6B458097" w14:textId="77777777" w:rsidR="00430DF3" w:rsidRPr="00C63CBB" w:rsidRDefault="00430DF3" w:rsidP="00342909">
            <w:pPr>
              <w:rPr>
                <w:rFonts w:ascii="Calibri" w:hAnsi="Calibri" w:cs="Calibri"/>
                <w:i/>
                <w:szCs w:val="20"/>
              </w:rPr>
            </w:pPr>
            <w:r w:rsidRPr="00C63CBB">
              <w:rPr>
                <w:rFonts w:ascii="Calibri" w:hAnsi="Calibri" w:cs="Calibri"/>
                <w:i/>
                <w:szCs w:val="20"/>
              </w:rPr>
              <w:t>Do you work or participate in education, training or recreation (or wish to)?</w:t>
            </w:r>
          </w:p>
          <w:p w14:paraId="646314B1" w14:textId="77777777" w:rsidR="00451BC0" w:rsidRPr="00C63CBB" w:rsidRDefault="00451BC0" w:rsidP="00342909">
            <w:pPr>
              <w:rPr>
                <w:rFonts w:ascii="Calibri" w:hAnsi="Calibri" w:cs="Calibri"/>
                <w:i/>
                <w:szCs w:val="20"/>
              </w:rPr>
            </w:pPr>
            <w:r w:rsidRPr="00C63CBB">
              <w:rPr>
                <w:rFonts w:ascii="Calibri" w:hAnsi="Calibri" w:cs="Calibri"/>
                <w:i/>
                <w:szCs w:val="20"/>
              </w:rPr>
              <w:t xml:space="preserve">Do you have cultural or spiritual beliefs that are impacted by your caring role? </w:t>
            </w:r>
          </w:p>
          <w:p w14:paraId="481DC39C" w14:textId="77777777" w:rsidR="00DF6153" w:rsidRDefault="00DF6153" w:rsidP="00342909">
            <w:pPr>
              <w:rPr>
                <w:rFonts w:ascii="Arial" w:hAnsi="Arial" w:cs="Arial"/>
                <w:sz w:val="20"/>
                <w:szCs w:val="20"/>
              </w:rPr>
            </w:pPr>
          </w:p>
          <w:p w14:paraId="38E6146F" w14:textId="77777777" w:rsidR="00DF6153" w:rsidRDefault="00DF6153" w:rsidP="00342909">
            <w:r>
              <w:t>Acknowledge what the carer is doing well in their role. Look for skills, coping mechanisms, and the carer’s ability to maintain a positive outlook, even in challenging situations.</w:t>
            </w:r>
          </w:p>
          <w:p w14:paraId="6DAABB37" w14:textId="77777777" w:rsidR="00DF6153" w:rsidRDefault="00DF6153" w:rsidP="00342909">
            <w:pPr>
              <w:rPr>
                <w:rFonts w:ascii="Arial" w:hAnsi="Arial" w:cs="Arial"/>
                <w:sz w:val="20"/>
                <w:szCs w:val="20"/>
              </w:rPr>
            </w:pPr>
          </w:p>
          <w:p w14:paraId="49DD2577" w14:textId="77777777" w:rsidR="00DF6153" w:rsidRDefault="00DF6153" w:rsidP="00342909">
            <w:r>
              <w:t>Focus on what the carer hopes to achieve outside of their caring role, such as education, work, hobbies, or social connections. Encourage them to set realistic goals that will contribute to their well-being and fulfilment.</w:t>
            </w:r>
          </w:p>
          <w:p w14:paraId="43F32311" w14:textId="77777777" w:rsidR="00AB5211" w:rsidRDefault="00AB5211" w:rsidP="00342909">
            <w:pPr>
              <w:rPr>
                <w:rFonts w:ascii="Arial" w:hAnsi="Arial" w:cs="Arial"/>
                <w:sz w:val="20"/>
                <w:szCs w:val="20"/>
              </w:rPr>
            </w:pPr>
          </w:p>
          <w:p w14:paraId="61951F09" w14:textId="77777777" w:rsidR="00AB5211" w:rsidRPr="00160924" w:rsidRDefault="00AF5063" w:rsidP="00342909">
            <w:pPr>
              <w:rPr>
                <w:rFonts w:ascii="Arial" w:hAnsi="Arial" w:cs="Arial"/>
                <w:sz w:val="20"/>
                <w:szCs w:val="20"/>
              </w:rPr>
            </w:pPr>
            <w:hyperlink r:id="rId10" w:history="1">
              <w:r w:rsidR="00AB5211">
                <w:rPr>
                  <w:rStyle w:val="Hyperlink"/>
                </w:rPr>
                <w:t>Strength based tools &amp; documents (sharepoint.com)</w:t>
              </w:r>
            </w:hyperlink>
          </w:p>
        </w:tc>
      </w:tr>
      <w:tr w:rsidR="00430DF3" w14:paraId="1537D02F" w14:textId="77777777" w:rsidTr="00A13AF2">
        <w:tc>
          <w:tcPr>
            <w:tcW w:w="1696" w:type="dxa"/>
          </w:tcPr>
          <w:p w14:paraId="65BD740F" w14:textId="77777777" w:rsidR="00430DF3" w:rsidRPr="005B4AAB" w:rsidRDefault="0000704E" w:rsidP="00430DF3">
            <w:pPr>
              <w:rPr>
                <w:b/>
              </w:rPr>
            </w:pPr>
            <w:r w:rsidRPr="005B4AAB">
              <w:rPr>
                <w:b/>
              </w:rPr>
              <w:t>Charging.</w:t>
            </w:r>
          </w:p>
        </w:tc>
        <w:tc>
          <w:tcPr>
            <w:tcW w:w="7320" w:type="dxa"/>
          </w:tcPr>
          <w:p w14:paraId="301A6227" w14:textId="7BE5328E" w:rsidR="00430DF3" w:rsidRDefault="00430DF3" w:rsidP="00430DF3">
            <w:r>
              <w:t xml:space="preserve">Carers </w:t>
            </w:r>
            <w:r w:rsidR="00C63CBB">
              <w:t>services</w:t>
            </w:r>
            <w:r>
              <w:t xml:space="preserve"> </w:t>
            </w:r>
            <w:r w:rsidR="00C63CBB">
              <w:t xml:space="preserve">are </w:t>
            </w:r>
            <w:r>
              <w:t xml:space="preserve">not </w:t>
            </w:r>
            <w:r w:rsidR="00C63CBB">
              <w:t xml:space="preserve">a </w:t>
            </w:r>
            <w:r>
              <w:t>chargeable service</w:t>
            </w:r>
            <w:r w:rsidR="00BA396E">
              <w:t xml:space="preserve"> in Swindon.  </w:t>
            </w:r>
            <w:r>
              <w:t>The charging conversation must still be had and recorded in ROC</w:t>
            </w:r>
            <w:r w:rsidR="00F73B2C">
              <w:t xml:space="preserve">, evidencing the carer has understood. </w:t>
            </w:r>
          </w:p>
          <w:p w14:paraId="7F3451EC" w14:textId="77777777" w:rsidR="00430DF3" w:rsidRDefault="00AF5063" w:rsidP="00342909">
            <w:hyperlink r:id="rId11" w:history="1">
              <w:r w:rsidR="00AB5211">
                <w:rPr>
                  <w:rStyle w:val="Hyperlink"/>
                </w:rPr>
                <w:t>Paying for home care (sharepoint.com)</w:t>
              </w:r>
            </w:hyperlink>
          </w:p>
        </w:tc>
      </w:tr>
      <w:tr w:rsidR="00430DF3" w14:paraId="2CC517E2" w14:textId="77777777" w:rsidTr="00A13AF2">
        <w:tc>
          <w:tcPr>
            <w:tcW w:w="1696" w:type="dxa"/>
          </w:tcPr>
          <w:p w14:paraId="193A61E2" w14:textId="77777777" w:rsidR="00430DF3" w:rsidRPr="005B4AAB" w:rsidRDefault="0000704E" w:rsidP="00430DF3">
            <w:pPr>
              <w:rPr>
                <w:b/>
              </w:rPr>
            </w:pPr>
            <w:r w:rsidRPr="005B4AAB">
              <w:rPr>
                <w:b/>
              </w:rPr>
              <w:lastRenderedPageBreak/>
              <w:t>MCA.</w:t>
            </w:r>
          </w:p>
        </w:tc>
        <w:tc>
          <w:tcPr>
            <w:tcW w:w="7320" w:type="dxa"/>
          </w:tcPr>
          <w:p w14:paraId="6FC9E787" w14:textId="77777777" w:rsidR="00DF6153" w:rsidRPr="00DF6153" w:rsidRDefault="00DF6153" w:rsidP="00DF6153">
            <w:pPr>
              <w:spacing w:before="100" w:beforeAutospacing="1" w:after="100" w:afterAutospacing="1"/>
              <w:rPr>
                <w:rFonts w:eastAsia="Times New Roman" w:cstheme="minorHAnsi"/>
                <w:lang w:eastAsia="en-GB"/>
              </w:rPr>
            </w:pPr>
            <w:r w:rsidRPr="00F24F77">
              <w:rPr>
                <w:rFonts w:eastAsia="Times New Roman" w:cstheme="minorHAnsi"/>
                <w:lang w:eastAsia="en-GB"/>
              </w:rPr>
              <w:t>Acknowledge that not all carers may want to continue their caring role long-term. Assess their capacity and willingness to provide care, especially if it affects their own life significantly.</w:t>
            </w:r>
          </w:p>
          <w:p w14:paraId="2FC40A60" w14:textId="77777777" w:rsidR="00DF6153" w:rsidRPr="00DF6153" w:rsidRDefault="00DF6153" w:rsidP="00DF6153">
            <w:pPr>
              <w:spacing w:before="100" w:beforeAutospacing="1" w:after="100" w:afterAutospacing="1"/>
              <w:rPr>
                <w:rFonts w:eastAsia="Times New Roman" w:cstheme="minorHAnsi"/>
                <w:lang w:eastAsia="en-GB"/>
              </w:rPr>
            </w:pPr>
            <w:r w:rsidRPr="00F24F77">
              <w:rPr>
                <w:rFonts w:eastAsia="Times New Roman" w:cstheme="minorHAnsi"/>
                <w:lang w:eastAsia="en-GB"/>
              </w:rPr>
              <w:t>Look into any additional support available to the carer, such as help from family, friends, or community services.</w:t>
            </w:r>
          </w:p>
          <w:p w14:paraId="0ECEC0BF" w14:textId="290C60A3" w:rsidR="00430DF3" w:rsidRDefault="00DF6153" w:rsidP="00430DF3">
            <w:r>
              <w:t>Consider;</w:t>
            </w:r>
            <w:r w:rsidR="00F73B2C">
              <w:t xml:space="preserve"> </w:t>
            </w:r>
            <w:r w:rsidR="00AF5063">
              <w:t xml:space="preserve">Does the cared for person require a care act assessment in their own right? </w:t>
            </w:r>
            <w:proofErr w:type="gramStart"/>
            <w:r w:rsidR="00F73B2C">
              <w:t>Does</w:t>
            </w:r>
            <w:proofErr w:type="gramEnd"/>
            <w:r w:rsidR="00F73B2C">
              <w:t xml:space="preserve"> the cared for person have the capacity to consent to </w:t>
            </w:r>
            <w:r w:rsidR="00AF5063">
              <w:t>care and support in place of the carer (replacement care)</w:t>
            </w:r>
            <w:r w:rsidR="00F73B2C">
              <w:t>? If not progress to MCA/B</w:t>
            </w:r>
            <w:r w:rsidR="00BA396E">
              <w:t xml:space="preserve">ID. </w:t>
            </w:r>
            <w:hyperlink r:id="rId12" w:history="1">
              <w:r w:rsidR="00BA396E">
                <w:rPr>
                  <w:rStyle w:val="Hyperlink"/>
                </w:rPr>
                <w:t>Introduction, Purpose and Principles of the Act (trixonline.co.uk)</w:t>
              </w:r>
            </w:hyperlink>
          </w:p>
        </w:tc>
      </w:tr>
      <w:tr w:rsidR="00430DF3" w14:paraId="526D401C" w14:textId="77777777" w:rsidTr="00A13AF2">
        <w:tc>
          <w:tcPr>
            <w:tcW w:w="1696" w:type="dxa"/>
          </w:tcPr>
          <w:p w14:paraId="2032114B" w14:textId="77777777" w:rsidR="0000704E" w:rsidRPr="005B4AAB" w:rsidRDefault="0000704E" w:rsidP="0000704E">
            <w:pPr>
              <w:rPr>
                <w:b/>
              </w:rPr>
            </w:pPr>
            <w:r w:rsidRPr="005B4AAB">
              <w:rPr>
                <w:b/>
              </w:rPr>
              <w:t>Carer’s centre.</w:t>
            </w:r>
          </w:p>
          <w:p w14:paraId="3BCE3C12" w14:textId="77777777" w:rsidR="00430DF3" w:rsidRDefault="00430DF3" w:rsidP="00430DF3"/>
        </w:tc>
        <w:tc>
          <w:tcPr>
            <w:tcW w:w="7320" w:type="dxa"/>
          </w:tcPr>
          <w:p w14:paraId="71E33F80" w14:textId="5F263F17" w:rsidR="00F73B2C" w:rsidRDefault="00F73B2C" w:rsidP="00430DF3">
            <w:pPr>
              <w:rPr>
                <w:rStyle w:val="Hyperlink"/>
              </w:rPr>
            </w:pPr>
            <w:r>
              <w:t>Have you considered support available through the carers centre?</w:t>
            </w:r>
            <w:r w:rsidR="00BA396E">
              <w:t xml:space="preserve"> </w:t>
            </w:r>
            <w:hyperlink r:id="rId13" w:history="1">
              <w:r w:rsidR="00BA396E">
                <w:rPr>
                  <w:rStyle w:val="Hyperlink"/>
                </w:rPr>
                <w:t>Home - Swindon Carers Centre - Supporting Carers in Swindon</w:t>
              </w:r>
            </w:hyperlink>
          </w:p>
          <w:p w14:paraId="594F4526" w14:textId="77777777" w:rsidR="00AF5063" w:rsidRDefault="00AF5063" w:rsidP="00430DF3"/>
          <w:p w14:paraId="3607FDD9" w14:textId="77777777" w:rsidR="00F73B2C" w:rsidRDefault="00F73B2C" w:rsidP="00430DF3">
            <w:r>
              <w:t>Is the carer registered? If they are of working age this may be</w:t>
            </w:r>
            <w:r w:rsidR="004E108A">
              <w:t xml:space="preserve"> entitled</w:t>
            </w:r>
            <w:r>
              <w:t xml:space="preserve"> to additional support at work (depending on individual work place polices)</w:t>
            </w:r>
          </w:p>
          <w:p w14:paraId="51BDB718" w14:textId="77777777" w:rsidR="00AF5063" w:rsidRDefault="00AF5063" w:rsidP="00430DF3"/>
          <w:p w14:paraId="49AA79EB" w14:textId="511C9CF1" w:rsidR="00F73B2C" w:rsidRDefault="00AF5063" w:rsidP="00430DF3">
            <w:bookmarkStart w:id="0" w:name="_GoBack"/>
            <w:bookmarkEnd w:id="0"/>
            <w:r>
              <w:t xml:space="preserve">Think Family - </w:t>
            </w:r>
            <w:r w:rsidR="00F73B2C">
              <w:t>Are there children affected by a carers role or providing care themselves?</w:t>
            </w:r>
            <w:r>
              <w:t xml:space="preserve"> </w:t>
            </w:r>
            <w:r w:rsidR="00F73B2C">
              <w:t xml:space="preserve">They may eligible young carers, an assessment of </w:t>
            </w:r>
            <w:r>
              <w:t>their</w:t>
            </w:r>
            <w:r w:rsidR="00F73B2C">
              <w:t xml:space="preserve"> needs can lead to support in wellbeing, education, peer support etc.</w:t>
            </w:r>
          </w:p>
          <w:p w14:paraId="2C140251" w14:textId="77777777" w:rsidR="00DF6153" w:rsidRDefault="00DF6153" w:rsidP="00430DF3"/>
          <w:p w14:paraId="16A99E04" w14:textId="77777777" w:rsidR="00DF6153" w:rsidRDefault="00DF6153" w:rsidP="00430DF3">
            <w:r>
              <w:t>Work with the carer to co-create solutions, ensuring they feel ownership of the outcomes and decisions.</w:t>
            </w:r>
          </w:p>
          <w:p w14:paraId="041FC8F6" w14:textId="77777777" w:rsidR="00F73B2C" w:rsidRDefault="00F73B2C" w:rsidP="00430DF3"/>
        </w:tc>
      </w:tr>
      <w:tr w:rsidR="00430DF3" w14:paraId="12E45812" w14:textId="77777777" w:rsidTr="00A13AF2">
        <w:tc>
          <w:tcPr>
            <w:tcW w:w="1696" w:type="dxa"/>
          </w:tcPr>
          <w:p w14:paraId="44415B99" w14:textId="77777777" w:rsidR="00430DF3" w:rsidRPr="005B4AAB" w:rsidRDefault="0000704E" w:rsidP="00342909">
            <w:pPr>
              <w:rPr>
                <w:b/>
              </w:rPr>
            </w:pPr>
            <w:r w:rsidRPr="005B4AAB">
              <w:rPr>
                <w:b/>
              </w:rPr>
              <w:t>Contingency planning.</w:t>
            </w:r>
          </w:p>
        </w:tc>
        <w:tc>
          <w:tcPr>
            <w:tcW w:w="7320" w:type="dxa"/>
          </w:tcPr>
          <w:p w14:paraId="1A63C5DD" w14:textId="77777777" w:rsidR="00DF6153" w:rsidRDefault="00DF6153" w:rsidP="00342909">
            <w:r>
              <w:t>Explore contingency plans and future aspirations, ensuring that the carer feels supported if their circumstances or the cared-for person’s needs change.</w:t>
            </w:r>
          </w:p>
          <w:p w14:paraId="00AA7B7E" w14:textId="77777777" w:rsidR="00430DF3" w:rsidRDefault="00F73B2C" w:rsidP="00342909">
            <w:r>
              <w:t xml:space="preserve">Have </w:t>
            </w:r>
            <w:r w:rsidR="00DF6153">
              <w:t>you</w:t>
            </w:r>
            <w:r>
              <w:t xml:space="preserve"> discussed with Carer what would happen if they are no longer able to provide support? Is there extended family that could support? Have </w:t>
            </w:r>
            <w:r w:rsidR="00DF6153">
              <w:t xml:space="preserve">you </w:t>
            </w:r>
            <w:r>
              <w:t xml:space="preserve">considered if there are alternatives to meeting the </w:t>
            </w:r>
            <w:r w:rsidR="00451BC0">
              <w:t>cared</w:t>
            </w:r>
            <w:r>
              <w:t xml:space="preserve"> for persons needs that may then support the carer? EG, assistive tech, </w:t>
            </w:r>
            <w:r w:rsidR="00451BC0">
              <w:t>continence</w:t>
            </w:r>
            <w:r>
              <w:t xml:space="preserve"> service, LiveWell. </w:t>
            </w:r>
          </w:p>
          <w:p w14:paraId="275039D6" w14:textId="77777777" w:rsidR="004E108A" w:rsidRDefault="004E108A" w:rsidP="00342909"/>
          <w:p w14:paraId="4BC78EE6" w14:textId="77777777" w:rsidR="004E108A" w:rsidRDefault="004E108A" w:rsidP="00342909">
            <w:r>
              <w:t>Have</w:t>
            </w:r>
            <w:r w:rsidR="00DF6153">
              <w:t xml:space="preserve"> you </w:t>
            </w:r>
            <w:r>
              <w:t>considered/discussed the carers emergency card</w:t>
            </w:r>
            <w:r w:rsidR="00BA396E">
              <w:t xml:space="preserve"> from the Swindon Carers Centre or others in the voluntary sector?</w:t>
            </w:r>
          </w:p>
          <w:p w14:paraId="41C1EFD3" w14:textId="77777777" w:rsidR="00AB5211" w:rsidRDefault="00AF5063" w:rsidP="00342909">
            <w:hyperlink r:id="rId14" w:history="1">
              <w:r w:rsidR="00AB5211">
                <w:rPr>
                  <w:rStyle w:val="Hyperlink"/>
                </w:rPr>
                <w:t>Emergency Card Scheme - Swindon Carers Centre</w:t>
              </w:r>
            </w:hyperlink>
          </w:p>
          <w:p w14:paraId="481A40C7" w14:textId="77777777" w:rsidR="00AB5211" w:rsidRDefault="00AF5063" w:rsidP="00342909">
            <w:hyperlink r:id="rId15" w:history="1">
              <w:r w:rsidR="00AB5211">
                <w:rPr>
                  <w:rStyle w:val="Hyperlink"/>
                </w:rPr>
                <w:t>Carers Card UK - Carers ID Card</w:t>
              </w:r>
            </w:hyperlink>
          </w:p>
          <w:p w14:paraId="3233E4F1" w14:textId="77777777" w:rsidR="00AB5211" w:rsidRDefault="00AF5063" w:rsidP="00342909">
            <w:hyperlink r:id="rId16" w:history="1">
              <w:r w:rsidR="00AB5211">
                <w:rPr>
                  <w:rStyle w:val="Hyperlink"/>
                </w:rPr>
                <w:t>Getting help in an emergency | Carers UK</w:t>
              </w:r>
            </w:hyperlink>
          </w:p>
          <w:p w14:paraId="0BE2B271" w14:textId="77777777" w:rsidR="00AB5211" w:rsidRDefault="00AB5211" w:rsidP="00342909"/>
        </w:tc>
      </w:tr>
      <w:tr w:rsidR="00430DF3" w14:paraId="5B3031A7" w14:textId="77777777" w:rsidTr="00A13AF2">
        <w:tc>
          <w:tcPr>
            <w:tcW w:w="1696" w:type="dxa"/>
          </w:tcPr>
          <w:p w14:paraId="5D1354CC" w14:textId="77777777" w:rsidR="00430DF3" w:rsidRPr="005B4AAB" w:rsidRDefault="0000704E" w:rsidP="00342909">
            <w:pPr>
              <w:rPr>
                <w:b/>
              </w:rPr>
            </w:pPr>
            <w:r w:rsidRPr="005B4AAB">
              <w:rPr>
                <w:b/>
              </w:rPr>
              <w:t xml:space="preserve">Direct Payments. </w:t>
            </w:r>
          </w:p>
        </w:tc>
        <w:tc>
          <w:tcPr>
            <w:tcW w:w="7320" w:type="dxa"/>
          </w:tcPr>
          <w:p w14:paraId="49A90108" w14:textId="77777777" w:rsidR="00430DF3" w:rsidRDefault="003817D8" w:rsidP="00342909">
            <w:r>
              <w:t xml:space="preserve">Have </w:t>
            </w:r>
            <w:r w:rsidR="005B4AAB">
              <w:t>you</w:t>
            </w:r>
            <w:r>
              <w:t xml:space="preserve"> considered offering direct payments to carers? This option provides greater flexibility, allowing carers to access formal services in a way that better suits their individual needs and lifestyle. For example, subscribing to a fixed weekly break of two hours may not offer the level of flexibility needed to meet the carer’s personal outcomes. Direct payments enable carers to tailor support to their specific circumstances, offering more control over when and how they access respite or other services.</w:t>
            </w:r>
          </w:p>
          <w:p w14:paraId="73997176" w14:textId="77777777" w:rsidR="00DF6153" w:rsidRDefault="00DF6153" w:rsidP="00342909"/>
          <w:p w14:paraId="60A2A8BD" w14:textId="77777777" w:rsidR="00DF6153" w:rsidRDefault="00DF6153" w:rsidP="00342909">
            <w:r>
              <w:t>Carers are often experts in the needs of the person they care for. Respect their knowledge and insight about the person’s condition, preferences, and the most effective ways to provide care.</w:t>
            </w:r>
            <w:r w:rsidR="00BA396E">
              <w:t xml:space="preserve"> </w:t>
            </w:r>
            <w:r w:rsidR="00AB5211">
              <w:t xml:space="preserve"> </w:t>
            </w:r>
            <w:hyperlink r:id="rId17" w:history="1">
              <w:r w:rsidR="00AB5211">
                <w:rPr>
                  <w:rStyle w:val="Hyperlink"/>
                </w:rPr>
                <w:t>Direct Payments (proceduresonline.com)</w:t>
              </w:r>
            </w:hyperlink>
          </w:p>
        </w:tc>
      </w:tr>
      <w:tr w:rsidR="00430DF3" w14:paraId="0F4E5A66" w14:textId="77777777" w:rsidTr="00A13AF2">
        <w:tc>
          <w:tcPr>
            <w:tcW w:w="1696" w:type="dxa"/>
          </w:tcPr>
          <w:p w14:paraId="62EDA916" w14:textId="77777777" w:rsidR="00430DF3" w:rsidRPr="005B4AAB" w:rsidRDefault="0000704E" w:rsidP="00342909">
            <w:pPr>
              <w:rPr>
                <w:b/>
              </w:rPr>
            </w:pPr>
            <w:r w:rsidRPr="005B4AAB">
              <w:rPr>
                <w:b/>
              </w:rPr>
              <w:lastRenderedPageBreak/>
              <w:t xml:space="preserve">Case note recording. </w:t>
            </w:r>
          </w:p>
        </w:tc>
        <w:tc>
          <w:tcPr>
            <w:tcW w:w="7320" w:type="dxa"/>
          </w:tcPr>
          <w:p w14:paraId="527C8D87" w14:textId="77777777" w:rsidR="00430DF3" w:rsidRDefault="00F73B2C" w:rsidP="00342909">
            <w:r>
              <w:t xml:space="preserve">Case notes; Do case notes clearly reflect the interaction with the carer, </w:t>
            </w:r>
            <w:r w:rsidR="00D91C4A">
              <w:t>decisions</w:t>
            </w:r>
            <w:r>
              <w:t xml:space="preserve"> made? Ongoing plans- Clear history of worker involvement and any </w:t>
            </w:r>
            <w:r w:rsidR="00D91C4A">
              <w:t>activity</w:t>
            </w:r>
            <w:r>
              <w:t xml:space="preserve"> </w:t>
            </w:r>
            <w:r w:rsidR="00D91C4A">
              <w:t>related</w:t>
            </w:r>
            <w:r>
              <w:t xml:space="preserve"> to the case but not </w:t>
            </w:r>
            <w:r w:rsidR="004E108A">
              <w:t>relevant</w:t>
            </w:r>
            <w:r>
              <w:t xml:space="preserve"> to the </w:t>
            </w:r>
            <w:r w:rsidR="00D91C4A">
              <w:t>assessment?</w:t>
            </w:r>
            <w:r>
              <w:t xml:space="preserve"> </w:t>
            </w:r>
            <w:r w:rsidR="00BA396E">
              <w:t xml:space="preserve"> Case notes should relate to the carer.  SBC ASC Recording Policy: </w:t>
            </w:r>
            <w:hyperlink r:id="rId18" w:history="1">
              <w:r w:rsidR="00BA396E">
                <w:rPr>
                  <w:rStyle w:val="Hyperlink"/>
                </w:rPr>
                <w:t>sbcintra.sharepoint.com/sites/</w:t>
              </w:r>
              <w:proofErr w:type="spellStart"/>
              <w:r w:rsidR="00BA396E">
                <w:rPr>
                  <w:rStyle w:val="Hyperlink"/>
                </w:rPr>
                <w:t>AdultSocialCare</w:t>
              </w:r>
              <w:proofErr w:type="spellEnd"/>
              <w:r w:rsidR="00BA396E">
                <w:rPr>
                  <w:rStyle w:val="Hyperlink"/>
                </w:rPr>
                <w:t>/Local Resources Content under review/Forms/</w:t>
              </w:r>
              <w:proofErr w:type="spellStart"/>
              <w:r w:rsidR="00BA396E">
                <w:rPr>
                  <w:rStyle w:val="Hyperlink"/>
                </w:rPr>
                <w:t>AllItems.aspx?id</w:t>
              </w:r>
              <w:proofErr w:type="spellEnd"/>
              <w:r w:rsidR="00BA396E">
                <w:rPr>
                  <w:rStyle w:val="Hyperlink"/>
                </w:rPr>
                <w:t>=%2Fsites%2FAdultSocialCare%2FLocal Resources Content under review%2FAdult Social Care Performance%2C policies and resources%2FAdult Services Case Recording Guidance%2Epdf&amp;parent=%2Fsites%2FAdultSocialCare%2FLocal Resources Content under review%2FAdult Social Care Performance%2C policies and resources</w:t>
              </w:r>
            </w:hyperlink>
          </w:p>
        </w:tc>
      </w:tr>
      <w:tr w:rsidR="00451BC0" w14:paraId="22B39D1D" w14:textId="77777777" w:rsidTr="00A13AF2">
        <w:tc>
          <w:tcPr>
            <w:tcW w:w="1696" w:type="dxa"/>
          </w:tcPr>
          <w:p w14:paraId="4BEEB32D" w14:textId="77777777" w:rsidR="00451BC0" w:rsidRPr="005B4AAB" w:rsidRDefault="0000704E" w:rsidP="00342909">
            <w:pPr>
              <w:rPr>
                <w:b/>
              </w:rPr>
            </w:pPr>
            <w:r w:rsidRPr="005B4AAB">
              <w:rPr>
                <w:b/>
              </w:rPr>
              <w:t xml:space="preserve">Eligibility Criteria. </w:t>
            </w:r>
          </w:p>
        </w:tc>
        <w:tc>
          <w:tcPr>
            <w:tcW w:w="7320" w:type="dxa"/>
          </w:tcPr>
          <w:p w14:paraId="1F5CA110" w14:textId="77777777" w:rsidR="00451BC0" w:rsidRPr="00430DF3" w:rsidRDefault="00451BC0" w:rsidP="00451BC0">
            <w:pPr>
              <w:rPr>
                <w:rFonts w:cs="Arial"/>
                <w:szCs w:val="24"/>
              </w:rPr>
            </w:pPr>
            <w:r>
              <w:t xml:space="preserve">Clearly capture the cares </w:t>
            </w:r>
            <w:r w:rsidR="004E108A">
              <w:t>eligibility</w:t>
            </w:r>
            <w:r>
              <w:t xml:space="preserve"> </w:t>
            </w:r>
            <w:r w:rsidR="004E108A">
              <w:t>criteria</w:t>
            </w:r>
            <w:r>
              <w:t xml:space="preserve">- refer back to the </w:t>
            </w:r>
            <w:r w:rsidR="004E108A">
              <w:t>legislation</w:t>
            </w:r>
            <w:r>
              <w:t xml:space="preserve">; </w:t>
            </w:r>
            <w:r w:rsidRPr="00430DF3">
              <w:rPr>
                <w:rFonts w:cs="Arial"/>
                <w:szCs w:val="24"/>
              </w:rPr>
              <w:t>The needs arise as a consequence of providing necessary care to an adult;</w:t>
            </w:r>
          </w:p>
          <w:p w14:paraId="3F9BA2E0" w14:textId="77777777" w:rsidR="00451BC0" w:rsidRPr="00430DF3" w:rsidRDefault="00451BC0" w:rsidP="00451BC0">
            <w:pPr>
              <w:rPr>
                <w:rFonts w:cs="Arial"/>
                <w:szCs w:val="24"/>
              </w:rPr>
            </w:pPr>
            <w:r w:rsidRPr="00430DF3">
              <w:rPr>
                <w:rFonts w:cs="Arial"/>
                <w:szCs w:val="24"/>
              </w:rPr>
              <w:t xml:space="preserve">As a result, they must be unable to achieve specified outcomes; and </w:t>
            </w:r>
          </w:p>
          <w:p w14:paraId="50C450D4" w14:textId="77777777" w:rsidR="00451BC0" w:rsidRPr="00430DF3" w:rsidRDefault="00451BC0" w:rsidP="00451BC0">
            <w:pPr>
              <w:rPr>
                <w:rFonts w:cs="Arial"/>
                <w:szCs w:val="24"/>
              </w:rPr>
            </w:pPr>
            <w:r w:rsidRPr="00430DF3">
              <w:rPr>
                <w:rFonts w:cs="Arial"/>
                <w:szCs w:val="24"/>
              </w:rPr>
              <w:t>As a consequence, there is (or there is likely to be) a significant impact on their wellbeing.</w:t>
            </w:r>
            <w:r w:rsidR="00BA396E">
              <w:rPr>
                <w:rFonts w:cs="Arial"/>
                <w:szCs w:val="24"/>
              </w:rPr>
              <w:t xml:space="preserve"> </w:t>
            </w:r>
            <w:hyperlink r:id="rId19" w:history="1">
              <w:r w:rsidR="00BA396E">
                <w:rPr>
                  <w:rStyle w:val="Hyperlink"/>
                </w:rPr>
                <w:t>Understanding and Applying Eligibility Criteria (Carers) (proceduresonline.com)</w:t>
              </w:r>
            </w:hyperlink>
          </w:p>
          <w:p w14:paraId="165DAC9C" w14:textId="77777777" w:rsidR="00451BC0" w:rsidRDefault="00451BC0" w:rsidP="00342909"/>
        </w:tc>
      </w:tr>
    </w:tbl>
    <w:p w14:paraId="5F9F1D1A" w14:textId="77777777" w:rsidR="000A5CA7" w:rsidRDefault="000A5CA7"/>
    <w:p w14:paraId="762C57CB" w14:textId="77777777" w:rsidR="00430DF3" w:rsidRDefault="00430DF3"/>
    <w:sectPr w:rsidR="00430DF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D04D" w14:textId="77777777" w:rsidR="00C63CBB" w:rsidRDefault="00C63CBB" w:rsidP="00C63CBB">
      <w:pPr>
        <w:spacing w:after="0" w:line="240" w:lineRule="auto"/>
      </w:pPr>
      <w:r>
        <w:separator/>
      </w:r>
    </w:p>
  </w:endnote>
  <w:endnote w:type="continuationSeparator" w:id="0">
    <w:p w14:paraId="7847FBF9" w14:textId="77777777" w:rsidR="00C63CBB" w:rsidRDefault="00C63CBB" w:rsidP="00C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B803" w14:textId="7F392000" w:rsidR="00C63CBB" w:rsidRDefault="00C63CBB">
    <w:pPr>
      <w:pStyle w:val="Footer"/>
    </w:pPr>
    <w:r>
      <w:t>Carradine Spring - Building Independence Team Manager</w:t>
    </w:r>
  </w:p>
  <w:p w14:paraId="7CD4066D" w14:textId="641F7D74" w:rsidR="00C63CBB" w:rsidRDefault="00C63CBB">
    <w:pPr>
      <w:pStyle w:val="Footer"/>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E1B6" w14:textId="77777777" w:rsidR="00C63CBB" w:rsidRDefault="00C63CBB" w:rsidP="00C63CBB">
      <w:pPr>
        <w:spacing w:after="0" w:line="240" w:lineRule="auto"/>
      </w:pPr>
      <w:r>
        <w:separator/>
      </w:r>
    </w:p>
  </w:footnote>
  <w:footnote w:type="continuationSeparator" w:id="0">
    <w:p w14:paraId="5D5FDD74" w14:textId="77777777" w:rsidR="00C63CBB" w:rsidRDefault="00C63CBB" w:rsidP="00C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1863"/>
    <w:multiLevelType w:val="multilevel"/>
    <w:tmpl w:val="8BD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95DEC"/>
    <w:multiLevelType w:val="multilevel"/>
    <w:tmpl w:val="D51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A0275"/>
    <w:multiLevelType w:val="hybridMultilevel"/>
    <w:tmpl w:val="76C85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9C22EE"/>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B467F"/>
    <w:multiLevelType w:val="multilevel"/>
    <w:tmpl w:val="8652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964BD"/>
    <w:multiLevelType w:val="multilevel"/>
    <w:tmpl w:val="FF4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2175F"/>
    <w:multiLevelType w:val="multilevel"/>
    <w:tmpl w:val="9DA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12064"/>
    <w:multiLevelType w:val="multilevel"/>
    <w:tmpl w:val="A33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742E7"/>
    <w:multiLevelType w:val="multilevel"/>
    <w:tmpl w:val="D5CE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
  </w:num>
  <w:num w:numId="5">
    <w:abstractNumId w:val="6"/>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F3"/>
    <w:rsid w:val="0000704E"/>
    <w:rsid w:val="000A5CA7"/>
    <w:rsid w:val="000E70FA"/>
    <w:rsid w:val="00243FBE"/>
    <w:rsid w:val="00291572"/>
    <w:rsid w:val="002F0D34"/>
    <w:rsid w:val="003817D8"/>
    <w:rsid w:val="00430DF3"/>
    <w:rsid w:val="004436C6"/>
    <w:rsid w:val="00451BC0"/>
    <w:rsid w:val="004E108A"/>
    <w:rsid w:val="005B4AAB"/>
    <w:rsid w:val="007571A6"/>
    <w:rsid w:val="00A13AF2"/>
    <w:rsid w:val="00AB5211"/>
    <w:rsid w:val="00AF5063"/>
    <w:rsid w:val="00B84937"/>
    <w:rsid w:val="00BA396E"/>
    <w:rsid w:val="00C63CBB"/>
    <w:rsid w:val="00D91C4A"/>
    <w:rsid w:val="00DF6153"/>
    <w:rsid w:val="00EA4973"/>
    <w:rsid w:val="00F24F77"/>
    <w:rsid w:val="00F367E7"/>
    <w:rsid w:val="00F7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6DE"/>
  <w15:chartTrackingRefBased/>
  <w15:docId w15:val="{08CBE077-9BBD-49D6-B6DC-C801F470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DF3"/>
  </w:style>
  <w:style w:type="paragraph" w:styleId="Heading3">
    <w:name w:val="heading 3"/>
    <w:basedOn w:val="Normal"/>
    <w:link w:val="Heading3Char"/>
    <w:uiPriority w:val="9"/>
    <w:qFormat/>
    <w:rsid w:val="00F24F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DF3"/>
    <w:pPr>
      <w:spacing w:after="0" w:line="276" w:lineRule="auto"/>
      <w:ind w:left="720"/>
      <w:contextualSpacing/>
    </w:pPr>
    <w:rPr>
      <w:rFonts w:ascii="Arial" w:hAnsi="Arial"/>
      <w:sz w:val="24"/>
    </w:rPr>
  </w:style>
  <w:style w:type="character" w:customStyle="1" w:styleId="Heading3Char">
    <w:name w:val="Heading 3 Char"/>
    <w:basedOn w:val="DefaultParagraphFont"/>
    <w:link w:val="Heading3"/>
    <w:uiPriority w:val="9"/>
    <w:rsid w:val="00F24F7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24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4F77"/>
    <w:rPr>
      <w:b/>
      <w:bCs/>
    </w:rPr>
  </w:style>
  <w:style w:type="character" w:styleId="Hyperlink">
    <w:name w:val="Hyperlink"/>
    <w:basedOn w:val="DefaultParagraphFont"/>
    <w:uiPriority w:val="99"/>
    <w:semiHidden/>
    <w:unhideWhenUsed/>
    <w:rsid w:val="00BA396E"/>
    <w:rPr>
      <w:color w:val="0000FF"/>
      <w:u w:val="single"/>
    </w:rPr>
  </w:style>
  <w:style w:type="paragraph" w:styleId="Header">
    <w:name w:val="header"/>
    <w:basedOn w:val="Normal"/>
    <w:link w:val="HeaderChar"/>
    <w:uiPriority w:val="99"/>
    <w:unhideWhenUsed/>
    <w:rsid w:val="00C63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CBB"/>
  </w:style>
  <w:style w:type="paragraph" w:styleId="Footer">
    <w:name w:val="footer"/>
    <w:basedOn w:val="Normal"/>
    <w:link w:val="FooterChar"/>
    <w:uiPriority w:val="99"/>
    <w:unhideWhenUsed/>
    <w:rsid w:val="00C63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CBB"/>
  </w:style>
  <w:style w:type="character" w:styleId="FollowedHyperlink">
    <w:name w:val="FollowedHyperlink"/>
    <w:basedOn w:val="DefaultParagraphFont"/>
    <w:uiPriority w:val="99"/>
    <w:semiHidden/>
    <w:unhideWhenUsed/>
    <w:rsid w:val="00C63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2125">
      <w:bodyDiv w:val="1"/>
      <w:marLeft w:val="0"/>
      <w:marRight w:val="0"/>
      <w:marTop w:val="0"/>
      <w:marBottom w:val="0"/>
      <w:divBdr>
        <w:top w:val="none" w:sz="0" w:space="0" w:color="auto"/>
        <w:left w:val="none" w:sz="0" w:space="0" w:color="auto"/>
        <w:bottom w:val="none" w:sz="0" w:space="0" w:color="auto"/>
        <w:right w:val="none" w:sz="0" w:space="0" w:color="auto"/>
      </w:divBdr>
    </w:div>
    <w:div w:id="15585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swindon/adults/chapters/community_supp/p_intro_leg_req_tools_carers.html" TargetMode="External"/><Relationship Id="rId13" Type="http://schemas.openxmlformats.org/officeDocument/2006/relationships/hyperlink" Target="https://www.swindoncarers.org.uk/" TargetMode="External"/><Relationship Id="rId18" Type="http://schemas.openxmlformats.org/officeDocument/2006/relationships/hyperlink" Target="https://sbcintra.sharepoint.com/sites/AdultSocialCare/Local%20Resources%20%20Content%20under%20review/Forms/AllItems.aspx?id=%2Fsites%2FAdultSocialCare%2FLocal%20Resources%20%20Content%20under%20review%2FAdult%20Social%20Care%20Performance%2C%20policies%20and%20resources%2FAdult%20Services%20Case%20Recording%20Guidance%2Epdf&amp;parent=%2Fsites%2FAdultSocialCare%2FLocal%20Resources%20%20Content%20under%20review%2FAdult%20Social%20Care%20Performance%2C%20policies%20and%20resou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oceduresonline.com/swindon/adults/chapters/community_supp/p_under_apply_carers.html" TargetMode="External"/><Relationship Id="rId12" Type="http://schemas.openxmlformats.org/officeDocument/2006/relationships/hyperlink" Target="https://mca-adults.trixonline.co.uk/chapter/introduction-purpose-and-principles-of-the-act" TargetMode="External"/><Relationship Id="rId17" Type="http://schemas.openxmlformats.org/officeDocument/2006/relationships/hyperlink" Target="https://proceduresonline.com/swindon/adults/p_arr_serv_direct_pay.html" TargetMode="External"/><Relationship Id="rId2" Type="http://schemas.openxmlformats.org/officeDocument/2006/relationships/styles" Target="styles.xml"/><Relationship Id="rId16" Type="http://schemas.openxmlformats.org/officeDocument/2006/relationships/hyperlink" Target="https://www.carersuk.org/help-and-advice/practical-support/getting-help-in-an-emergen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bcintra.sharepoint.com/sites/AdultSocialCare/SitePages/Paying-for-home-care.aspx" TargetMode="External"/><Relationship Id="rId5" Type="http://schemas.openxmlformats.org/officeDocument/2006/relationships/footnotes" Target="footnotes.xml"/><Relationship Id="rId15" Type="http://schemas.openxmlformats.org/officeDocument/2006/relationships/hyperlink" Target="https://www.carerscarduk.co.uk/?utm_campaign=&amp;utm_medium=cpc&amp;utm_source=google&amp;utm_term=uk%20carers%20card&amp;gad_source=1&amp;gclid=EAIaIQobChMI2c-cte2AiQMVwZJQBh1N1wanEAAYASAAEgKBgvD_BwE" TargetMode="External"/><Relationship Id="rId10" Type="http://schemas.openxmlformats.org/officeDocument/2006/relationships/hyperlink" Target="https://sbcintra.sharepoint.com/sites/AdultSocialCare/SitePages/Strength-based-tools-%26-documents%E2%80%99.aspx" TargetMode="External"/><Relationship Id="rId19" Type="http://schemas.openxmlformats.org/officeDocument/2006/relationships/hyperlink" Target="https://www.proceduresonline.com/swindon/adults/chapters/community_supp/p_under_apply_carers.html" TargetMode="External"/><Relationship Id="rId4" Type="http://schemas.openxmlformats.org/officeDocument/2006/relationships/webSettings" Target="webSettings.xml"/><Relationship Id="rId9" Type="http://schemas.openxmlformats.org/officeDocument/2006/relationships/hyperlink" Target="https://www.researchinpractice.org.uk/adults/news-views/2023/november/supporting-social-work-with-carers-resources-and-tools/" TargetMode="External"/><Relationship Id="rId14" Type="http://schemas.openxmlformats.org/officeDocument/2006/relationships/hyperlink" Target="https://www.swindoncarers.org.uk/emergency-card-sche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Carradine Spring</dc:creator>
  <cp:keywords/>
  <dc:description/>
  <cp:lastModifiedBy>Danielle Smith (PSW)</cp:lastModifiedBy>
  <cp:revision>2</cp:revision>
  <dcterms:created xsi:type="dcterms:W3CDTF">2024-12-10T14:00:00Z</dcterms:created>
  <dcterms:modified xsi:type="dcterms:W3CDTF">2024-12-10T14:00:00Z</dcterms:modified>
</cp:coreProperties>
</file>