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521" w:rsidRDefault="00B00521">
      <w:pPr>
        <w:rPr>
          <w:rFonts w:ascii="Arial" w:hAnsi="Arial" w:cs="Arial"/>
          <w:b/>
          <w:sz w:val="32"/>
        </w:rPr>
      </w:pPr>
      <w:r>
        <w:rPr>
          <w:rFonts w:ascii="Arial" w:hAnsi="Arial" w:cs="Arial"/>
          <w:b/>
          <w:noProof/>
          <w:sz w:val="32"/>
        </w:rPr>
        <w:drawing>
          <wp:anchor distT="0" distB="0" distL="114300" distR="114300" simplePos="0" relativeHeight="251658240" behindDoc="1" locked="0" layoutInCell="1" allowOverlap="1">
            <wp:simplePos x="0" y="0"/>
            <wp:positionH relativeFrom="margin">
              <wp:posOffset>4139477</wp:posOffset>
            </wp:positionH>
            <wp:positionV relativeFrom="paragraph">
              <wp:posOffset>-563</wp:posOffset>
            </wp:positionV>
            <wp:extent cx="1828800" cy="609600"/>
            <wp:effectExtent l="0" t="0" r="0" b="0"/>
            <wp:wrapThrough wrapText="bothSides">
              <wp:wrapPolygon edited="0">
                <wp:start x="0" y="0"/>
                <wp:lineTo x="0" y="20925"/>
                <wp:lineTo x="21375" y="20925"/>
                <wp:lineTo x="21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7aeee48-50e9-4c66-a80c-e67498a51eb8.png"/>
                    <pic:cNvPicPr/>
                  </pic:nvPicPr>
                  <pic:blipFill>
                    <a:blip r:embed="rId8">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anchor>
        </w:drawing>
      </w:r>
    </w:p>
    <w:p w:rsidR="00B00521" w:rsidRDefault="00B00521">
      <w:pPr>
        <w:rPr>
          <w:rFonts w:ascii="Arial" w:hAnsi="Arial" w:cs="Arial"/>
          <w:b/>
          <w:sz w:val="32"/>
        </w:rPr>
      </w:pPr>
    </w:p>
    <w:p w:rsidR="009C30E4" w:rsidRDefault="009C30E4">
      <w:pPr>
        <w:rPr>
          <w:rFonts w:ascii="Arial" w:hAnsi="Arial" w:cs="Arial"/>
          <w:b/>
          <w:sz w:val="32"/>
        </w:rPr>
      </w:pPr>
    </w:p>
    <w:p w:rsidR="008C44CF" w:rsidRPr="008C44CF" w:rsidRDefault="00381975">
      <w:pPr>
        <w:rPr>
          <w:rFonts w:ascii="Arial" w:hAnsi="Arial" w:cs="Arial"/>
          <w:b/>
          <w:sz w:val="32"/>
        </w:rPr>
      </w:pPr>
      <w:r w:rsidRPr="008C44CF">
        <w:rPr>
          <w:rFonts w:ascii="Arial" w:hAnsi="Arial" w:cs="Arial"/>
          <w:b/>
          <w:sz w:val="32"/>
        </w:rPr>
        <w:t xml:space="preserve">Managing Demand: Priority and Risk Practice Guidance </w:t>
      </w:r>
    </w:p>
    <w:p w:rsidR="008C44CF" w:rsidRPr="008C44CF" w:rsidRDefault="008C44CF">
      <w:pPr>
        <w:rPr>
          <w:rFonts w:ascii="Arial" w:hAnsi="Arial" w:cs="Arial"/>
          <w:b/>
          <w:sz w:val="32"/>
        </w:rPr>
      </w:pPr>
      <w:r w:rsidRPr="008C44CF">
        <w:rPr>
          <w:rFonts w:ascii="Arial" w:hAnsi="Arial" w:cs="Arial"/>
          <w:b/>
          <w:sz w:val="32"/>
        </w:rPr>
        <w:t>Adult Services</w:t>
      </w:r>
      <w:r w:rsidR="009B304A">
        <w:rPr>
          <w:rFonts w:ascii="Arial" w:hAnsi="Arial" w:cs="Arial"/>
          <w:b/>
          <w:sz w:val="32"/>
        </w:rPr>
        <w:t xml:space="preserve"> </w:t>
      </w:r>
    </w:p>
    <w:p w:rsidR="008C44CF" w:rsidRDefault="00381975">
      <w:pPr>
        <w:rPr>
          <w:rFonts w:ascii="Arial" w:hAnsi="Arial" w:cs="Arial"/>
          <w:b/>
          <w:sz w:val="32"/>
        </w:rPr>
      </w:pPr>
      <w:r w:rsidRPr="008C44CF">
        <w:rPr>
          <w:rFonts w:ascii="Arial" w:hAnsi="Arial" w:cs="Arial"/>
          <w:b/>
          <w:sz w:val="32"/>
        </w:rPr>
        <w:t>Swindon Borough Council</w:t>
      </w:r>
    </w:p>
    <w:p w:rsidR="00801159" w:rsidRDefault="00801159">
      <w:pPr>
        <w:rPr>
          <w:rFonts w:ascii="Arial" w:hAnsi="Arial" w:cs="Arial"/>
          <w:b/>
          <w:sz w:val="32"/>
        </w:rPr>
      </w:pPr>
    </w:p>
    <w:tbl>
      <w:tblPr>
        <w:tblStyle w:val="TableGrid"/>
        <w:tblW w:w="0" w:type="auto"/>
        <w:tblLook w:val="04A0" w:firstRow="1" w:lastRow="0" w:firstColumn="1" w:lastColumn="0" w:noHBand="0" w:noVBand="1"/>
      </w:tblPr>
      <w:tblGrid>
        <w:gridCol w:w="1696"/>
        <w:gridCol w:w="7320"/>
      </w:tblGrid>
      <w:tr w:rsidR="00801159" w:rsidTr="002A3405">
        <w:tc>
          <w:tcPr>
            <w:tcW w:w="1696" w:type="dxa"/>
          </w:tcPr>
          <w:p w:rsidR="00801159" w:rsidRPr="00801159" w:rsidRDefault="00801159" w:rsidP="002A3405">
            <w:pPr>
              <w:rPr>
                <w:rFonts w:ascii="Arial" w:hAnsi="Arial" w:cs="Arial"/>
                <w:b/>
              </w:rPr>
            </w:pPr>
            <w:r w:rsidRPr="00801159">
              <w:rPr>
                <w:rFonts w:ascii="Arial" w:hAnsi="Arial" w:cs="Arial"/>
                <w:b/>
              </w:rPr>
              <w:t>Version</w:t>
            </w:r>
          </w:p>
        </w:tc>
        <w:tc>
          <w:tcPr>
            <w:tcW w:w="7320" w:type="dxa"/>
          </w:tcPr>
          <w:p w:rsidR="00801159" w:rsidRPr="00801159" w:rsidRDefault="00801159" w:rsidP="002A3405">
            <w:pPr>
              <w:rPr>
                <w:rFonts w:ascii="Arial" w:hAnsi="Arial" w:cs="Arial"/>
              </w:rPr>
            </w:pPr>
            <w:r w:rsidRPr="00801159">
              <w:rPr>
                <w:rFonts w:ascii="Arial" w:hAnsi="Arial" w:cs="Arial"/>
              </w:rPr>
              <w:t>V</w:t>
            </w:r>
            <w:r w:rsidR="001F7120">
              <w:rPr>
                <w:rFonts w:ascii="Arial" w:hAnsi="Arial" w:cs="Arial"/>
              </w:rPr>
              <w:t>4</w:t>
            </w:r>
            <w:r>
              <w:rPr>
                <w:rFonts w:ascii="Arial" w:hAnsi="Arial" w:cs="Arial"/>
              </w:rPr>
              <w:t xml:space="preserve"> </w:t>
            </w:r>
            <w:r w:rsidR="001F7120">
              <w:rPr>
                <w:rFonts w:ascii="Arial" w:hAnsi="Arial" w:cs="Arial"/>
              </w:rPr>
              <w:t>12</w:t>
            </w:r>
            <w:r>
              <w:rPr>
                <w:rFonts w:ascii="Arial" w:hAnsi="Arial" w:cs="Arial"/>
              </w:rPr>
              <w:t>.0</w:t>
            </w:r>
            <w:r w:rsidR="001F7120">
              <w:rPr>
                <w:rFonts w:ascii="Arial" w:hAnsi="Arial" w:cs="Arial"/>
              </w:rPr>
              <w:t>9</w:t>
            </w:r>
            <w:bookmarkStart w:id="0" w:name="_GoBack"/>
            <w:bookmarkEnd w:id="0"/>
            <w:r>
              <w:rPr>
                <w:rFonts w:ascii="Arial" w:hAnsi="Arial" w:cs="Arial"/>
              </w:rPr>
              <w:t>.24</w:t>
            </w:r>
          </w:p>
        </w:tc>
      </w:tr>
      <w:tr w:rsidR="00801159" w:rsidTr="002A3405">
        <w:tc>
          <w:tcPr>
            <w:tcW w:w="1696" w:type="dxa"/>
          </w:tcPr>
          <w:p w:rsidR="00801159" w:rsidRPr="00801159" w:rsidRDefault="00801159" w:rsidP="002A3405">
            <w:pPr>
              <w:rPr>
                <w:rFonts w:ascii="Arial" w:hAnsi="Arial" w:cs="Arial"/>
                <w:b/>
              </w:rPr>
            </w:pPr>
            <w:r>
              <w:rPr>
                <w:rFonts w:ascii="Arial" w:hAnsi="Arial" w:cs="Arial"/>
                <w:b/>
              </w:rPr>
              <w:t>Author</w:t>
            </w:r>
          </w:p>
        </w:tc>
        <w:tc>
          <w:tcPr>
            <w:tcW w:w="7320" w:type="dxa"/>
          </w:tcPr>
          <w:p w:rsidR="00801159" w:rsidRPr="00801159" w:rsidRDefault="00801159" w:rsidP="002A3405">
            <w:pPr>
              <w:rPr>
                <w:rFonts w:ascii="Arial" w:hAnsi="Arial" w:cs="Arial"/>
              </w:rPr>
            </w:pPr>
            <w:r w:rsidRPr="00801159">
              <w:rPr>
                <w:rFonts w:ascii="Arial" w:hAnsi="Arial" w:cs="Arial"/>
              </w:rPr>
              <w:t>Danielle Smith Principal Social Worker</w:t>
            </w:r>
          </w:p>
          <w:p w:rsidR="00801159" w:rsidRPr="00801159" w:rsidRDefault="00801159" w:rsidP="002A3405">
            <w:pPr>
              <w:rPr>
                <w:rFonts w:ascii="Arial" w:hAnsi="Arial" w:cs="Arial"/>
              </w:rPr>
            </w:pPr>
            <w:r w:rsidRPr="00801159">
              <w:rPr>
                <w:rFonts w:ascii="Arial" w:hAnsi="Arial" w:cs="Arial"/>
              </w:rPr>
              <w:t>Natasha Benger Head of Service Community Led Support</w:t>
            </w:r>
          </w:p>
          <w:p w:rsidR="00801159" w:rsidRPr="00801159" w:rsidRDefault="00801159" w:rsidP="002A3405">
            <w:pPr>
              <w:rPr>
                <w:rFonts w:ascii="Arial" w:hAnsi="Arial" w:cs="Arial"/>
              </w:rPr>
            </w:pPr>
            <w:r w:rsidRPr="00801159">
              <w:rPr>
                <w:rFonts w:ascii="Arial" w:hAnsi="Arial" w:cs="Arial"/>
              </w:rPr>
              <w:t xml:space="preserve">Leila Alizadeh-Mattingley Head of Service Integrated Pathways </w:t>
            </w:r>
          </w:p>
        </w:tc>
      </w:tr>
      <w:tr w:rsidR="00801159" w:rsidTr="002A3405">
        <w:tc>
          <w:tcPr>
            <w:tcW w:w="1696" w:type="dxa"/>
          </w:tcPr>
          <w:p w:rsidR="00801159" w:rsidRPr="00801159" w:rsidRDefault="00801159" w:rsidP="002A3405">
            <w:pPr>
              <w:rPr>
                <w:rFonts w:ascii="Arial" w:hAnsi="Arial" w:cs="Arial"/>
                <w:b/>
              </w:rPr>
            </w:pPr>
            <w:r>
              <w:rPr>
                <w:rFonts w:ascii="Arial" w:hAnsi="Arial" w:cs="Arial"/>
                <w:b/>
              </w:rPr>
              <w:t>Approved by</w:t>
            </w:r>
          </w:p>
        </w:tc>
        <w:tc>
          <w:tcPr>
            <w:tcW w:w="7320" w:type="dxa"/>
          </w:tcPr>
          <w:p w:rsidR="00801159" w:rsidRPr="00801159" w:rsidRDefault="00801159" w:rsidP="002A3405">
            <w:pPr>
              <w:rPr>
                <w:rFonts w:ascii="Arial" w:hAnsi="Arial" w:cs="Arial"/>
              </w:rPr>
            </w:pPr>
            <w:r>
              <w:rPr>
                <w:rFonts w:ascii="Arial" w:hAnsi="Arial" w:cs="Arial"/>
              </w:rPr>
              <w:t>Adult Services Senior Leadership Team</w:t>
            </w:r>
          </w:p>
        </w:tc>
      </w:tr>
      <w:tr w:rsidR="00801159" w:rsidTr="002A3405">
        <w:tc>
          <w:tcPr>
            <w:tcW w:w="1696" w:type="dxa"/>
          </w:tcPr>
          <w:p w:rsidR="00801159" w:rsidRPr="00801159" w:rsidRDefault="00801159" w:rsidP="002A3405">
            <w:pPr>
              <w:rPr>
                <w:rFonts w:ascii="Arial" w:hAnsi="Arial" w:cs="Arial"/>
                <w:b/>
              </w:rPr>
            </w:pPr>
            <w:r>
              <w:rPr>
                <w:rFonts w:ascii="Arial" w:hAnsi="Arial" w:cs="Arial"/>
                <w:b/>
              </w:rPr>
              <w:t>Review date</w:t>
            </w:r>
          </w:p>
        </w:tc>
        <w:tc>
          <w:tcPr>
            <w:tcW w:w="7320" w:type="dxa"/>
          </w:tcPr>
          <w:p w:rsidR="00801159" w:rsidRPr="00801159" w:rsidRDefault="00801159" w:rsidP="002A3405">
            <w:pPr>
              <w:rPr>
                <w:rFonts w:ascii="Arial" w:hAnsi="Arial" w:cs="Arial"/>
              </w:rPr>
            </w:pPr>
            <w:r>
              <w:rPr>
                <w:rFonts w:ascii="Arial" w:hAnsi="Arial" w:cs="Arial"/>
              </w:rPr>
              <w:t>3 months</w:t>
            </w:r>
          </w:p>
        </w:tc>
      </w:tr>
    </w:tbl>
    <w:p w:rsidR="00801159" w:rsidRDefault="00801159">
      <w:pPr>
        <w:rPr>
          <w:rFonts w:ascii="Arial" w:hAnsi="Arial" w:cs="Arial"/>
          <w:b/>
          <w:sz w:val="32"/>
        </w:rPr>
      </w:pPr>
    </w:p>
    <w:p w:rsidR="009C30E4" w:rsidRDefault="009C30E4">
      <w:pPr>
        <w:rPr>
          <w:rFonts w:ascii="Arial" w:hAnsi="Arial" w:cs="Arial"/>
          <w:b/>
          <w:sz w:val="32"/>
        </w:rPr>
      </w:pPr>
    </w:p>
    <w:p w:rsidR="009C30E4" w:rsidRPr="00801159" w:rsidRDefault="009C30E4">
      <w:pPr>
        <w:rPr>
          <w:rFonts w:ascii="Arial" w:hAnsi="Arial" w:cs="Arial"/>
          <w:b/>
          <w:sz w:val="28"/>
        </w:rPr>
      </w:pPr>
      <w:r w:rsidRPr="00801159">
        <w:rPr>
          <w:rFonts w:ascii="Arial" w:hAnsi="Arial" w:cs="Arial"/>
          <w:b/>
          <w:sz w:val="28"/>
        </w:rPr>
        <w:t>Contents</w:t>
      </w:r>
    </w:p>
    <w:tbl>
      <w:tblPr>
        <w:tblStyle w:val="TableGrid"/>
        <w:tblW w:w="0" w:type="auto"/>
        <w:tblLook w:val="04A0" w:firstRow="1" w:lastRow="0" w:firstColumn="1" w:lastColumn="0" w:noHBand="0" w:noVBand="1"/>
      </w:tblPr>
      <w:tblGrid>
        <w:gridCol w:w="7225"/>
        <w:gridCol w:w="1693"/>
      </w:tblGrid>
      <w:tr w:rsidR="009C30E4" w:rsidTr="00BE04D2">
        <w:trPr>
          <w:trHeight w:val="375"/>
        </w:trPr>
        <w:tc>
          <w:tcPr>
            <w:tcW w:w="7225" w:type="dxa"/>
          </w:tcPr>
          <w:p w:rsidR="009C30E4" w:rsidRPr="00801159" w:rsidRDefault="009C30E4" w:rsidP="006C779F">
            <w:pPr>
              <w:rPr>
                <w:rFonts w:ascii="Arial" w:hAnsi="Arial" w:cs="Arial"/>
                <w:szCs w:val="24"/>
              </w:rPr>
            </w:pPr>
            <w:r w:rsidRPr="00801159">
              <w:rPr>
                <w:rFonts w:ascii="Arial" w:hAnsi="Arial" w:cs="Arial"/>
                <w:szCs w:val="24"/>
              </w:rPr>
              <w:t>Introduction and purpose</w:t>
            </w:r>
          </w:p>
        </w:tc>
        <w:tc>
          <w:tcPr>
            <w:tcW w:w="1693" w:type="dxa"/>
          </w:tcPr>
          <w:p w:rsidR="009C30E4" w:rsidRPr="00801159" w:rsidRDefault="006C779F">
            <w:pPr>
              <w:rPr>
                <w:rFonts w:ascii="Arial" w:hAnsi="Arial" w:cs="Arial"/>
                <w:szCs w:val="24"/>
              </w:rPr>
            </w:pPr>
            <w:r w:rsidRPr="00801159">
              <w:rPr>
                <w:rFonts w:ascii="Arial" w:hAnsi="Arial" w:cs="Arial"/>
                <w:szCs w:val="24"/>
              </w:rPr>
              <w:t>p.</w:t>
            </w:r>
            <w:r w:rsidR="009C30E4" w:rsidRPr="00801159">
              <w:rPr>
                <w:rFonts w:ascii="Arial" w:hAnsi="Arial" w:cs="Arial"/>
                <w:szCs w:val="24"/>
              </w:rPr>
              <w:t>2</w:t>
            </w:r>
          </w:p>
        </w:tc>
      </w:tr>
      <w:tr w:rsidR="009C30E4" w:rsidTr="006C779F">
        <w:trPr>
          <w:trHeight w:val="383"/>
        </w:trPr>
        <w:tc>
          <w:tcPr>
            <w:tcW w:w="7225" w:type="dxa"/>
          </w:tcPr>
          <w:p w:rsidR="009C30E4" w:rsidRPr="00801159" w:rsidRDefault="009C30E4" w:rsidP="006C779F">
            <w:pPr>
              <w:rPr>
                <w:rFonts w:ascii="Arial" w:hAnsi="Arial" w:cs="Arial"/>
                <w:szCs w:val="24"/>
              </w:rPr>
            </w:pPr>
            <w:r w:rsidRPr="00801159">
              <w:rPr>
                <w:rFonts w:ascii="Arial" w:hAnsi="Arial" w:cs="Arial"/>
                <w:szCs w:val="24"/>
              </w:rPr>
              <w:t>Who is this guidance for?</w:t>
            </w:r>
          </w:p>
        </w:tc>
        <w:tc>
          <w:tcPr>
            <w:tcW w:w="1693" w:type="dxa"/>
          </w:tcPr>
          <w:p w:rsidR="009C30E4" w:rsidRPr="00801159" w:rsidRDefault="006C779F">
            <w:pPr>
              <w:rPr>
                <w:rFonts w:ascii="Arial" w:hAnsi="Arial" w:cs="Arial"/>
                <w:szCs w:val="24"/>
              </w:rPr>
            </w:pPr>
            <w:r w:rsidRPr="00801159">
              <w:rPr>
                <w:rFonts w:ascii="Arial" w:hAnsi="Arial" w:cs="Arial"/>
                <w:szCs w:val="24"/>
              </w:rPr>
              <w:t>p.</w:t>
            </w:r>
            <w:r w:rsidR="009C30E4" w:rsidRPr="00801159">
              <w:rPr>
                <w:rFonts w:ascii="Arial" w:hAnsi="Arial" w:cs="Arial"/>
                <w:szCs w:val="24"/>
              </w:rPr>
              <w:t>2</w:t>
            </w:r>
          </w:p>
        </w:tc>
      </w:tr>
      <w:tr w:rsidR="009C30E4" w:rsidTr="009B304A">
        <w:trPr>
          <w:trHeight w:val="315"/>
        </w:trPr>
        <w:tc>
          <w:tcPr>
            <w:tcW w:w="7225" w:type="dxa"/>
          </w:tcPr>
          <w:p w:rsidR="009C30E4" w:rsidRPr="00801159" w:rsidRDefault="009C30E4" w:rsidP="006C779F">
            <w:pPr>
              <w:rPr>
                <w:rFonts w:ascii="Arial" w:hAnsi="Arial" w:cs="Arial"/>
                <w:szCs w:val="24"/>
              </w:rPr>
            </w:pPr>
            <w:r w:rsidRPr="00801159">
              <w:rPr>
                <w:rFonts w:ascii="Arial" w:hAnsi="Arial" w:cs="Arial"/>
                <w:szCs w:val="24"/>
              </w:rPr>
              <w:t>Key principles</w:t>
            </w:r>
          </w:p>
        </w:tc>
        <w:tc>
          <w:tcPr>
            <w:tcW w:w="1693" w:type="dxa"/>
          </w:tcPr>
          <w:p w:rsidR="009C30E4" w:rsidRPr="00801159" w:rsidRDefault="006C779F">
            <w:pPr>
              <w:rPr>
                <w:rFonts w:ascii="Arial" w:hAnsi="Arial" w:cs="Arial"/>
                <w:szCs w:val="24"/>
              </w:rPr>
            </w:pPr>
            <w:r w:rsidRPr="00801159">
              <w:rPr>
                <w:rFonts w:ascii="Arial" w:hAnsi="Arial" w:cs="Arial"/>
                <w:szCs w:val="24"/>
              </w:rPr>
              <w:t>p.</w:t>
            </w:r>
            <w:r w:rsidR="009C30E4" w:rsidRPr="00801159">
              <w:rPr>
                <w:rFonts w:ascii="Arial" w:hAnsi="Arial" w:cs="Arial"/>
                <w:szCs w:val="24"/>
              </w:rPr>
              <w:t>2</w:t>
            </w:r>
          </w:p>
        </w:tc>
      </w:tr>
      <w:tr w:rsidR="009C30E4" w:rsidTr="009B304A">
        <w:trPr>
          <w:trHeight w:val="419"/>
        </w:trPr>
        <w:tc>
          <w:tcPr>
            <w:tcW w:w="7225" w:type="dxa"/>
          </w:tcPr>
          <w:p w:rsidR="009C30E4" w:rsidRPr="00801159" w:rsidRDefault="009C30E4" w:rsidP="006C779F">
            <w:pPr>
              <w:rPr>
                <w:rFonts w:ascii="Arial" w:hAnsi="Arial" w:cs="Arial"/>
                <w:szCs w:val="24"/>
              </w:rPr>
            </w:pPr>
            <w:r w:rsidRPr="00801159">
              <w:rPr>
                <w:rFonts w:ascii="Arial" w:hAnsi="Arial" w:cs="Arial"/>
                <w:szCs w:val="24"/>
              </w:rPr>
              <w:t>Using the risk prioritisation tool</w:t>
            </w:r>
          </w:p>
        </w:tc>
        <w:tc>
          <w:tcPr>
            <w:tcW w:w="1693" w:type="dxa"/>
          </w:tcPr>
          <w:p w:rsidR="009C30E4" w:rsidRPr="00801159" w:rsidRDefault="006C779F">
            <w:pPr>
              <w:rPr>
                <w:rFonts w:ascii="Arial" w:hAnsi="Arial" w:cs="Arial"/>
                <w:szCs w:val="24"/>
              </w:rPr>
            </w:pPr>
            <w:r w:rsidRPr="00801159">
              <w:rPr>
                <w:rFonts w:ascii="Arial" w:hAnsi="Arial" w:cs="Arial"/>
                <w:szCs w:val="24"/>
              </w:rPr>
              <w:t xml:space="preserve">p. </w:t>
            </w:r>
            <w:r w:rsidR="009C30E4" w:rsidRPr="00801159">
              <w:rPr>
                <w:rFonts w:ascii="Arial" w:hAnsi="Arial" w:cs="Arial"/>
                <w:szCs w:val="24"/>
              </w:rPr>
              <w:t>2</w:t>
            </w:r>
          </w:p>
        </w:tc>
      </w:tr>
      <w:tr w:rsidR="009C30E4" w:rsidTr="009B304A">
        <w:trPr>
          <w:trHeight w:val="410"/>
        </w:trPr>
        <w:tc>
          <w:tcPr>
            <w:tcW w:w="7225" w:type="dxa"/>
          </w:tcPr>
          <w:p w:rsidR="009C30E4" w:rsidRPr="00801159" w:rsidRDefault="009C30E4" w:rsidP="006C779F">
            <w:pPr>
              <w:rPr>
                <w:rFonts w:ascii="Arial" w:hAnsi="Arial" w:cs="Arial"/>
                <w:szCs w:val="24"/>
              </w:rPr>
            </w:pPr>
            <w:r w:rsidRPr="00801159">
              <w:rPr>
                <w:rFonts w:ascii="Arial" w:hAnsi="Arial" w:cs="Arial"/>
                <w:szCs w:val="24"/>
              </w:rPr>
              <w:t xml:space="preserve">Support for people who are waiting </w:t>
            </w:r>
            <w:r w:rsidR="00935810">
              <w:rPr>
                <w:rFonts w:ascii="Arial" w:hAnsi="Arial" w:cs="Arial"/>
                <w:szCs w:val="24"/>
              </w:rPr>
              <w:t>– signposting</w:t>
            </w:r>
          </w:p>
        </w:tc>
        <w:tc>
          <w:tcPr>
            <w:tcW w:w="1693" w:type="dxa"/>
          </w:tcPr>
          <w:p w:rsidR="009C30E4" w:rsidRPr="00801159" w:rsidRDefault="006C779F">
            <w:pPr>
              <w:rPr>
                <w:rFonts w:ascii="Arial" w:hAnsi="Arial" w:cs="Arial"/>
                <w:szCs w:val="24"/>
              </w:rPr>
            </w:pPr>
            <w:r w:rsidRPr="00801159">
              <w:rPr>
                <w:rFonts w:ascii="Arial" w:hAnsi="Arial" w:cs="Arial"/>
                <w:szCs w:val="24"/>
              </w:rPr>
              <w:t>p.</w:t>
            </w:r>
            <w:r w:rsidR="009C30E4" w:rsidRPr="00801159">
              <w:rPr>
                <w:rFonts w:ascii="Arial" w:hAnsi="Arial" w:cs="Arial"/>
                <w:szCs w:val="24"/>
              </w:rPr>
              <w:t>3</w:t>
            </w:r>
          </w:p>
        </w:tc>
      </w:tr>
      <w:tr w:rsidR="009C30E4" w:rsidTr="009B304A">
        <w:trPr>
          <w:trHeight w:val="417"/>
        </w:trPr>
        <w:tc>
          <w:tcPr>
            <w:tcW w:w="7225" w:type="dxa"/>
          </w:tcPr>
          <w:p w:rsidR="009C30E4" w:rsidRPr="00801159" w:rsidRDefault="009C30E4" w:rsidP="006C779F">
            <w:pPr>
              <w:rPr>
                <w:rFonts w:ascii="Arial" w:hAnsi="Arial" w:cs="Arial"/>
                <w:szCs w:val="24"/>
              </w:rPr>
            </w:pPr>
            <w:r w:rsidRPr="00801159">
              <w:rPr>
                <w:rFonts w:ascii="Arial" w:hAnsi="Arial" w:cs="Arial"/>
                <w:szCs w:val="24"/>
              </w:rPr>
              <w:t xml:space="preserve">Case example </w:t>
            </w:r>
          </w:p>
        </w:tc>
        <w:tc>
          <w:tcPr>
            <w:tcW w:w="1693" w:type="dxa"/>
          </w:tcPr>
          <w:p w:rsidR="009C30E4" w:rsidRPr="00801159" w:rsidRDefault="006C779F">
            <w:pPr>
              <w:rPr>
                <w:rFonts w:ascii="Arial" w:hAnsi="Arial" w:cs="Arial"/>
                <w:szCs w:val="24"/>
              </w:rPr>
            </w:pPr>
            <w:r w:rsidRPr="00801159">
              <w:rPr>
                <w:rFonts w:ascii="Arial" w:hAnsi="Arial" w:cs="Arial"/>
                <w:szCs w:val="24"/>
              </w:rPr>
              <w:t>p.</w:t>
            </w:r>
            <w:r w:rsidR="009C30E4" w:rsidRPr="00801159">
              <w:rPr>
                <w:rFonts w:ascii="Arial" w:hAnsi="Arial" w:cs="Arial"/>
                <w:szCs w:val="24"/>
              </w:rPr>
              <w:t>4</w:t>
            </w:r>
          </w:p>
        </w:tc>
      </w:tr>
      <w:tr w:rsidR="009C30E4" w:rsidTr="009B304A">
        <w:trPr>
          <w:trHeight w:val="409"/>
        </w:trPr>
        <w:tc>
          <w:tcPr>
            <w:tcW w:w="7225" w:type="dxa"/>
          </w:tcPr>
          <w:p w:rsidR="009C30E4" w:rsidRPr="00801159" w:rsidRDefault="009C30E4" w:rsidP="006C779F">
            <w:pPr>
              <w:rPr>
                <w:rFonts w:ascii="Arial" w:hAnsi="Arial" w:cs="Arial"/>
                <w:szCs w:val="24"/>
              </w:rPr>
            </w:pPr>
            <w:r w:rsidRPr="00801159">
              <w:rPr>
                <w:rFonts w:ascii="Arial" w:hAnsi="Arial" w:cs="Arial"/>
                <w:szCs w:val="24"/>
              </w:rPr>
              <w:t xml:space="preserve">Management oversight and risk reprioritisation </w:t>
            </w:r>
          </w:p>
        </w:tc>
        <w:tc>
          <w:tcPr>
            <w:tcW w:w="1693" w:type="dxa"/>
          </w:tcPr>
          <w:p w:rsidR="009C30E4" w:rsidRPr="00801159" w:rsidRDefault="006C779F">
            <w:pPr>
              <w:rPr>
                <w:rFonts w:ascii="Arial" w:hAnsi="Arial" w:cs="Arial"/>
                <w:szCs w:val="24"/>
              </w:rPr>
            </w:pPr>
            <w:r w:rsidRPr="00801159">
              <w:rPr>
                <w:rFonts w:ascii="Arial" w:hAnsi="Arial" w:cs="Arial"/>
                <w:szCs w:val="24"/>
              </w:rPr>
              <w:t>p.</w:t>
            </w:r>
            <w:r w:rsidR="009C30E4" w:rsidRPr="00801159">
              <w:rPr>
                <w:rFonts w:ascii="Arial" w:hAnsi="Arial" w:cs="Arial"/>
                <w:szCs w:val="24"/>
              </w:rPr>
              <w:t>5</w:t>
            </w:r>
          </w:p>
        </w:tc>
      </w:tr>
      <w:tr w:rsidR="009C30E4" w:rsidTr="009B304A">
        <w:trPr>
          <w:trHeight w:val="415"/>
        </w:trPr>
        <w:tc>
          <w:tcPr>
            <w:tcW w:w="7225" w:type="dxa"/>
          </w:tcPr>
          <w:p w:rsidR="009C30E4" w:rsidRPr="00801159" w:rsidRDefault="009C30E4" w:rsidP="006C779F">
            <w:pPr>
              <w:rPr>
                <w:rFonts w:ascii="Arial" w:hAnsi="Arial" w:cs="Arial"/>
                <w:szCs w:val="24"/>
              </w:rPr>
            </w:pPr>
            <w:r w:rsidRPr="00801159">
              <w:rPr>
                <w:rFonts w:ascii="Arial" w:hAnsi="Arial" w:cs="Arial"/>
                <w:szCs w:val="24"/>
              </w:rPr>
              <w:t xml:space="preserve">Escalation </w:t>
            </w:r>
          </w:p>
        </w:tc>
        <w:tc>
          <w:tcPr>
            <w:tcW w:w="1693" w:type="dxa"/>
          </w:tcPr>
          <w:p w:rsidR="009C30E4" w:rsidRPr="00801159" w:rsidRDefault="006C779F">
            <w:pPr>
              <w:rPr>
                <w:rFonts w:ascii="Arial" w:hAnsi="Arial" w:cs="Arial"/>
                <w:szCs w:val="24"/>
              </w:rPr>
            </w:pPr>
            <w:r w:rsidRPr="00801159">
              <w:rPr>
                <w:rFonts w:ascii="Arial" w:hAnsi="Arial" w:cs="Arial"/>
                <w:szCs w:val="24"/>
              </w:rPr>
              <w:t>p.</w:t>
            </w:r>
            <w:r w:rsidR="009C30E4" w:rsidRPr="00801159">
              <w:rPr>
                <w:rFonts w:ascii="Arial" w:hAnsi="Arial" w:cs="Arial"/>
                <w:szCs w:val="24"/>
              </w:rPr>
              <w:t>5</w:t>
            </w:r>
          </w:p>
        </w:tc>
      </w:tr>
      <w:tr w:rsidR="009C30E4" w:rsidTr="009B304A">
        <w:trPr>
          <w:trHeight w:val="420"/>
        </w:trPr>
        <w:tc>
          <w:tcPr>
            <w:tcW w:w="7225" w:type="dxa"/>
          </w:tcPr>
          <w:p w:rsidR="009C30E4" w:rsidRPr="00801159" w:rsidRDefault="006C779F" w:rsidP="009B304A">
            <w:pPr>
              <w:pStyle w:val="Header"/>
              <w:rPr>
                <w:rFonts w:ascii="Arial" w:hAnsi="Arial" w:cs="Arial"/>
              </w:rPr>
            </w:pPr>
            <w:r w:rsidRPr="00801159">
              <w:rPr>
                <w:rFonts w:ascii="Arial" w:hAnsi="Arial" w:cs="Arial"/>
              </w:rPr>
              <w:t>Appendix 1 - Risk and Priority Matrix Too</w:t>
            </w:r>
            <w:r w:rsidR="009B304A" w:rsidRPr="00801159">
              <w:rPr>
                <w:rFonts w:ascii="Arial" w:hAnsi="Arial" w:cs="Arial"/>
              </w:rPr>
              <w:t>l</w:t>
            </w:r>
          </w:p>
        </w:tc>
        <w:tc>
          <w:tcPr>
            <w:tcW w:w="1693" w:type="dxa"/>
          </w:tcPr>
          <w:p w:rsidR="009C30E4" w:rsidRPr="00801159" w:rsidRDefault="006C779F">
            <w:pPr>
              <w:rPr>
                <w:rFonts w:ascii="Arial" w:hAnsi="Arial" w:cs="Arial"/>
                <w:szCs w:val="24"/>
              </w:rPr>
            </w:pPr>
            <w:r w:rsidRPr="00801159">
              <w:rPr>
                <w:rFonts w:ascii="Arial" w:hAnsi="Arial" w:cs="Arial"/>
                <w:szCs w:val="24"/>
              </w:rPr>
              <w:t>p.6</w:t>
            </w:r>
          </w:p>
        </w:tc>
      </w:tr>
      <w:tr w:rsidR="006C779F" w:rsidTr="006C779F">
        <w:trPr>
          <w:trHeight w:val="555"/>
        </w:trPr>
        <w:tc>
          <w:tcPr>
            <w:tcW w:w="7225" w:type="dxa"/>
          </w:tcPr>
          <w:p w:rsidR="006C779F" w:rsidRPr="00801159" w:rsidRDefault="006C779F" w:rsidP="006C779F">
            <w:pPr>
              <w:pStyle w:val="Default"/>
              <w:rPr>
                <w:bCs/>
                <w:sz w:val="22"/>
              </w:rPr>
            </w:pPr>
            <w:r w:rsidRPr="00801159">
              <w:rPr>
                <w:bCs/>
                <w:sz w:val="22"/>
              </w:rPr>
              <w:t>Appendix 2 - ADASS South West Deprivation of Liberty Prioritisation Tool</w:t>
            </w:r>
          </w:p>
        </w:tc>
        <w:tc>
          <w:tcPr>
            <w:tcW w:w="1693" w:type="dxa"/>
          </w:tcPr>
          <w:p w:rsidR="006C779F" w:rsidRPr="00801159" w:rsidRDefault="006C779F">
            <w:pPr>
              <w:rPr>
                <w:rFonts w:ascii="Arial" w:hAnsi="Arial" w:cs="Arial"/>
                <w:szCs w:val="24"/>
              </w:rPr>
            </w:pPr>
            <w:r w:rsidRPr="00801159">
              <w:rPr>
                <w:rFonts w:ascii="Arial" w:hAnsi="Arial" w:cs="Arial"/>
                <w:szCs w:val="24"/>
              </w:rPr>
              <w:t>p.7</w:t>
            </w:r>
          </w:p>
        </w:tc>
      </w:tr>
      <w:tr w:rsidR="009C30E4" w:rsidTr="006C779F">
        <w:trPr>
          <w:trHeight w:val="377"/>
        </w:trPr>
        <w:tc>
          <w:tcPr>
            <w:tcW w:w="7225" w:type="dxa"/>
          </w:tcPr>
          <w:p w:rsidR="009C30E4" w:rsidRPr="00801159" w:rsidRDefault="006C779F" w:rsidP="006C779F">
            <w:pPr>
              <w:rPr>
                <w:rFonts w:ascii="Arial" w:hAnsi="Arial" w:cs="Arial"/>
                <w:noProof/>
                <w:szCs w:val="24"/>
              </w:rPr>
            </w:pPr>
            <w:r w:rsidRPr="00801159">
              <w:rPr>
                <w:rFonts w:ascii="Arial" w:hAnsi="Arial" w:cs="Arial"/>
                <w:noProof/>
                <w:szCs w:val="24"/>
              </w:rPr>
              <w:t xml:space="preserve">Appendix 3 - </w:t>
            </w:r>
            <w:r w:rsidR="009C30E4" w:rsidRPr="00801159">
              <w:rPr>
                <w:rFonts w:ascii="Arial" w:hAnsi="Arial" w:cs="Arial"/>
                <w:noProof/>
                <w:szCs w:val="24"/>
              </w:rPr>
              <w:t>Recording risk priority and decision making in Liquidlogic (LAS)</w:t>
            </w:r>
          </w:p>
        </w:tc>
        <w:tc>
          <w:tcPr>
            <w:tcW w:w="1693" w:type="dxa"/>
          </w:tcPr>
          <w:p w:rsidR="009C30E4" w:rsidRPr="00801159" w:rsidRDefault="006C779F">
            <w:pPr>
              <w:rPr>
                <w:rFonts w:ascii="Arial" w:hAnsi="Arial" w:cs="Arial"/>
                <w:szCs w:val="24"/>
              </w:rPr>
            </w:pPr>
            <w:r w:rsidRPr="00801159">
              <w:rPr>
                <w:rFonts w:ascii="Arial" w:hAnsi="Arial" w:cs="Arial"/>
                <w:szCs w:val="24"/>
              </w:rPr>
              <w:t>p.</w:t>
            </w:r>
            <w:r w:rsidR="00E72B79" w:rsidRPr="00801159">
              <w:rPr>
                <w:rFonts w:ascii="Arial" w:hAnsi="Arial" w:cs="Arial"/>
                <w:szCs w:val="24"/>
              </w:rPr>
              <w:t>9</w:t>
            </w:r>
          </w:p>
        </w:tc>
      </w:tr>
    </w:tbl>
    <w:p w:rsidR="009C30E4" w:rsidRDefault="009C30E4">
      <w:pPr>
        <w:rPr>
          <w:rFonts w:ascii="Arial" w:hAnsi="Arial" w:cs="Arial"/>
          <w:b/>
          <w:sz w:val="32"/>
        </w:rPr>
      </w:pPr>
    </w:p>
    <w:p w:rsidR="009C30E4" w:rsidRDefault="009C30E4">
      <w:pPr>
        <w:rPr>
          <w:rFonts w:ascii="Arial" w:hAnsi="Arial" w:cs="Arial"/>
          <w:b/>
          <w:sz w:val="32"/>
        </w:rPr>
      </w:pPr>
    </w:p>
    <w:p w:rsidR="00801159" w:rsidRDefault="00801159">
      <w:pPr>
        <w:rPr>
          <w:rFonts w:ascii="Arial" w:hAnsi="Arial" w:cs="Arial"/>
          <w:b/>
          <w:sz w:val="32"/>
        </w:rPr>
      </w:pPr>
    </w:p>
    <w:p w:rsidR="00801159" w:rsidRDefault="00801159">
      <w:pPr>
        <w:rPr>
          <w:rFonts w:ascii="Arial" w:hAnsi="Arial" w:cs="Arial"/>
          <w:b/>
          <w:sz w:val="32"/>
        </w:rPr>
      </w:pPr>
    </w:p>
    <w:p w:rsidR="008C44CF" w:rsidRPr="008C44CF" w:rsidRDefault="009C30E4">
      <w:pPr>
        <w:rPr>
          <w:rFonts w:ascii="Arial" w:hAnsi="Arial" w:cs="Arial"/>
          <w:b/>
          <w:sz w:val="24"/>
        </w:rPr>
      </w:pPr>
      <w:r>
        <w:rPr>
          <w:rFonts w:ascii="Arial" w:hAnsi="Arial" w:cs="Arial"/>
          <w:b/>
          <w:sz w:val="24"/>
        </w:rPr>
        <w:lastRenderedPageBreak/>
        <w:t>I</w:t>
      </w:r>
      <w:r w:rsidR="008C44CF" w:rsidRPr="008C44CF">
        <w:rPr>
          <w:rFonts w:ascii="Arial" w:hAnsi="Arial" w:cs="Arial"/>
          <w:b/>
          <w:sz w:val="24"/>
        </w:rPr>
        <w:t>ntroduction and purpose</w:t>
      </w:r>
    </w:p>
    <w:p w:rsidR="008C44CF" w:rsidRDefault="008C44CF" w:rsidP="006D374D">
      <w:pPr>
        <w:jc w:val="both"/>
        <w:rPr>
          <w:rFonts w:ascii="Arial" w:hAnsi="Arial" w:cs="Arial"/>
          <w:sz w:val="24"/>
        </w:rPr>
      </w:pPr>
      <w:r>
        <w:rPr>
          <w:rFonts w:ascii="Arial" w:hAnsi="Arial" w:cs="Arial"/>
          <w:sz w:val="24"/>
        </w:rPr>
        <w:t xml:space="preserve">There continues to be significant pressures on Adult Social Care Services, which has led to the use of waiting lists in many areas. This document is a working guideline to support </w:t>
      </w:r>
      <w:r w:rsidR="003147BE">
        <w:rPr>
          <w:rFonts w:ascii="Arial" w:hAnsi="Arial" w:cs="Arial"/>
          <w:sz w:val="24"/>
        </w:rPr>
        <w:t xml:space="preserve">a consistent approach to </w:t>
      </w:r>
      <w:r>
        <w:rPr>
          <w:rFonts w:ascii="Arial" w:hAnsi="Arial" w:cs="Arial"/>
          <w:sz w:val="24"/>
        </w:rPr>
        <w:t xml:space="preserve">the dynamic risk </w:t>
      </w:r>
      <w:r w:rsidR="00D06696">
        <w:rPr>
          <w:rFonts w:ascii="Arial" w:hAnsi="Arial" w:cs="Arial"/>
          <w:sz w:val="24"/>
        </w:rPr>
        <w:t>management</w:t>
      </w:r>
      <w:r>
        <w:rPr>
          <w:rFonts w:ascii="Arial" w:hAnsi="Arial" w:cs="Arial"/>
          <w:sz w:val="24"/>
        </w:rPr>
        <w:t xml:space="preserve"> of people waiting allocation for an assessment in Swindon.</w:t>
      </w:r>
    </w:p>
    <w:p w:rsidR="008C44CF" w:rsidRDefault="008C44CF" w:rsidP="006D374D">
      <w:pPr>
        <w:jc w:val="both"/>
        <w:rPr>
          <w:rFonts w:ascii="Arial" w:hAnsi="Arial" w:cs="Arial"/>
          <w:sz w:val="24"/>
        </w:rPr>
      </w:pPr>
      <w:r>
        <w:rPr>
          <w:rFonts w:ascii="Arial" w:hAnsi="Arial" w:cs="Arial"/>
          <w:sz w:val="24"/>
        </w:rPr>
        <w:t xml:space="preserve">Although there </w:t>
      </w:r>
      <w:r w:rsidR="003147BE">
        <w:rPr>
          <w:rFonts w:ascii="Arial" w:hAnsi="Arial" w:cs="Arial"/>
          <w:sz w:val="24"/>
        </w:rPr>
        <w:t>are</w:t>
      </w:r>
      <w:r>
        <w:rPr>
          <w:rFonts w:ascii="Arial" w:hAnsi="Arial" w:cs="Arial"/>
          <w:sz w:val="24"/>
        </w:rPr>
        <w:t xml:space="preserve"> </w:t>
      </w:r>
      <w:r w:rsidR="003147BE">
        <w:rPr>
          <w:rFonts w:ascii="Arial" w:hAnsi="Arial" w:cs="Arial"/>
          <w:sz w:val="24"/>
        </w:rPr>
        <w:t>no</w:t>
      </w:r>
      <w:r>
        <w:rPr>
          <w:rFonts w:ascii="Arial" w:hAnsi="Arial" w:cs="Arial"/>
          <w:sz w:val="24"/>
        </w:rPr>
        <w:t xml:space="preserve"> specific national performance measures </w:t>
      </w:r>
      <w:r w:rsidR="003147BE">
        <w:rPr>
          <w:rFonts w:ascii="Arial" w:hAnsi="Arial" w:cs="Arial"/>
          <w:sz w:val="24"/>
        </w:rPr>
        <w:t xml:space="preserve">or legal timeframes </w:t>
      </w:r>
      <w:r>
        <w:rPr>
          <w:rFonts w:ascii="Arial" w:hAnsi="Arial" w:cs="Arial"/>
          <w:sz w:val="24"/>
        </w:rPr>
        <w:t>relating to waiting lists and waiting times</w:t>
      </w:r>
      <w:r w:rsidR="003147BE">
        <w:rPr>
          <w:rFonts w:ascii="Arial" w:hAnsi="Arial" w:cs="Arial"/>
          <w:sz w:val="24"/>
        </w:rPr>
        <w:t xml:space="preserve">, we should </w:t>
      </w:r>
      <w:r w:rsidR="00D06696">
        <w:rPr>
          <w:rFonts w:ascii="Arial" w:hAnsi="Arial" w:cs="Arial"/>
          <w:sz w:val="24"/>
        </w:rPr>
        <w:t>strive</w:t>
      </w:r>
      <w:r w:rsidR="003147BE">
        <w:rPr>
          <w:rFonts w:ascii="Arial" w:hAnsi="Arial" w:cs="Arial"/>
          <w:sz w:val="24"/>
        </w:rPr>
        <w:t xml:space="preserve"> for a timely response </w:t>
      </w:r>
      <w:r w:rsidR="00D06696">
        <w:rPr>
          <w:rFonts w:ascii="Arial" w:hAnsi="Arial" w:cs="Arial"/>
          <w:sz w:val="24"/>
        </w:rPr>
        <w:t>and</w:t>
      </w:r>
      <w:r w:rsidR="003147BE">
        <w:rPr>
          <w:rFonts w:ascii="Arial" w:hAnsi="Arial" w:cs="Arial"/>
          <w:sz w:val="24"/>
        </w:rPr>
        <w:t xml:space="preserve"> ensure no unnecessary delay to achieve the best outcomes for people. </w:t>
      </w:r>
    </w:p>
    <w:p w:rsidR="008C44CF" w:rsidRDefault="008C44CF">
      <w:pPr>
        <w:rPr>
          <w:rFonts w:ascii="Arial" w:hAnsi="Arial" w:cs="Arial"/>
          <w:sz w:val="24"/>
        </w:rPr>
      </w:pPr>
    </w:p>
    <w:p w:rsidR="008C44CF" w:rsidRDefault="008C44CF" w:rsidP="006D374D">
      <w:pPr>
        <w:jc w:val="both"/>
        <w:rPr>
          <w:rFonts w:ascii="Arial" w:hAnsi="Arial" w:cs="Arial"/>
          <w:b/>
          <w:sz w:val="24"/>
        </w:rPr>
      </w:pPr>
      <w:r>
        <w:rPr>
          <w:rFonts w:ascii="Arial" w:hAnsi="Arial" w:cs="Arial"/>
          <w:b/>
          <w:sz w:val="24"/>
        </w:rPr>
        <w:t>Who is this guidance for</w:t>
      </w:r>
      <w:r w:rsidR="003147BE">
        <w:rPr>
          <w:rFonts w:ascii="Arial" w:hAnsi="Arial" w:cs="Arial"/>
          <w:b/>
          <w:sz w:val="24"/>
        </w:rPr>
        <w:t>?</w:t>
      </w:r>
    </w:p>
    <w:p w:rsidR="003147BE" w:rsidRDefault="003147BE" w:rsidP="006D374D">
      <w:pPr>
        <w:jc w:val="both"/>
        <w:rPr>
          <w:rFonts w:ascii="Arial" w:hAnsi="Arial" w:cs="Arial"/>
          <w:sz w:val="24"/>
        </w:rPr>
      </w:pPr>
      <w:r>
        <w:rPr>
          <w:rFonts w:ascii="Arial" w:hAnsi="Arial" w:cs="Arial"/>
          <w:sz w:val="24"/>
        </w:rPr>
        <w:t>All Adult Social Care practitioners and managers.</w:t>
      </w:r>
    </w:p>
    <w:p w:rsidR="000D7147" w:rsidRDefault="003147BE" w:rsidP="006D374D">
      <w:pPr>
        <w:tabs>
          <w:tab w:val="center" w:pos="4513"/>
        </w:tabs>
        <w:jc w:val="both"/>
        <w:rPr>
          <w:rFonts w:ascii="Arial" w:hAnsi="Arial" w:cs="Arial"/>
          <w:sz w:val="24"/>
        </w:rPr>
      </w:pPr>
      <w:r>
        <w:rPr>
          <w:rFonts w:ascii="Arial" w:hAnsi="Arial" w:cs="Arial"/>
          <w:sz w:val="24"/>
        </w:rPr>
        <w:t>The MCA/</w:t>
      </w:r>
      <w:proofErr w:type="spellStart"/>
      <w:r>
        <w:rPr>
          <w:rFonts w:ascii="Arial" w:hAnsi="Arial" w:cs="Arial"/>
          <w:sz w:val="24"/>
        </w:rPr>
        <w:t>DoLS</w:t>
      </w:r>
      <w:proofErr w:type="spellEnd"/>
      <w:r>
        <w:rPr>
          <w:rFonts w:ascii="Arial" w:hAnsi="Arial" w:cs="Arial"/>
          <w:sz w:val="24"/>
        </w:rPr>
        <w:t xml:space="preserve"> Team will continue to use the </w:t>
      </w:r>
      <w:hyperlink w:anchor="DOLS" w:history="1">
        <w:r w:rsidR="005F0482">
          <w:rPr>
            <w:rStyle w:val="Hyperlink"/>
            <w:rFonts w:ascii="Arial" w:hAnsi="Arial" w:cs="Arial"/>
            <w:sz w:val="24"/>
          </w:rPr>
          <w:t>ADASS guidance and tool</w:t>
        </w:r>
      </w:hyperlink>
      <w:r>
        <w:rPr>
          <w:rFonts w:ascii="Arial" w:hAnsi="Arial" w:cs="Arial"/>
          <w:sz w:val="24"/>
        </w:rPr>
        <w:t xml:space="preserve"> to </w:t>
      </w:r>
      <w:r w:rsidRPr="003147BE">
        <w:rPr>
          <w:rFonts w:ascii="Arial" w:hAnsi="Arial" w:cs="Arial"/>
          <w:sz w:val="24"/>
          <w:szCs w:val="28"/>
        </w:rPr>
        <w:t>prioritise the allocation of requests to authorise a deprivation of liberty</w:t>
      </w:r>
      <w:r>
        <w:rPr>
          <w:rFonts w:ascii="Arial" w:hAnsi="Arial" w:cs="Arial"/>
          <w:sz w:val="24"/>
        </w:rPr>
        <w:t xml:space="preserve">, but should be aware of this guidance for information purposes. </w:t>
      </w:r>
    </w:p>
    <w:p w:rsidR="000D7147" w:rsidRPr="000D7147" w:rsidRDefault="000D7147" w:rsidP="006D374D">
      <w:pPr>
        <w:tabs>
          <w:tab w:val="center" w:pos="4513"/>
        </w:tabs>
        <w:jc w:val="both"/>
        <w:rPr>
          <w:rFonts w:ascii="Arial" w:hAnsi="Arial" w:cs="Arial"/>
          <w:sz w:val="24"/>
        </w:rPr>
      </w:pPr>
    </w:p>
    <w:p w:rsidR="008C44CF" w:rsidRDefault="008C44CF" w:rsidP="006D374D">
      <w:pPr>
        <w:jc w:val="both"/>
        <w:rPr>
          <w:rFonts w:ascii="Arial" w:hAnsi="Arial" w:cs="Arial"/>
          <w:b/>
          <w:sz w:val="24"/>
        </w:rPr>
      </w:pPr>
      <w:r w:rsidRPr="008C44CF">
        <w:rPr>
          <w:rFonts w:ascii="Arial" w:hAnsi="Arial" w:cs="Arial"/>
          <w:b/>
          <w:sz w:val="24"/>
        </w:rPr>
        <w:t xml:space="preserve">Key </w:t>
      </w:r>
      <w:r w:rsidR="00D06696">
        <w:rPr>
          <w:rFonts w:ascii="Arial" w:hAnsi="Arial" w:cs="Arial"/>
          <w:b/>
          <w:sz w:val="24"/>
        </w:rPr>
        <w:t>p</w:t>
      </w:r>
      <w:r w:rsidRPr="008C44CF">
        <w:rPr>
          <w:rFonts w:ascii="Arial" w:hAnsi="Arial" w:cs="Arial"/>
          <w:b/>
          <w:sz w:val="24"/>
        </w:rPr>
        <w:t>rinciples</w:t>
      </w:r>
    </w:p>
    <w:p w:rsidR="003147BE" w:rsidRPr="00DB6467" w:rsidRDefault="003147BE" w:rsidP="006D374D">
      <w:pPr>
        <w:jc w:val="both"/>
        <w:rPr>
          <w:rFonts w:ascii="Arial" w:hAnsi="Arial" w:cs="Arial"/>
          <w:sz w:val="24"/>
          <w:szCs w:val="24"/>
        </w:rPr>
      </w:pPr>
      <w:r w:rsidRPr="00DB6467">
        <w:rPr>
          <w:rFonts w:ascii="Arial" w:hAnsi="Arial" w:cs="Arial"/>
          <w:sz w:val="24"/>
          <w:szCs w:val="24"/>
        </w:rPr>
        <w:t>These principles underpin all practice and approaches in managing demand:</w:t>
      </w:r>
    </w:p>
    <w:p w:rsidR="003147BE" w:rsidRPr="00DB6467" w:rsidRDefault="003147BE" w:rsidP="006D374D">
      <w:pPr>
        <w:pStyle w:val="Default"/>
        <w:numPr>
          <w:ilvl w:val="0"/>
          <w:numId w:val="6"/>
        </w:numPr>
        <w:jc w:val="both"/>
      </w:pPr>
      <w:r w:rsidRPr="00DB6467">
        <w:t>We are person centred and take a strengths-based approach</w:t>
      </w:r>
    </w:p>
    <w:p w:rsidR="003147BE" w:rsidRPr="00DB6467" w:rsidRDefault="003147BE" w:rsidP="006D374D">
      <w:pPr>
        <w:pStyle w:val="Default"/>
        <w:ind w:left="720"/>
        <w:jc w:val="both"/>
      </w:pPr>
    </w:p>
    <w:p w:rsidR="003147BE" w:rsidRPr="00DB6467" w:rsidRDefault="003147BE" w:rsidP="006D374D">
      <w:pPr>
        <w:pStyle w:val="Default"/>
        <w:numPr>
          <w:ilvl w:val="0"/>
          <w:numId w:val="6"/>
        </w:numPr>
        <w:jc w:val="both"/>
      </w:pPr>
      <w:r w:rsidRPr="00DB6467">
        <w:t xml:space="preserve">We </w:t>
      </w:r>
      <w:r w:rsidR="00292AB1" w:rsidRPr="00DB6467">
        <w:t>take a curious approach</w:t>
      </w:r>
      <w:r w:rsidRPr="00DB6467">
        <w:t xml:space="preserve"> to </w:t>
      </w:r>
      <w:r w:rsidR="00292AB1" w:rsidRPr="00DB6467">
        <w:t xml:space="preserve">understanding </w:t>
      </w:r>
      <w:r w:rsidRPr="00DB6467">
        <w:t xml:space="preserve">individual needs, circumstances, and risks, including risks to carers and/or others </w:t>
      </w:r>
    </w:p>
    <w:p w:rsidR="003147BE" w:rsidRPr="00DB6467" w:rsidRDefault="003147BE" w:rsidP="006D374D">
      <w:pPr>
        <w:pStyle w:val="Default"/>
        <w:jc w:val="both"/>
      </w:pPr>
    </w:p>
    <w:p w:rsidR="003147BE" w:rsidRPr="00DB6467" w:rsidRDefault="003147BE" w:rsidP="006D374D">
      <w:pPr>
        <w:pStyle w:val="Default"/>
        <w:numPr>
          <w:ilvl w:val="0"/>
          <w:numId w:val="6"/>
        </w:numPr>
        <w:jc w:val="both"/>
      </w:pPr>
      <w:r w:rsidRPr="00DB6467">
        <w:t xml:space="preserve">We are clear about the legal framework we are working to and our duties within it, including the Care Act, Mental Health Act, Mental Capacity Act, Human Rights Act, and Deprivation of Liberty Safeguards (DOLs) </w:t>
      </w:r>
    </w:p>
    <w:p w:rsidR="003147BE" w:rsidRPr="00DB6467" w:rsidRDefault="003147BE" w:rsidP="006D374D">
      <w:pPr>
        <w:pStyle w:val="Default"/>
        <w:jc w:val="both"/>
      </w:pPr>
    </w:p>
    <w:p w:rsidR="003147BE" w:rsidRDefault="003147BE" w:rsidP="006D374D">
      <w:pPr>
        <w:pStyle w:val="Default"/>
        <w:numPr>
          <w:ilvl w:val="0"/>
          <w:numId w:val="6"/>
        </w:numPr>
        <w:jc w:val="both"/>
        <w:rPr>
          <w:sz w:val="23"/>
          <w:szCs w:val="23"/>
        </w:rPr>
      </w:pPr>
      <w:r w:rsidRPr="00DB6467">
        <w:t xml:space="preserve">We consider the significant impact on the person’s wellbeing where there are delays in assessing, supporting, and/or providing care and support and support them to seek </w:t>
      </w:r>
      <w:r w:rsidR="006A5101" w:rsidRPr="00DB6467">
        <w:t xml:space="preserve">interim </w:t>
      </w:r>
      <w:r w:rsidRPr="00DB6467">
        <w:t>solution</w:t>
      </w:r>
      <w:r w:rsidR="006A5101" w:rsidRPr="00DB6467">
        <w:t>s</w:t>
      </w:r>
      <w:r>
        <w:rPr>
          <w:sz w:val="23"/>
          <w:szCs w:val="23"/>
        </w:rPr>
        <w:t xml:space="preserve">. </w:t>
      </w:r>
    </w:p>
    <w:p w:rsidR="00B16D0D" w:rsidRPr="006A5101" w:rsidRDefault="00B16D0D" w:rsidP="006D374D">
      <w:pPr>
        <w:jc w:val="both"/>
        <w:rPr>
          <w:sz w:val="23"/>
          <w:szCs w:val="23"/>
        </w:rPr>
      </w:pPr>
    </w:p>
    <w:p w:rsidR="00B16D0D" w:rsidRDefault="00924775" w:rsidP="006D374D">
      <w:pPr>
        <w:jc w:val="both"/>
        <w:rPr>
          <w:rFonts w:ascii="Arial" w:hAnsi="Arial" w:cs="Arial"/>
          <w:b/>
          <w:sz w:val="24"/>
        </w:rPr>
      </w:pPr>
      <w:r>
        <w:rPr>
          <w:rFonts w:ascii="Arial" w:hAnsi="Arial" w:cs="Arial"/>
          <w:b/>
          <w:sz w:val="24"/>
        </w:rPr>
        <w:t>Using the r</w:t>
      </w:r>
      <w:r w:rsidR="00D06696">
        <w:rPr>
          <w:rFonts w:ascii="Arial" w:hAnsi="Arial" w:cs="Arial"/>
          <w:b/>
          <w:sz w:val="24"/>
        </w:rPr>
        <w:t xml:space="preserve">isk prioritisation </w:t>
      </w:r>
      <w:r>
        <w:rPr>
          <w:rFonts w:ascii="Arial" w:hAnsi="Arial" w:cs="Arial"/>
          <w:b/>
          <w:sz w:val="24"/>
        </w:rPr>
        <w:t>tool</w:t>
      </w:r>
    </w:p>
    <w:p w:rsidR="00543A32" w:rsidRDefault="006A5101" w:rsidP="006D374D">
      <w:pPr>
        <w:jc w:val="both"/>
        <w:rPr>
          <w:rFonts w:ascii="Arial" w:hAnsi="Arial" w:cs="Arial"/>
          <w:sz w:val="24"/>
        </w:rPr>
      </w:pPr>
      <w:r>
        <w:rPr>
          <w:rFonts w:ascii="Arial" w:hAnsi="Arial" w:cs="Arial"/>
          <w:sz w:val="24"/>
        </w:rPr>
        <w:t xml:space="preserve">As each person presents with a unique set of </w:t>
      </w:r>
      <w:r w:rsidR="00494642">
        <w:rPr>
          <w:rFonts w:ascii="Arial" w:hAnsi="Arial" w:cs="Arial"/>
          <w:sz w:val="24"/>
        </w:rPr>
        <w:t>circumstances</w:t>
      </w:r>
      <w:r>
        <w:rPr>
          <w:rFonts w:ascii="Arial" w:hAnsi="Arial" w:cs="Arial"/>
          <w:sz w:val="24"/>
        </w:rPr>
        <w:t xml:space="preserve">, it is neither possible or necessary to commence all assessments at the point of referral and it is important to have a process to prioritise those with the greatest risk. </w:t>
      </w:r>
      <w:r w:rsidR="004B23FE">
        <w:rPr>
          <w:rFonts w:ascii="Arial" w:hAnsi="Arial" w:cs="Arial"/>
          <w:sz w:val="24"/>
        </w:rPr>
        <w:t xml:space="preserve">This guidance provides a </w:t>
      </w:r>
      <w:hyperlink w:anchor="Risk_Tool" w:history="1">
        <w:r w:rsidR="004B23FE" w:rsidRPr="004B23FE">
          <w:rPr>
            <w:rStyle w:val="Hyperlink"/>
            <w:rFonts w:ascii="Arial" w:hAnsi="Arial" w:cs="Arial"/>
            <w:sz w:val="24"/>
          </w:rPr>
          <w:t>Risk and Priority Matrix Tool</w:t>
        </w:r>
      </w:hyperlink>
      <w:r>
        <w:rPr>
          <w:rFonts w:ascii="Arial" w:hAnsi="Arial" w:cs="Arial"/>
          <w:sz w:val="24"/>
        </w:rPr>
        <w:t xml:space="preserve"> which should be utilised </w:t>
      </w:r>
      <w:r w:rsidR="00543A32">
        <w:rPr>
          <w:rFonts w:ascii="Arial" w:hAnsi="Arial" w:cs="Arial"/>
          <w:sz w:val="24"/>
        </w:rPr>
        <w:t xml:space="preserve">to support decision making in relation to managing risk, demand and allocation of work. </w:t>
      </w:r>
    </w:p>
    <w:p w:rsidR="00543A32" w:rsidRPr="00DB6467" w:rsidRDefault="001119F4" w:rsidP="006D374D">
      <w:pPr>
        <w:jc w:val="both"/>
        <w:rPr>
          <w:rFonts w:ascii="Arial" w:hAnsi="Arial" w:cs="Arial"/>
          <w:sz w:val="24"/>
          <w:szCs w:val="24"/>
        </w:rPr>
      </w:pPr>
      <w:r w:rsidRPr="00DB6467">
        <w:rPr>
          <w:rFonts w:ascii="Arial" w:hAnsi="Arial" w:cs="Arial"/>
          <w:sz w:val="24"/>
          <w:szCs w:val="24"/>
        </w:rPr>
        <w:t>Practitioners</w:t>
      </w:r>
      <w:r w:rsidR="00D06696" w:rsidRPr="00DB6467">
        <w:rPr>
          <w:rFonts w:ascii="Arial" w:hAnsi="Arial" w:cs="Arial"/>
          <w:sz w:val="24"/>
          <w:szCs w:val="24"/>
        </w:rPr>
        <w:t xml:space="preserve">, </w:t>
      </w:r>
      <w:r w:rsidRPr="00DB6467">
        <w:rPr>
          <w:rFonts w:ascii="Arial" w:hAnsi="Arial" w:cs="Arial"/>
          <w:sz w:val="24"/>
          <w:szCs w:val="24"/>
        </w:rPr>
        <w:t xml:space="preserve">duty workers </w:t>
      </w:r>
      <w:r w:rsidR="00D06696" w:rsidRPr="00DB6467">
        <w:rPr>
          <w:rFonts w:ascii="Arial" w:hAnsi="Arial" w:cs="Arial"/>
          <w:sz w:val="24"/>
          <w:szCs w:val="24"/>
        </w:rPr>
        <w:t xml:space="preserve">and managers </w:t>
      </w:r>
      <w:r w:rsidRPr="00DB6467">
        <w:rPr>
          <w:rFonts w:ascii="Arial" w:hAnsi="Arial" w:cs="Arial"/>
          <w:sz w:val="24"/>
          <w:szCs w:val="24"/>
        </w:rPr>
        <w:t>should refer to the tool when receiving referrals</w:t>
      </w:r>
      <w:r w:rsidR="00413CE9" w:rsidRPr="00DB6467">
        <w:rPr>
          <w:rFonts w:ascii="Arial" w:hAnsi="Arial" w:cs="Arial"/>
          <w:sz w:val="24"/>
          <w:szCs w:val="24"/>
        </w:rPr>
        <w:t xml:space="preserve">, </w:t>
      </w:r>
      <w:r w:rsidRPr="00DB6467">
        <w:rPr>
          <w:rFonts w:ascii="Arial" w:hAnsi="Arial" w:cs="Arial"/>
          <w:sz w:val="24"/>
          <w:szCs w:val="24"/>
        </w:rPr>
        <w:t>requests for assessments</w:t>
      </w:r>
      <w:r w:rsidR="00413CE9" w:rsidRPr="00DB6467">
        <w:rPr>
          <w:rFonts w:ascii="Arial" w:hAnsi="Arial" w:cs="Arial"/>
          <w:sz w:val="24"/>
          <w:szCs w:val="24"/>
        </w:rPr>
        <w:t xml:space="preserve">, or upon </w:t>
      </w:r>
      <w:r w:rsidR="0016657C">
        <w:rPr>
          <w:rFonts w:ascii="Arial" w:hAnsi="Arial" w:cs="Arial"/>
          <w:sz w:val="24"/>
          <w:szCs w:val="24"/>
        </w:rPr>
        <w:t>establishing</w:t>
      </w:r>
      <w:r w:rsidR="00413CE9" w:rsidRPr="00DB6467">
        <w:rPr>
          <w:rFonts w:ascii="Arial" w:hAnsi="Arial" w:cs="Arial"/>
          <w:sz w:val="24"/>
          <w:szCs w:val="24"/>
        </w:rPr>
        <w:t xml:space="preserve"> new information about a person waiting for an assessment</w:t>
      </w:r>
      <w:r w:rsidRPr="00DB6467">
        <w:rPr>
          <w:rFonts w:ascii="Arial" w:hAnsi="Arial" w:cs="Arial"/>
          <w:sz w:val="24"/>
          <w:szCs w:val="24"/>
        </w:rPr>
        <w:t xml:space="preserve">. </w:t>
      </w:r>
      <w:r w:rsidR="00D06696" w:rsidRPr="00DB6467">
        <w:rPr>
          <w:rFonts w:ascii="Arial" w:hAnsi="Arial" w:cs="Arial"/>
          <w:sz w:val="24"/>
          <w:szCs w:val="24"/>
        </w:rPr>
        <w:t xml:space="preserve">The tool is intended to be used as a guide and calls upon the skills, knowledge and judgement of those applying the priority to each </w:t>
      </w:r>
      <w:r w:rsidR="00D06696" w:rsidRPr="00DB6467">
        <w:rPr>
          <w:rFonts w:ascii="Arial" w:hAnsi="Arial" w:cs="Arial"/>
          <w:sz w:val="24"/>
          <w:szCs w:val="24"/>
        </w:rPr>
        <w:lastRenderedPageBreak/>
        <w:t xml:space="preserve">person. Decisions must be person centred for individual people and not made as blanket decisions. The unique circumstances of the person will determine the priority level applied. Practitioners and duty workers should speak to their duty manager to discuss where they have concerns.  </w:t>
      </w:r>
    </w:p>
    <w:p w:rsidR="00494642" w:rsidRPr="006D374D" w:rsidRDefault="00494642" w:rsidP="006D374D">
      <w:pPr>
        <w:jc w:val="both"/>
        <w:rPr>
          <w:rFonts w:ascii="Arial" w:hAnsi="Arial" w:cs="Arial"/>
          <w:b/>
          <w:sz w:val="24"/>
          <w:u w:val="single"/>
        </w:rPr>
      </w:pPr>
      <w:r w:rsidRPr="006D374D">
        <w:rPr>
          <w:rFonts w:ascii="Arial" w:hAnsi="Arial" w:cs="Arial"/>
          <w:b/>
          <w:sz w:val="24"/>
          <w:u w:val="single"/>
        </w:rPr>
        <w:t>Priority ratings</w:t>
      </w:r>
      <w:r w:rsidR="00BF4AE4" w:rsidRPr="006D374D">
        <w:rPr>
          <w:rFonts w:ascii="Arial" w:hAnsi="Arial" w:cs="Arial"/>
          <w:b/>
          <w:sz w:val="24"/>
          <w:u w:val="single"/>
        </w:rPr>
        <w:t xml:space="preserve">, response and </w:t>
      </w:r>
      <w:r w:rsidR="00F65A80" w:rsidRPr="006D374D">
        <w:rPr>
          <w:rFonts w:ascii="Arial" w:hAnsi="Arial" w:cs="Arial"/>
          <w:b/>
          <w:sz w:val="24"/>
          <w:u w:val="single"/>
        </w:rPr>
        <w:t>allocation</w:t>
      </w:r>
      <w:r w:rsidRPr="006D374D">
        <w:rPr>
          <w:rFonts w:ascii="Arial" w:hAnsi="Arial" w:cs="Arial"/>
          <w:b/>
          <w:sz w:val="24"/>
          <w:u w:val="single"/>
        </w:rPr>
        <w:t>:</w:t>
      </w:r>
    </w:p>
    <w:p w:rsidR="001119F4" w:rsidRPr="001119F4" w:rsidRDefault="001119F4" w:rsidP="006D374D">
      <w:pPr>
        <w:jc w:val="both"/>
        <w:rPr>
          <w:rFonts w:ascii="Arial" w:hAnsi="Arial" w:cs="Arial"/>
          <w:sz w:val="24"/>
        </w:rPr>
      </w:pPr>
      <w:r>
        <w:rPr>
          <w:rFonts w:ascii="Arial" w:hAnsi="Arial" w:cs="Arial"/>
          <w:sz w:val="24"/>
        </w:rPr>
        <w:t>The priority ratings have been aligned to the in-built priority rating systems within Liquidlogic to determine how urgent a referral is:</w:t>
      </w:r>
    </w:p>
    <w:p w:rsidR="00494642" w:rsidRPr="00494642" w:rsidRDefault="00494642" w:rsidP="006D374D">
      <w:pPr>
        <w:jc w:val="both"/>
        <w:rPr>
          <w:rFonts w:ascii="Arial" w:hAnsi="Arial" w:cs="Arial"/>
          <w:sz w:val="24"/>
        </w:rPr>
      </w:pPr>
      <w:r w:rsidRPr="00911E6A">
        <w:rPr>
          <w:rFonts w:ascii="Arial" w:hAnsi="Arial" w:cs="Arial"/>
          <w:b/>
          <w:sz w:val="24"/>
        </w:rPr>
        <w:t>High</w:t>
      </w:r>
      <w:r w:rsidR="001F49A8" w:rsidRPr="00911E6A">
        <w:rPr>
          <w:rFonts w:ascii="Arial" w:hAnsi="Arial" w:cs="Arial"/>
          <w:b/>
          <w:sz w:val="24"/>
        </w:rPr>
        <w:t>/Red</w:t>
      </w:r>
      <w:r w:rsidR="001F49A8">
        <w:rPr>
          <w:rFonts w:ascii="Arial" w:hAnsi="Arial" w:cs="Arial"/>
          <w:sz w:val="24"/>
        </w:rPr>
        <w:t xml:space="preserve"> </w:t>
      </w:r>
      <w:r>
        <w:rPr>
          <w:rFonts w:ascii="Arial" w:hAnsi="Arial" w:cs="Arial"/>
          <w:sz w:val="24"/>
        </w:rPr>
        <w:t xml:space="preserve">– </w:t>
      </w:r>
      <w:r w:rsidR="006C79B9">
        <w:rPr>
          <w:rFonts w:ascii="Arial" w:hAnsi="Arial" w:cs="Arial"/>
          <w:sz w:val="24"/>
        </w:rPr>
        <w:t>c</w:t>
      </w:r>
      <w:r>
        <w:rPr>
          <w:rFonts w:ascii="Arial" w:hAnsi="Arial" w:cs="Arial"/>
          <w:sz w:val="24"/>
        </w:rPr>
        <w:t>ritical risk where serious harm</w:t>
      </w:r>
      <w:r w:rsidR="00DB6467">
        <w:rPr>
          <w:rFonts w:ascii="Arial" w:hAnsi="Arial" w:cs="Arial"/>
          <w:sz w:val="24"/>
        </w:rPr>
        <w:t xml:space="preserve"> has occurred or is likely to</w:t>
      </w:r>
      <w:r w:rsidR="00BF4AE4">
        <w:rPr>
          <w:rFonts w:ascii="Arial" w:hAnsi="Arial" w:cs="Arial"/>
          <w:sz w:val="24"/>
        </w:rPr>
        <w:t xml:space="preserve"> / </w:t>
      </w:r>
      <w:r>
        <w:rPr>
          <w:rFonts w:ascii="Arial" w:hAnsi="Arial" w:cs="Arial"/>
          <w:sz w:val="24"/>
        </w:rPr>
        <w:t>loss of life may occur</w:t>
      </w:r>
      <w:r w:rsidR="00672C09">
        <w:rPr>
          <w:rFonts w:ascii="Arial" w:hAnsi="Arial" w:cs="Arial"/>
          <w:sz w:val="24"/>
        </w:rPr>
        <w:t xml:space="preserve"> (same day </w:t>
      </w:r>
      <w:r w:rsidR="00DB6467">
        <w:rPr>
          <w:rFonts w:ascii="Arial" w:hAnsi="Arial" w:cs="Arial"/>
          <w:sz w:val="24"/>
        </w:rPr>
        <w:t xml:space="preserve">urgent </w:t>
      </w:r>
      <w:r w:rsidR="00672C09">
        <w:rPr>
          <w:rFonts w:ascii="Arial" w:hAnsi="Arial" w:cs="Arial"/>
          <w:sz w:val="24"/>
        </w:rPr>
        <w:t>response required</w:t>
      </w:r>
      <w:r w:rsidR="000D7147">
        <w:rPr>
          <w:rFonts w:ascii="Arial" w:hAnsi="Arial" w:cs="Arial"/>
          <w:sz w:val="24"/>
        </w:rPr>
        <w:t xml:space="preserve"> and</w:t>
      </w:r>
      <w:r w:rsidR="001F49A8">
        <w:rPr>
          <w:rFonts w:ascii="Arial" w:hAnsi="Arial" w:cs="Arial"/>
          <w:sz w:val="24"/>
        </w:rPr>
        <w:t xml:space="preserve"> continued daily </w:t>
      </w:r>
      <w:r w:rsidR="00DB6467">
        <w:rPr>
          <w:rFonts w:ascii="Arial" w:hAnsi="Arial" w:cs="Arial"/>
          <w:sz w:val="24"/>
        </w:rPr>
        <w:t xml:space="preserve">review by duty </w:t>
      </w:r>
      <w:r w:rsidR="001F49A8">
        <w:rPr>
          <w:rFonts w:ascii="Arial" w:hAnsi="Arial" w:cs="Arial"/>
          <w:sz w:val="24"/>
        </w:rPr>
        <w:t xml:space="preserve"> until allocated unless risk mitigated to </w:t>
      </w:r>
      <w:r w:rsidR="00DB6467">
        <w:rPr>
          <w:rFonts w:ascii="Arial" w:hAnsi="Arial" w:cs="Arial"/>
          <w:sz w:val="24"/>
        </w:rPr>
        <w:t>normal/</w:t>
      </w:r>
      <w:r w:rsidR="001F49A8">
        <w:rPr>
          <w:rFonts w:ascii="Arial" w:hAnsi="Arial" w:cs="Arial"/>
          <w:sz w:val="24"/>
        </w:rPr>
        <w:t>amber</w:t>
      </w:r>
      <w:r w:rsidR="00DB6467">
        <w:rPr>
          <w:rFonts w:ascii="Arial" w:hAnsi="Arial" w:cs="Arial"/>
          <w:sz w:val="24"/>
        </w:rPr>
        <w:t xml:space="preserve"> or low/</w:t>
      </w:r>
      <w:r w:rsidR="001F49A8">
        <w:rPr>
          <w:rFonts w:ascii="Arial" w:hAnsi="Arial" w:cs="Arial"/>
          <w:sz w:val="24"/>
        </w:rPr>
        <w:t>green)</w:t>
      </w:r>
    </w:p>
    <w:p w:rsidR="00494642" w:rsidRPr="00494642" w:rsidRDefault="00494642" w:rsidP="006D374D">
      <w:pPr>
        <w:jc w:val="both"/>
        <w:rPr>
          <w:rFonts w:ascii="Arial" w:hAnsi="Arial" w:cs="Arial"/>
          <w:b/>
          <w:sz w:val="24"/>
        </w:rPr>
      </w:pPr>
      <w:r w:rsidRPr="00911E6A">
        <w:rPr>
          <w:rFonts w:ascii="Arial" w:hAnsi="Arial" w:cs="Arial"/>
          <w:b/>
          <w:sz w:val="24"/>
        </w:rPr>
        <w:t>Normal</w:t>
      </w:r>
      <w:r w:rsidR="001F49A8" w:rsidRPr="00911E6A">
        <w:rPr>
          <w:rFonts w:ascii="Arial" w:hAnsi="Arial" w:cs="Arial"/>
          <w:b/>
          <w:sz w:val="24"/>
        </w:rPr>
        <w:t>/Amber</w:t>
      </w:r>
      <w:r>
        <w:rPr>
          <w:rFonts w:ascii="Arial" w:hAnsi="Arial" w:cs="Arial"/>
          <w:sz w:val="24"/>
        </w:rPr>
        <w:t xml:space="preserve">– </w:t>
      </w:r>
      <w:r w:rsidR="006C79B9">
        <w:rPr>
          <w:rFonts w:ascii="Arial" w:hAnsi="Arial" w:cs="Arial"/>
          <w:sz w:val="24"/>
        </w:rPr>
        <w:t>s</w:t>
      </w:r>
      <w:r w:rsidRPr="00494642">
        <w:rPr>
          <w:rFonts w:ascii="Arial" w:hAnsi="Arial" w:cs="Arial"/>
          <w:sz w:val="24"/>
        </w:rPr>
        <w:t>ubstantial risk where harm may occur now or in the near future</w:t>
      </w:r>
      <w:r w:rsidR="00672C09">
        <w:rPr>
          <w:rFonts w:ascii="Arial" w:hAnsi="Arial" w:cs="Arial"/>
          <w:sz w:val="24"/>
        </w:rPr>
        <w:t xml:space="preserve"> (</w:t>
      </w:r>
      <w:r w:rsidR="00F65A80">
        <w:rPr>
          <w:rFonts w:ascii="Arial" w:hAnsi="Arial" w:cs="Arial"/>
          <w:sz w:val="24"/>
        </w:rPr>
        <w:t xml:space="preserve">allocation </w:t>
      </w:r>
      <w:r w:rsidR="00543A32">
        <w:rPr>
          <w:rFonts w:ascii="Arial" w:hAnsi="Arial" w:cs="Arial"/>
          <w:sz w:val="24"/>
        </w:rPr>
        <w:t xml:space="preserve">within </w:t>
      </w:r>
      <w:r w:rsidR="000D7147">
        <w:rPr>
          <w:rFonts w:ascii="Arial" w:hAnsi="Arial" w:cs="Arial"/>
          <w:sz w:val="24"/>
        </w:rPr>
        <w:t>6 weeks</w:t>
      </w:r>
      <w:r w:rsidR="00672C09">
        <w:rPr>
          <w:rFonts w:ascii="Arial" w:hAnsi="Arial" w:cs="Arial"/>
          <w:sz w:val="24"/>
        </w:rPr>
        <w:t>)</w:t>
      </w:r>
    </w:p>
    <w:p w:rsidR="00D06696" w:rsidRDefault="00494642" w:rsidP="006D374D">
      <w:pPr>
        <w:jc w:val="both"/>
        <w:rPr>
          <w:rFonts w:ascii="Arial" w:hAnsi="Arial" w:cs="Arial"/>
          <w:sz w:val="24"/>
        </w:rPr>
      </w:pPr>
      <w:r w:rsidRPr="00911E6A">
        <w:rPr>
          <w:rFonts w:ascii="Arial" w:hAnsi="Arial" w:cs="Arial"/>
          <w:b/>
          <w:sz w:val="24"/>
        </w:rPr>
        <w:t>Low</w:t>
      </w:r>
      <w:r w:rsidR="001F49A8" w:rsidRPr="00911E6A">
        <w:rPr>
          <w:rFonts w:ascii="Arial" w:hAnsi="Arial" w:cs="Arial"/>
          <w:b/>
          <w:sz w:val="24"/>
        </w:rPr>
        <w:t>/Green</w:t>
      </w:r>
      <w:r>
        <w:rPr>
          <w:rFonts w:ascii="Arial" w:hAnsi="Arial" w:cs="Arial"/>
          <w:sz w:val="24"/>
        </w:rPr>
        <w:t xml:space="preserve"> – </w:t>
      </w:r>
      <w:r w:rsidR="006C79B9">
        <w:rPr>
          <w:rFonts w:ascii="Arial" w:hAnsi="Arial" w:cs="Arial"/>
          <w:sz w:val="24"/>
        </w:rPr>
        <w:t>l</w:t>
      </w:r>
      <w:r>
        <w:rPr>
          <w:rFonts w:ascii="Arial" w:hAnsi="Arial" w:cs="Arial"/>
          <w:sz w:val="24"/>
        </w:rPr>
        <w:t>ow to moderate risks identified where harm may occur if action is not taken in the longer term and where a person quality of life may be affected if needs are not met</w:t>
      </w:r>
      <w:r w:rsidR="00672C09">
        <w:rPr>
          <w:rFonts w:ascii="Arial" w:hAnsi="Arial" w:cs="Arial"/>
          <w:sz w:val="24"/>
        </w:rPr>
        <w:t xml:space="preserve"> (</w:t>
      </w:r>
      <w:r w:rsidR="00F65A80">
        <w:rPr>
          <w:rFonts w:ascii="Arial" w:hAnsi="Arial" w:cs="Arial"/>
          <w:sz w:val="24"/>
        </w:rPr>
        <w:t xml:space="preserve">allocation </w:t>
      </w:r>
      <w:r w:rsidR="00543A32">
        <w:rPr>
          <w:rFonts w:ascii="Arial" w:hAnsi="Arial" w:cs="Arial"/>
          <w:sz w:val="24"/>
        </w:rPr>
        <w:t>within 3 months</w:t>
      </w:r>
      <w:r w:rsidR="00672C09">
        <w:rPr>
          <w:rFonts w:ascii="Arial" w:hAnsi="Arial" w:cs="Arial"/>
          <w:sz w:val="24"/>
        </w:rPr>
        <w:t>)</w:t>
      </w:r>
    </w:p>
    <w:p w:rsidR="00D06696" w:rsidRPr="00D06696" w:rsidRDefault="00D06696" w:rsidP="006D374D">
      <w:pPr>
        <w:jc w:val="both"/>
        <w:rPr>
          <w:rFonts w:ascii="Arial" w:hAnsi="Arial" w:cs="Arial"/>
          <w:sz w:val="23"/>
          <w:szCs w:val="23"/>
        </w:rPr>
      </w:pPr>
      <w:r>
        <w:rPr>
          <w:rFonts w:ascii="Arial" w:hAnsi="Arial" w:cs="Arial"/>
          <w:sz w:val="24"/>
        </w:rPr>
        <w:t>Managers can use the priority rating and the time someone has been waiting to determine when people should be allocated to a practitioner.</w:t>
      </w:r>
      <w:r w:rsidRPr="00D06696">
        <w:rPr>
          <w:rFonts w:ascii="Arial" w:hAnsi="Arial" w:cs="Arial"/>
          <w:sz w:val="23"/>
          <w:szCs w:val="23"/>
        </w:rPr>
        <w:t xml:space="preserve"> </w:t>
      </w:r>
    </w:p>
    <w:p w:rsidR="00B16D0D" w:rsidRDefault="00157B1D" w:rsidP="006D374D">
      <w:pPr>
        <w:jc w:val="both"/>
        <w:rPr>
          <w:rFonts w:ascii="Arial" w:hAnsi="Arial" w:cs="Arial"/>
          <w:sz w:val="24"/>
        </w:rPr>
      </w:pPr>
      <w:r>
        <w:rPr>
          <w:rFonts w:ascii="Arial" w:hAnsi="Arial" w:cs="Arial"/>
          <w:sz w:val="24"/>
        </w:rPr>
        <w:t>T</w:t>
      </w:r>
      <w:r w:rsidR="006A5101">
        <w:rPr>
          <w:rFonts w:ascii="Arial" w:hAnsi="Arial" w:cs="Arial"/>
          <w:sz w:val="24"/>
        </w:rPr>
        <w:t xml:space="preserve">he Care Act </w:t>
      </w:r>
      <w:r w:rsidR="00DB6467">
        <w:rPr>
          <w:rFonts w:ascii="Arial" w:hAnsi="Arial" w:cs="Arial"/>
          <w:sz w:val="24"/>
        </w:rPr>
        <w:t xml:space="preserve">2014 </w:t>
      </w:r>
      <w:r w:rsidR="006A5101">
        <w:rPr>
          <w:rFonts w:ascii="Arial" w:hAnsi="Arial" w:cs="Arial"/>
          <w:sz w:val="24"/>
        </w:rPr>
        <w:t xml:space="preserve">provides local authorities with the powers to meet </w:t>
      </w:r>
      <w:r>
        <w:rPr>
          <w:rFonts w:ascii="Arial" w:hAnsi="Arial" w:cs="Arial"/>
          <w:sz w:val="24"/>
        </w:rPr>
        <w:t>high</w:t>
      </w:r>
      <w:r w:rsidR="00DB6467">
        <w:rPr>
          <w:rFonts w:ascii="Arial" w:hAnsi="Arial" w:cs="Arial"/>
          <w:sz w:val="24"/>
        </w:rPr>
        <w:t>/red</w:t>
      </w:r>
      <w:r w:rsidR="00D06696">
        <w:rPr>
          <w:rFonts w:ascii="Arial" w:hAnsi="Arial" w:cs="Arial"/>
          <w:sz w:val="24"/>
        </w:rPr>
        <w:t xml:space="preserve"> </w:t>
      </w:r>
      <w:r w:rsidR="006A5101">
        <w:rPr>
          <w:rFonts w:ascii="Arial" w:hAnsi="Arial" w:cs="Arial"/>
          <w:sz w:val="24"/>
        </w:rPr>
        <w:t xml:space="preserve">needs requiring immediate response where they have not completed an assessment. Following the initial response, the person should be informed that a more detailed needs assessment will follow. Once the </w:t>
      </w:r>
      <w:r w:rsidR="00D06696">
        <w:rPr>
          <w:rFonts w:ascii="Arial" w:hAnsi="Arial" w:cs="Arial"/>
          <w:sz w:val="24"/>
        </w:rPr>
        <w:t>high</w:t>
      </w:r>
      <w:r w:rsidR="00DB6467">
        <w:rPr>
          <w:rFonts w:ascii="Arial" w:hAnsi="Arial" w:cs="Arial"/>
          <w:sz w:val="24"/>
        </w:rPr>
        <w:t>/red</w:t>
      </w:r>
      <w:r w:rsidR="006A5101">
        <w:rPr>
          <w:rFonts w:ascii="Arial" w:hAnsi="Arial" w:cs="Arial"/>
          <w:sz w:val="24"/>
        </w:rPr>
        <w:t xml:space="preserve"> needs are met, matter</w:t>
      </w:r>
      <w:r w:rsidR="00DB6467">
        <w:rPr>
          <w:rFonts w:ascii="Arial" w:hAnsi="Arial" w:cs="Arial"/>
          <w:sz w:val="24"/>
        </w:rPr>
        <w:t>s</w:t>
      </w:r>
      <w:r w:rsidR="006A5101">
        <w:rPr>
          <w:rFonts w:ascii="Arial" w:hAnsi="Arial" w:cs="Arial"/>
          <w:sz w:val="24"/>
        </w:rPr>
        <w:t xml:space="preserve"> such as ordinary residence and finances can then be considered. Practitioners</w:t>
      </w:r>
      <w:r w:rsidR="00D06696">
        <w:rPr>
          <w:rFonts w:ascii="Arial" w:hAnsi="Arial" w:cs="Arial"/>
          <w:sz w:val="24"/>
        </w:rPr>
        <w:t xml:space="preserve"> and </w:t>
      </w:r>
      <w:r w:rsidR="006A5101">
        <w:rPr>
          <w:rFonts w:ascii="Arial" w:hAnsi="Arial" w:cs="Arial"/>
          <w:sz w:val="24"/>
        </w:rPr>
        <w:t xml:space="preserve">duty workers should liaise with their manager or duty manager in these circumstances. </w:t>
      </w:r>
    </w:p>
    <w:p w:rsidR="007A4794" w:rsidRDefault="007A4794" w:rsidP="006D374D">
      <w:pPr>
        <w:jc w:val="both"/>
        <w:rPr>
          <w:rFonts w:ascii="Arial" w:hAnsi="Arial" w:cs="Arial"/>
          <w:b/>
          <w:sz w:val="24"/>
        </w:rPr>
      </w:pPr>
    </w:p>
    <w:p w:rsidR="00CF36E5" w:rsidRDefault="00CF36E5" w:rsidP="006D374D">
      <w:pPr>
        <w:jc w:val="both"/>
        <w:rPr>
          <w:rFonts w:ascii="Arial" w:hAnsi="Arial" w:cs="Arial"/>
          <w:b/>
          <w:sz w:val="24"/>
        </w:rPr>
      </w:pPr>
      <w:r w:rsidRPr="00B16D0D">
        <w:rPr>
          <w:rFonts w:ascii="Arial" w:hAnsi="Arial" w:cs="Arial"/>
          <w:b/>
          <w:sz w:val="24"/>
        </w:rPr>
        <w:t xml:space="preserve">Support for people </w:t>
      </w:r>
      <w:r>
        <w:rPr>
          <w:rFonts w:ascii="Arial" w:hAnsi="Arial" w:cs="Arial"/>
          <w:b/>
          <w:sz w:val="24"/>
        </w:rPr>
        <w:t xml:space="preserve">who are </w:t>
      </w:r>
      <w:r w:rsidRPr="00B16D0D">
        <w:rPr>
          <w:rFonts w:ascii="Arial" w:hAnsi="Arial" w:cs="Arial"/>
          <w:b/>
          <w:sz w:val="24"/>
        </w:rPr>
        <w:t xml:space="preserve">waiting </w:t>
      </w:r>
      <w:r w:rsidR="002A03F9">
        <w:rPr>
          <w:rFonts w:ascii="Arial" w:hAnsi="Arial" w:cs="Arial"/>
          <w:b/>
          <w:sz w:val="24"/>
        </w:rPr>
        <w:t xml:space="preserve">– signposting </w:t>
      </w:r>
    </w:p>
    <w:p w:rsidR="00413CE9" w:rsidRDefault="00077C98" w:rsidP="006D374D">
      <w:pPr>
        <w:jc w:val="both"/>
        <w:rPr>
          <w:rFonts w:ascii="Arial" w:hAnsi="Arial" w:cs="Arial"/>
          <w:sz w:val="24"/>
        </w:rPr>
      </w:pPr>
      <w:r>
        <w:rPr>
          <w:rFonts w:ascii="Arial" w:hAnsi="Arial" w:cs="Arial"/>
          <w:sz w:val="24"/>
        </w:rPr>
        <w:t xml:space="preserve">All efforts </w:t>
      </w:r>
      <w:r w:rsidR="001F0072">
        <w:rPr>
          <w:rFonts w:ascii="Arial" w:hAnsi="Arial" w:cs="Arial"/>
          <w:sz w:val="24"/>
        </w:rPr>
        <w:t>must</w:t>
      </w:r>
      <w:r w:rsidR="00E3428B">
        <w:rPr>
          <w:rFonts w:ascii="Arial" w:hAnsi="Arial" w:cs="Arial"/>
          <w:sz w:val="24"/>
        </w:rPr>
        <w:t xml:space="preserve"> be made at point of receiving </w:t>
      </w:r>
      <w:r w:rsidR="001F0072">
        <w:rPr>
          <w:rFonts w:ascii="Arial" w:hAnsi="Arial" w:cs="Arial"/>
          <w:sz w:val="24"/>
        </w:rPr>
        <w:t xml:space="preserve">a </w:t>
      </w:r>
      <w:r w:rsidR="00E3428B">
        <w:rPr>
          <w:rFonts w:ascii="Arial" w:hAnsi="Arial" w:cs="Arial"/>
          <w:sz w:val="24"/>
        </w:rPr>
        <w:t>referral or on duty to reduce the risk priority level in accordance with our legal duties under section 2 of the Care Act</w:t>
      </w:r>
      <w:r w:rsidR="00DB6467">
        <w:rPr>
          <w:rFonts w:ascii="Arial" w:hAnsi="Arial" w:cs="Arial"/>
          <w:sz w:val="24"/>
        </w:rPr>
        <w:t xml:space="preserve"> to prevent and delay needs</w:t>
      </w:r>
      <w:r w:rsidR="00E3428B">
        <w:rPr>
          <w:rFonts w:ascii="Arial" w:hAnsi="Arial" w:cs="Arial"/>
          <w:sz w:val="24"/>
        </w:rPr>
        <w:t xml:space="preserve">. </w:t>
      </w:r>
      <w:r w:rsidR="001F0072">
        <w:rPr>
          <w:rFonts w:ascii="Arial" w:hAnsi="Arial" w:cs="Arial"/>
          <w:sz w:val="24"/>
        </w:rPr>
        <w:t xml:space="preserve">This means taking a proactive and strengths-based approach to support people who are waiting allocation through signposting to other agencies and providing information and advice. </w:t>
      </w:r>
      <w:r w:rsidR="00DB6467">
        <w:rPr>
          <w:rFonts w:ascii="Arial" w:hAnsi="Arial" w:cs="Arial"/>
          <w:sz w:val="24"/>
        </w:rPr>
        <w:t>All steps taken</w:t>
      </w:r>
      <w:r w:rsidR="00E3428B">
        <w:rPr>
          <w:rFonts w:ascii="Arial" w:hAnsi="Arial" w:cs="Arial"/>
          <w:sz w:val="24"/>
        </w:rPr>
        <w:t xml:space="preserve"> </w:t>
      </w:r>
      <w:r w:rsidR="00DB6467">
        <w:rPr>
          <w:rFonts w:ascii="Arial" w:hAnsi="Arial" w:cs="Arial"/>
          <w:sz w:val="24"/>
        </w:rPr>
        <w:t xml:space="preserve">must </w:t>
      </w:r>
      <w:r w:rsidR="00E3428B">
        <w:rPr>
          <w:rFonts w:ascii="Arial" w:hAnsi="Arial" w:cs="Arial"/>
          <w:sz w:val="24"/>
        </w:rPr>
        <w:t>be clearly recorded on Liqui</w:t>
      </w:r>
      <w:r w:rsidR="006C79B9">
        <w:rPr>
          <w:rFonts w:ascii="Arial" w:hAnsi="Arial" w:cs="Arial"/>
          <w:sz w:val="24"/>
        </w:rPr>
        <w:t>d</w:t>
      </w:r>
      <w:r w:rsidR="00E3428B">
        <w:rPr>
          <w:rFonts w:ascii="Arial" w:hAnsi="Arial" w:cs="Arial"/>
          <w:sz w:val="24"/>
        </w:rPr>
        <w:t xml:space="preserve">logic. </w:t>
      </w:r>
    </w:p>
    <w:p w:rsidR="00E3428B" w:rsidRDefault="001F0072" w:rsidP="006D374D">
      <w:pPr>
        <w:jc w:val="both"/>
        <w:rPr>
          <w:rFonts w:ascii="Arial" w:hAnsi="Arial" w:cs="Arial"/>
          <w:sz w:val="24"/>
        </w:rPr>
      </w:pPr>
      <w:r>
        <w:rPr>
          <w:rFonts w:ascii="Arial" w:hAnsi="Arial" w:cs="Arial"/>
          <w:sz w:val="24"/>
        </w:rPr>
        <w:t xml:space="preserve">Organisations to signpost/refer to </w:t>
      </w:r>
      <w:r w:rsidR="008F59F6">
        <w:rPr>
          <w:rFonts w:ascii="Arial" w:hAnsi="Arial" w:cs="Arial"/>
          <w:sz w:val="24"/>
        </w:rPr>
        <w:t>(this is not an exhaustive list)</w:t>
      </w:r>
      <w:r w:rsidR="00E3428B">
        <w:rPr>
          <w:rFonts w:ascii="Arial" w:hAnsi="Arial" w:cs="Arial"/>
          <w:sz w:val="24"/>
        </w:rPr>
        <w:t>:</w:t>
      </w:r>
    </w:p>
    <w:p w:rsidR="00E3428B" w:rsidRDefault="008F59F6" w:rsidP="006D374D">
      <w:pPr>
        <w:pStyle w:val="ListParagraph"/>
        <w:numPr>
          <w:ilvl w:val="0"/>
          <w:numId w:val="24"/>
        </w:numPr>
        <w:jc w:val="both"/>
        <w:rPr>
          <w:rFonts w:ascii="Arial" w:hAnsi="Arial" w:cs="Arial"/>
          <w:sz w:val="24"/>
        </w:rPr>
      </w:pPr>
      <w:r>
        <w:rPr>
          <w:rFonts w:ascii="Arial" w:hAnsi="Arial" w:cs="Arial"/>
          <w:sz w:val="24"/>
        </w:rPr>
        <w:t>C</w:t>
      </w:r>
      <w:r w:rsidR="00E3428B" w:rsidRPr="008F59F6">
        <w:rPr>
          <w:rFonts w:ascii="Arial" w:hAnsi="Arial" w:cs="Arial"/>
          <w:sz w:val="24"/>
        </w:rPr>
        <w:t>ommunity and voluntary organisations</w:t>
      </w:r>
      <w:r w:rsidR="004D2BA1" w:rsidRPr="008F59F6">
        <w:rPr>
          <w:rFonts w:ascii="Arial" w:hAnsi="Arial" w:cs="Arial"/>
          <w:sz w:val="24"/>
        </w:rPr>
        <w:t xml:space="preserve"> (</w:t>
      </w:r>
      <w:hyperlink r:id="rId9" w:history="1">
        <w:r w:rsidR="00DB6467" w:rsidRPr="008F59F6">
          <w:rPr>
            <w:rStyle w:val="Hyperlink"/>
            <w:rFonts w:ascii="Arial" w:hAnsi="Arial" w:cs="Arial"/>
            <w:sz w:val="24"/>
          </w:rPr>
          <w:t>Local Offer</w:t>
        </w:r>
      </w:hyperlink>
      <w:r w:rsidR="00F16E56">
        <w:rPr>
          <w:rFonts w:ascii="Arial" w:hAnsi="Arial" w:cs="Arial"/>
          <w:sz w:val="24"/>
        </w:rPr>
        <w:t>)</w:t>
      </w:r>
    </w:p>
    <w:p w:rsidR="00F16E56" w:rsidRDefault="00F16E56" w:rsidP="006D374D">
      <w:pPr>
        <w:pStyle w:val="ListParagraph"/>
        <w:numPr>
          <w:ilvl w:val="0"/>
          <w:numId w:val="24"/>
        </w:numPr>
        <w:jc w:val="both"/>
        <w:rPr>
          <w:rFonts w:ascii="Arial" w:hAnsi="Arial" w:cs="Arial"/>
          <w:sz w:val="24"/>
        </w:rPr>
      </w:pPr>
      <w:r>
        <w:rPr>
          <w:rFonts w:ascii="Arial" w:hAnsi="Arial" w:cs="Arial"/>
          <w:sz w:val="24"/>
        </w:rPr>
        <w:t>Community health services e.g. rehab, district nurses, GP, falls service via rehab team</w:t>
      </w:r>
      <w:r w:rsidR="001930A5">
        <w:rPr>
          <w:rFonts w:ascii="Arial" w:hAnsi="Arial" w:cs="Arial"/>
          <w:sz w:val="24"/>
        </w:rPr>
        <w:t>/GP</w:t>
      </w:r>
    </w:p>
    <w:p w:rsidR="00F16E56" w:rsidRPr="00F16E56" w:rsidRDefault="00F16E56" w:rsidP="00F16E56">
      <w:pPr>
        <w:pStyle w:val="ListParagraph"/>
        <w:numPr>
          <w:ilvl w:val="0"/>
          <w:numId w:val="24"/>
        </w:numPr>
        <w:jc w:val="both"/>
        <w:rPr>
          <w:rFonts w:ascii="Arial" w:hAnsi="Arial" w:cs="Arial"/>
          <w:sz w:val="24"/>
        </w:rPr>
      </w:pPr>
      <w:r>
        <w:rPr>
          <w:rFonts w:ascii="Arial" w:hAnsi="Arial" w:cs="Arial"/>
          <w:sz w:val="24"/>
        </w:rPr>
        <w:t>Trusted assessors for equipment (occupational therapy service)</w:t>
      </w:r>
    </w:p>
    <w:p w:rsidR="00E3428B" w:rsidRPr="008F59F6" w:rsidRDefault="00E3428B" w:rsidP="006D374D">
      <w:pPr>
        <w:pStyle w:val="ListParagraph"/>
        <w:numPr>
          <w:ilvl w:val="0"/>
          <w:numId w:val="24"/>
        </w:numPr>
        <w:jc w:val="both"/>
        <w:rPr>
          <w:rFonts w:ascii="Arial" w:hAnsi="Arial" w:cs="Arial"/>
          <w:sz w:val="24"/>
        </w:rPr>
      </w:pPr>
      <w:r w:rsidRPr="008F59F6">
        <w:rPr>
          <w:rFonts w:ascii="Arial" w:hAnsi="Arial" w:cs="Arial"/>
          <w:sz w:val="24"/>
        </w:rPr>
        <w:t>Live Well Hub</w:t>
      </w:r>
    </w:p>
    <w:p w:rsidR="008F59F6" w:rsidRDefault="004D2BA1" w:rsidP="006D374D">
      <w:pPr>
        <w:pStyle w:val="ListParagraph"/>
        <w:numPr>
          <w:ilvl w:val="0"/>
          <w:numId w:val="24"/>
        </w:numPr>
        <w:jc w:val="both"/>
        <w:rPr>
          <w:rFonts w:ascii="Arial" w:hAnsi="Arial" w:cs="Arial"/>
          <w:sz w:val="24"/>
        </w:rPr>
      </w:pPr>
      <w:r w:rsidRPr="008F59F6">
        <w:rPr>
          <w:rFonts w:ascii="Arial" w:hAnsi="Arial" w:cs="Arial"/>
          <w:sz w:val="24"/>
        </w:rPr>
        <w:t xml:space="preserve">Carers Centre </w:t>
      </w:r>
    </w:p>
    <w:p w:rsidR="004D2BA1" w:rsidRPr="008F59F6" w:rsidRDefault="008F59F6" w:rsidP="006D374D">
      <w:pPr>
        <w:pStyle w:val="ListParagraph"/>
        <w:numPr>
          <w:ilvl w:val="0"/>
          <w:numId w:val="24"/>
        </w:numPr>
        <w:jc w:val="both"/>
        <w:rPr>
          <w:rFonts w:ascii="Arial" w:hAnsi="Arial" w:cs="Arial"/>
          <w:sz w:val="24"/>
        </w:rPr>
      </w:pPr>
      <w:r>
        <w:rPr>
          <w:rFonts w:ascii="Arial" w:hAnsi="Arial" w:cs="Arial"/>
          <w:sz w:val="24"/>
        </w:rPr>
        <w:t>Initiating c</w:t>
      </w:r>
      <w:r w:rsidR="004D2BA1" w:rsidRPr="008F59F6">
        <w:rPr>
          <w:rFonts w:ascii="Arial" w:hAnsi="Arial" w:cs="Arial"/>
          <w:sz w:val="24"/>
        </w:rPr>
        <w:t>arers emergency card and contingency plans</w:t>
      </w:r>
    </w:p>
    <w:p w:rsidR="004D2BA1" w:rsidRPr="008F59F6" w:rsidRDefault="004D2BA1" w:rsidP="006D374D">
      <w:pPr>
        <w:pStyle w:val="ListParagraph"/>
        <w:numPr>
          <w:ilvl w:val="0"/>
          <w:numId w:val="24"/>
        </w:numPr>
        <w:jc w:val="both"/>
        <w:rPr>
          <w:rFonts w:ascii="Arial" w:hAnsi="Arial" w:cs="Arial"/>
          <w:sz w:val="24"/>
        </w:rPr>
      </w:pPr>
      <w:r w:rsidRPr="008F59F6">
        <w:rPr>
          <w:rFonts w:ascii="Arial" w:hAnsi="Arial" w:cs="Arial"/>
          <w:sz w:val="24"/>
        </w:rPr>
        <w:t>Swindon Mind</w:t>
      </w:r>
    </w:p>
    <w:p w:rsidR="004D2BA1" w:rsidRPr="00F16E56" w:rsidRDefault="004D2BA1" w:rsidP="00F16E56">
      <w:pPr>
        <w:pStyle w:val="ListParagraph"/>
        <w:numPr>
          <w:ilvl w:val="0"/>
          <w:numId w:val="24"/>
        </w:numPr>
        <w:jc w:val="both"/>
        <w:rPr>
          <w:rFonts w:ascii="Arial" w:hAnsi="Arial" w:cs="Arial"/>
          <w:sz w:val="24"/>
        </w:rPr>
      </w:pPr>
      <w:r w:rsidRPr="008F59F6">
        <w:rPr>
          <w:rFonts w:ascii="Arial" w:hAnsi="Arial" w:cs="Arial"/>
          <w:sz w:val="24"/>
        </w:rPr>
        <w:lastRenderedPageBreak/>
        <w:t xml:space="preserve">Housing </w:t>
      </w:r>
      <w:r w:rsidR="008F59F6" w:rsidRPr="00F16E56">
        <w:rPr>
          <w:rFonts w:ascii="Arial" w:hAnsi="Arial" w:cs="Arial"/>
          <w:sz w:val="24"/>
        </w:rPr>
        <w:t xml:space="preserve"> </w:t>
      </w:r>
    </w:p>
    <w:p w:rsidR="004D2BA1" w:rsidRPr="008F59F6" w:rsidRDefault="004D2BA1" w:rsidP="006D374D">
      <w:pPr>
        <w:pStyle w:val="ListParagraph"/>
        <w:numPr>
          <w:ilvl w:val="0"/>
          <w:numId w:val="24"/>
        </w:numPr>
        <w:jc w:val="both"/>
        <w:rPr>
          <w:rFonts w:ascii="Arial" w:hAnsi="Arial" w:cs="Arial"/>
          <w:sz w:val="24"/>
        </w:rPr>
      </w:pPr>
      <w:r w:rsidRPr="008F59F6">
        <w:rPr>
          <w:rFonts w:ascii="Arial" w:hAnsi="Arial" w:cs="Arial"/>
          <w:sz w:val="24"/>
        </w:rPr>
        <w:t>AWP</w:t>
      </w:r>
      <w:r w:rsidR="008F59F6">
        <w:rPr>
          <w:rFonts w:ascii="Arial" w:hAnsi="Arial" w:cs="Arial"/>
          <w:sz w:val="24"/>
        </w:rPr>
        <w:t xml:space="preserve"> mental health services</w:t>
      </w:r>
    </w:p>
    <w:p w:rsidR="004D2BA1" w:rsidRPr="008F59F6" w:rsidRDefault="004D2BA1" w:rsidP="006D374D">
      <w:pPr>
        <w:pStyle w:val="ListParagraph"/>
        <w:numPr>
          <w:ilvl w:val="0"/>
          <w:numId w:val="24"/>
        </w:numPr>
        <w:jc w:val="both"/>
        <w:rPr>
          <w:rFonts w:ascii="Arial" w:hAnsi="Arial" w:cs="Arial"/>
          <w:sz w:val="24"/>
        </w:rPr>
      </w:pPr>
      <w:r w:rsidRPr="008F59F6">
        <w:rPr>
          <w:rFonts w:ascii="Arial" w:hAnsi="Arial" w:cs="Arial"/>
          <w:sz w:val="24"/>
        </w:rPr>
        <w:t xml:space="preserve">Swindon Domestic Abuse Support </w:t>
      </w:r>
    </w:p>
    <w:p w:rsidR="008F59F6" w:rsidRPr="008F59F6" w:rsidRDefault="008F59F6" w:rsidP="006D374D">
      <w:pPr>
        <w:pStyle w:val="ListParagraph"/>
        <w:numPr>
          <w:ilvl w:val="0"/>
          <w:numId w:val="24"/>
        </w:numPr>
        <w:jc w:val="both"/>
        <w:rPr>
          <w:rFonts w:ascii="Arial" w:hAnsi="Arial" w:cs="Arial"/>
          <w:sz w:val="24"/>
        </w:rPr>
      </w:pPr>
      <w:r w:rsidRPr="008F59F6">
        <w:rPr>
          <w:rFonts w:ascii="Arial" w:hAnsi="Arial" w:cs="Arial"/>
          <w:sz w:val="24"/>
        </w:rPr>
        <w:t>Support available from family / friends / neighbours</w:t>
      </w:r>
    </w:p>
    <w:p w:rsidR="00D06696" w:rsidRDefault="00E3428B" w:rsidP="006D374D">
      <w:pPr>
        <w:jc w:val="both"/>
        <w:rPr>
          <w:rFonts w:ascii="Arial" w:hAnsi="Arial" w:cs="Arial"/>
          <w:sz w:val="24"/>
        </w:rPr>
      </w:pPr>
      <w:r>
        <w:rPr>
          <w:rFonts w:ascii="Arial" w:hAnsi="Arial" w:cs="Arial"/>
          <w:sz w:val="24"/>
        </w:rPr>
        <w:t xml:space="preserve">It is also of crucial importance that people are informed that they should contact us </w:t>
      </w:r>
      <w:r w:rsidR="004D2BA1">
        <w:rPr>
          <w:rFonts w:ascii="Arial" w:hAnsi="Arial" w:cs="Arial"/>
          <w:sz w:val="24"/>
        </w:rPr>
        <w:t>(</w:t>
      </w:r>
      <w:r w:rsidR="006C79B9" w:rsidRPr="006C79B9">
        <w:rPr>
          <w:rFonts w:ascii="Arial" w:hAnsi="Arial" w:cs="Arial"/>
          <w:color w:val="000000"/>
          <w:sz w:val="24"/>
          <w:szCs w:val="29"/>
        </w:rPr>
        <w:t>01793 445500</w:t>
      </w:r>
      <w:r w:rsidR="00CA57D4">
        <w:rPr>
          <w:rFonts w:ascii="Arial" w:hAnsi="Arial" w:cs="Arial"/>
          <w:color w:val="000000"/>
          <w:sz w:val="24"/>
          <w:szCs w:val="29"/>
        </w:rPr>
        <w:t xml:space="preserve"> in hours, </w:t>
      </w:r>
      <w:r w:rsidR="00CA57D4" w:rsidRPr="00CA57D4">
        <w:rPr>
          <w:rFonts w:ascii="Arial" w:hAnsi="Arial" w:cs="Arial"/>
          <w:color w:val="000000"/>
          <w:sz w:val="24"/>
          <w:szCs w:val="29"/>
        </w:rPr>
        <w:t xml:space="preserve">01793 436699 </w:t>
      </w:r>
      <w:r w:rsidR="00CA57D4">
        <w:rPr>
          <w:rFonts w:ascii="Arial" w:hAnsi="Arial" w:cs="Arial"/>
          <w:color w:val="000000"/>
          <w:sz w:val="24"/>
          <w:szCs w:val="29"/>
        </w:rPr>
        <w:t xml:space="preserve">out of hours </w:t>
      </w:r>
      <w:r w:rsidR="00CA57D4" w:rsidRPr="00CA57D4">
        <w:rPr>
          <w:rFonts w:ascii="Arial" w:hAnsi="Arial" w:cs="Arial"/>
          <w:color w:val="000000"/>
          <w:sz w:val="24"/>
          <w:szCs w:val="29"/>
        </w:rPr>
        <w:t>EDS</w:t>
      </w:r>
      <w:r w:rsidR="004D2BA1">
        <w:rPr>
          <w:rFonts w:ascii="Arial" w:hAnsi="Arial" w:cs="Arial"/>
          <w:sz w:val="24"/>
        </w:rPr>
        <w:t xml:space="preserve">) </w:t>
      </w:r>
      <w:r>
        <w:rPr>
          <w:rFonts w:ascii="Arial" w:hAnsi="Arial" w:cs="Arial"/>
          <w:sz w:val="24"/>
        </w:rPr>
        <w:t xml:space="preserve">if </w:t>
      </w:r>
      <w:r w:rsidR="00F5256A">
        <w:rPr>
          <w:rFonts w:ascii="Arial" w:hAnsi="Arial" w:cs="Arial"/>
          <w:sz w:val="24"/>
        </w:rPr>
        <w:t>their needs or circumstances</w:t>
      </w:r>
      <w:r>
        <w:rPr>
          <w:rFonts w:ascii="Arial" w:hAnsi="Arial" w:cs="Arial"/>
          <w:sz w:val="24"/>
        </w:rPr>
        <w:t xml:space="preserve"> change whilst they are waiting </w:t>
      </w:r>
      <w:r w:rsidR="00F5256A">
        <w:rPr>
          <w:rFonts w:ascii="Arial" w:hAnsi="Arial" w:cs="Arial"/>
          <w:sz w:val="24"/>
        </w:rPr>
        <w:t xml:space="preserve">allocation </w:t>
      </w:r>
      <w:r>
        <w:rPr>
          <w:rFonts w:ascii="Arial" w:hAnsi="Arial" w:cs="Arial"/>
          <w:sz w:val="24"/>
        </w:rPr>
        <w:t xml:space="preserve">and that we are confident they </w:t>
      </w:r>
      <w:r w:rsidR="001F0072">
        <w:rPr>
          <w:rFonts w:ascii="Arial" w:hAnsi="Arial" w:cs="Arial"/>
          <w:sz w:val="24"/>
        </w:rPr>
        <w:t xml:space="preserve">or their representative </w:t>
      </w:r>
      <w:r>
        <w:rPr>
          <w:rFonts w:ascii="Arial" w:hAnsi="Arial" w:cs="Arial"/>
          <w:sz w:val="24"/>
        </w:rPr>
        <w:t xml:space="preserve">know how to contact the local authority in these circumstances. </w:t>
      </w:r>
      <w:r w:rsidR="00F5256A">
        <w:rPr>
          <w:rFonts w:ascii="Arial" w:hAnsi="Arial" w:cs="Arial"/>
          <w:sz w:val="24"/>
        </w:rPr>
        <w:t>Again,</w:t>
      </w:r>
      <w:r>
        <w:rPr>
          <w:rFonts w:ascii="Arial" w:hAnsi="Arial" w:cs="Arial"/>
          <w:sz w:val="24"/>
        </w:rPr>
        <w:t xml:space="preserve"> this </w:t>
      </w:r>
      <w:r w:rsidR="00DB6467">
        <w:rPr>
          <w:rFonts w:ascii="Arial" w:hAnsi="Arial" w:cs="Arial"/>
          <w:sz w:val="24"/>
        </w:rPr>
        <w:t>must</w:t>
      </w:r>
      <w:r>
        <w:rPr>
          <w:rFonts w:ascii="Arial" w:hAnsi="Arial" w:cs="Arial"/>
          <w:sz w:val="24"/>
        </w:rPr>
        <w:t xml:space="preserve"> be clearly recorded on Liquidlogic. </w:t>
      </w:r>
    </w:p>
    <w:p w:rsidR="008F59F6" w:rsidRDefault="008F59F6" w:rsidP="006D374D">
      <w:pPr>
        <w:jc w:val="both"/>
        <w:rPr>
          <w:rFonts w:ascii="Arial" w:hAnsi="Arial" w:cs="Arial"/>
          <w:sz w:val="24"/>
        </w:rPr>
      </w:pPr>
    </w:p>
    <w:p w:rsidR="00896A05" w:rsidRDefault="00896A05" w:rsidP="006D374D">
      <w:pPr>
        <w:jc w:val="both"/>
        <w:rPr>
          <w:rFonts w:ascii="Arial" w:hAnsi="Arial" w:cs="Arial"/>
          <w:b/>
          <w:noProof/>
          <w:sz w:val="24"/>
          <w:szCs w:val="24"/>
        </w:rPr>
      </w:pPr>
      <w:r w:rsidRPr="00896A05">
        <w:rPr>
          <w:rFonts w:ascii="Arial" w:hAnsi="Arial" w:cs="Arial"/>
          <w:b/>
          <w:noProof/>
          <w:sz w:val="24"/>
          <w:szCs w:val="24"/>
        </w:rPr>
        <w:t>Recording risk priority and decision making in LAS</w:t>
      </w:r>
    </w:p>
    <w:p w:rsidR="00896A05" w:rsidRDefault="00896A05" w:rsidP="006D374D">
      <w:pPr>
        <w:jc w:val="both"/>
        <w:rPr>
          <w:rFonts w:ascii="Arial" w:hAnsi="Arial" w:cs="Arial"/>
          <w:noProof/>
          <w:sz w:val="24"/>
          <w:szCs w:val="24"/>
        </w:rPr>
      </w:pPr>
      <w:r>
        <w:rPr>
          <w:rFonts w:ascii="Arial" w:hAnsi="Arial" w:cs="Arial"/>
          <w:noProof/>
          <w:sz w:val="24"/>
          <w:szCs w:val="24"/>
        </w:rPr>
        <w:t xml:space="preserve">Please see </w:t>
      </w:r>
      <w:hyperlink w:anchor="LAS" w:history="1">
        <w:r w:rsidRPr="00896A05">
          <w:rPr>
            <w:rStyle w:val="Hyperlink"/>
            <w:rFonts w:ascii="Arial" w:hAnsi="Arial" w:cs="Arial"/>
            <w:noProof/>
            <w:sz w:val="24"/>
            <w:szCs w:val="24"/>
          </w:rPr>
          <w:t>Appendix 3</w:t>
        </w:r>
      </w:hyperlink>
      <w:r>
        <w:rPr>
          <w:rFonts w:ascii="Arial" w:hAnsi="Arial" w:cs="Arial"/>
          <w:noProof/>
          <w:sz w:val="24"/>
          <w:szCs w:val="24"/>
        </w:rPr>
        <w:t xml:space="preserve"> for step by step guide. </w:t>
      </w:r>
    </w:p>
    <w:p w:rsidR="00896A05" w:rsidRPr="00896A05" w:rsidRDefault="00896A05" w:rsidP="006D374D">
      <w:pPr>
        <w:jc w:val="both"/>
        <w:rPr>
          <w:rFonts w:ascii="Arial" w:hAnsi="Arial" w:cs="Arial"/>
          <w:b/>
          <w:sz w:val="24"/>
        </w:rPr>
      </w:pPr>
    </w:p>
    <w:p w:rsidR="008F59F6" w:rsidRDefault="008F59F6" w:rsidP="006D374D">
      <w:pPr>
        <w:jc w:val="both"/>
        <w:rPr>
          <w:rFonts w:ascii="Arial" w:hAnsi="Arial" w:cs="Arial"/>
          <w:b/>
          <w:sz w:val="24"/>
        </w:rPr>
      </w:pPr>
      <w:r>
        <w:rPr>
          <w:rFonts w:ascii="Arial" w:hAnsi="Arial" w:cs="Arial"/>
          <w:b/>
          <w:sz w:val="24"/>
        </w:rPr>
        <w:t>Case example</w:t>
      </w:r>
    </w:p>
    <w:p w:rsidR="008F59F6" w:rsidRDefault="008F59F6" w:rsidP="006D374D">
      <w:pPr>
        <w:jc w:val="both"/>
        <w:rPr>
          <w:rFonts w:ascii="Arial" w:hAnsi="Arial" w:cs="Arial"/>
          <w:sz w:val="24"/>
        </w:rPr>
      </w:pPr>
      <w:r>
        <w:rPr>
          <w:rFonts w:ascii="Arial" w:hAnsi="Arial" w:cs="Arial"/>
          <w:sz w:val="24"/>
        </w:rPr>
        <w:t xml:space="preserve">Referral received by a concerned neighbour informing that an older resident in their street who lives a few doors away has no electricity or heating in the property. Overnight temperatures at time of referral were -4’C. The person has been seen in the street sometimes half-dressed over the last few days and appears confused. It is believed the person has no informal support network. The referrer does not have a contact number for the person and the person is not known to adult services. </w:t>
      </w:r>
    </w:p>
    <w:p w:rsidR="008F59F6" w:rsidRDefault="008F59F6" w:rsidP="006D374D">
      <w:pPr>
        <w:jc w:val="both"/>
        <w:rPr>
          <w:rFonts w:ascii="Arial" w:hAnsi="Arial" w:cs="Arial"/>
          <w:sz w:val="24"/>
        </w:rPr>
      </w:pPr>
      <w:r>
        <w:rPr>
          <w:rFonts w:ascii="Arial" w:hAnsi="Arial" w:cs="Arial"/>
          <w:sz w:val="24"/>
        </w:rPr>
        <w:t>Duty worker refers to the Risk and Priority Matrix Tool and uses their judgement to determine this situation is high/red risk and arranges for a same day visit. The factors taken into consideration were:</w:t>
      </w:r>
    </w:p>
    <w:p w:rsidR="008F59F6" w:rsidRPr="00BF4AE4" w:rsidRDefault="008F59F6" w:rsidP="006D374D">
      <w:pPr>
        <w:pStyle w:val="Default"/>
        <w:numPr>
          <w:ilvl w:val="0"/>
          <w:numId w:val="21"/>
        </w:numPr>
        <w:jc w:val="both"/>
        <w:rPr>
          <w:sz w:val="22"/>
          <w:szCs w:val="22"/>
        </w:rPr>
      </w:pPr>
      <w:r w:rsidRPr="00BF4AE4">
        <w:rPr>
          <w:sz w:val="22"/>
          <w:szCs w:val="22"/>
        </w:rPr>
        <w:t>Immediate and/or unmanaged risk to the safety/survival of the person or others</w:t>
      </w:r>
    </w:p>
    <w:p w:rsidR="008F59F6" w:rsidRDefault="008F59F6" w:rsidP="006D374D">
      <w:pPr>
        <w:pStyle w:val="Default"/>
        <w:numPr>
          <w:ilvl w:val="0"/>
          <w:numId w:val="21"/>
        </w:numPr>
        <w:jc w:val="both"/>
        <w:rPr>
          <w:sz w:val="22"/>
          <w:szCs w:val="22"/>
        </w:rPr>
      </w:pPr>
      <w:r w:rsidRPr="00BF4AE4">
        <w:rPr>
          <w:sz w:val="22"/>
          <w:szCs w:val="22"/>
        </w:rPr>
        <w:t xml:space="preserve">Nature or risk of harm/abuse is unknown and urgent risk assessment required </w:t>
      </w:r>
    </w:p>
    <w:p w:rsidR="008F59F6" w:rsidRDefault="008F59F6" w:rsidP="006D374D">
      <w:pPr>
        <w:pStyle w:val="Default"/>
        <w:numPr>
          <w:ilvl w:val="0"/>
          <w:numId w:val="21"/>
        </w:numPr>
        <w:jc w:val="both"/>
        <w:rPr>
          <w:sz w:val="22"/>
          <w:szCs w:val="22"/>
        </w:rPr>
      </w:pPr>
      <w:r w:rsidRPr="007D7755">
        <w:rPr>
          <w:sz w:val="22"/>
          <w:szCs w:val="22"/>
        </w:rPr>
        <w:t>Rapidly declining physical health, mental health, wellbeing and urgent need for care and support, which if not met, present an immediate risk to the person or others</w:t>
      </w:r>
    </w:p>
    <w:p w:rsidR="008F59F6" w:rsidRDefault="008F59F6" w:rsidP="006D374D">
      <w:pPr>
        <w:pStyle w:val="Default"/>
        <w:jc w:val="both"/>
        <w:rPr>
          <w:sz w:val="22"/>
          <w:szCs w:val="22"/>
        </w:rPr>
      </w:pPr>
    </w:p>
    <w:p w:rsidR="008F59F6" w:rsidRDefault="008F59F6" w:rsidP="006D374D">
      <w:pPr>
        <w:pStyle w:val="Default"/>
        <w:jc w:val="both"/>
        <w:rPr>
          <w:szCs w:val="22"/>
        </w:rPr>
      </w:pPr>
      <w:r w:rsidRPr="008F59F6">
        <w:rPr>
          <w:szCs w:val="22"/>
        </w:rPr>
        <w:t>During the visit the duty worker was able to carry out a risk assessment and took mitigating action to reduce risks including:</w:t>
      </w:r>
    </w:p>
    <w:p w:rsidR="008F59F6" w:rsidRPr="008F59F6" w:rsidRDefault="008F59F6" w:rsidP="006D374D">
      <w:pPr>
        <w:pStyle w:val="Default"/>
        <w:jc w:val="both"/>
        <w:rPr>
          <w:szCs w:val="22"/>
        </w:rPr>
      </w:pPr>
    </w:p>
    <w:p w:rsidR="008F59F6" w:rsidRDefault="008F59F6" w:rsidP="006D374D">
      <w:pPr>
        <w:pStyle w:val="Default"/>
        <w:numPr>
          <w:ilvl w:val="0"/>
          <w:numId w:val="23"/>
        </w:numPr>
        <w:jc w:val="both"/>
        <w:rPr>
          <w:sz w:val="22"/>
          <w:szCs w:val="22"/>
        </w:rPr>
      </w:pPr>
      <w:r>
        <w:rPr>
          <w:sz w:val="22"/>
          <w:szCs w:val="22"/>
        </w:rPr>
        <w:t xml:space="preserve">Discussion with </w:t>
      </w:r>
      <w:r w:rsidRPr="00023B7A">
        <w:rPr>
          <w:sz w:val="22"/>
          <w:szCs w:val="22"/>
        </w:rPr>
        <w:t>GP who was able to provide history and baseline information relating to cognition</w:t>
      </w:r>
      <w:r>
        <w:rPr>
          <w:sz w:val="22"/>
          <w:szCs w:val="22"/>
        </w:rPr>
        <w:t xml:space="preserve">. A GP home visit was arranged and determined he had an infection on top of existing memory issues causing the confusion. Antibiotics started, with GP follow up at the end of the week.  </w:t>
      </w:r>
    </w:p>
    <w:p w:rsidR="008F59F6" w:rsidRDefault="008F59F6" w:rsidP="006D374D">
      <w:pPr>
        <w:pStyle w:val="Default"/>
        <w:numPr>
          <w:ilvl w:val="0"/>
          <w:numId w:val="23"/>
        </w:numPr>
        <w:jc w:val="both"/>
        <w:rPr>
          <w:sz w:val="22"/>
          <w:szCs w:val="22"/>
        </w:rPr>
      </w:pPr>
      <w:r>
        <w:rPr>
          <w:sz w:val="22"/>
          <w:szCs w:val="22"/>
        </w:rPr>
        <w:t xml:space="preserve">Arranging for a top up of his pre-payment electricity meter which in turn enabled him to be able to use the heating and have a warm home. </w:t>
      </w:r>
    </w:p>
    <w:p w:rsidR="008F59F6" w:rsidRDefault="008F59F6" w:rsidP="006D374D">
      <w:pPr>
        <w:pStyle w:val="Default"/>
        <w:numPr>
          <w:ilvl w:val="0"/>
          <w:numId w:val="23"/>
        </w:numPr>
        <w:jc w:val="both"/>
        <w:rPr>
          <w:sz w:val="22"/>
          <w:szCs w:val="22"/>
        </w:rPr>
      </w:pPr>
      <w:r w:rsidRPr="00023B7A">
        <w:rPr>
          <w:sz w:val="22"/>
          <w:szCs w:val="22"/>
        </w:rPr>
        <w:t>Referral to Live Well Hub to support with a food parcel</w:t>
      </w:r>
      <w:r>
        <w:rPr>
          <w:sz w:val="22"/>
          <w:szCs w:val="22"/>
        </w:rPr>
        <w:t>, some basic toiletries and to support with building up a rapport</w:t>
      </w:r>
      <w:r w:rsidRPr="00023B7A">
        <w:rPr>
          <w:sz w:val="22"/>
          <w:szCs w:val="22"/>
        </w:rPr>
        <w:t xml:space="preserve">. </w:t>
      </w:r>
    </w:p>
    <w:p w:rsidR="008F59F6" w:rsidRDefault="008F59F6" w:rsidP="006D374D">
      <w:pPr>
        <w:pStyle w:val="Default"/>
        <w:numPr>
          <w:ilvl w:val="0"/>
          <w:numId w:val="23"/>
        </w:numPr>
        <w:jc w:val="both"/>
        <w:rPr>
          <w:sz w:val="22"/>
          <w:szCs w:val="22"/>
        </w:rPr>
      </w:pPr>
      <w:r w:rsidRPr="0028345A">
        <w:rPr>
          <w:sz w:val="22"/>
          <w:szCs w:val="22"/>
        </w:rPr>
        <w:t xml:space="preserve">Referral for short term home care for 2 visits a day to support with personal care and nutrition pending a full needs assessment. </w:t>
      </w:r>
    </w:p>
    <w:p w:rsidR="008F59F6" w:rsidRDefault="008F59F6" w:rsidP="006D374D">
      <w:pPr>
        <w:pStyle w:val="Default"/>
        <w:jc w:val="both"/>
        <w:rPr>
          <w:sz w:val="22"/>
          <w:szCs w:val="22"/>
        </w:rPr>
      </w:pPr>
    </w:p>
    <w:p w:rsidR="008F59F6" w:rsidRPr="00BF4AE4" w:rsidRDefault="008F59F6" w:rsidP="006D374D">
      <w:pPr>
        <w:pStyle w:val="Default"/>
        <w:jc w:val="both"/>
        <w:rPr>
          <w:sz w:val="22"/>
          <w:szCs w:val="22"/>
        </w:rPr>
      </w:pPr>
      <w:r>
        <w:rPr>
          <w:sz w:val="22"/>
          <w:szCs w:val="22"/>
        </w:rPr>
        <w:t xml:space="preserve">The duty worker considered that the mitigating actions had now lowered the risk for this person to Normal/Amber and asked that the carers, GP and Live Well colleagues should make contact </w:t>
      </w:r>
      <w:r>
        <w:rPr>
          <w:sz w:val="22"/>
          <w:szCs w:val="22"/>
        </w:rPr>
        <w:lastRenderedPageBreak/>
        <w:t xml:space="preserve">if there are any changes to the circumstances whilst arrangements are made to allocate and undertake a full needs assessment. Evidence of decision making was all recorded within Liquidlogic.  </w:t>
      </w:r>
    </w:p>
    <w:p w:rsidR="00E3428B" w:rsidRDefault="00E3428B" w:rsidP="006D374D">
      <w:pPr>
        <w:jc w:val="both"/>
        <w:rPr>
          <w:rFonts w:ascii="Arial" w:hAnsi="Arial" w:cs="Arial"/>
          <w:sz w:val="24"/>
        </w:rPr>
      </w:pPr>
    </w:p>
    <w:p w:rsidR="006C779F" w:rsidRDefault="006C779F" w:rsidP="006D374D">
      <w:pPr>
        <w:jc w:val="both"/>
        <w:rPr>
          <w:rFonts w:ascii="Arial" w:hAnsi="Arial" w:cs="Arial"/>
          <w:sz w:val="24"/>
        </w:rPr>
      </w:pPr>
    </w:p>
    <w:p w:rsidR="008C44CF" w:rsidRDefault="00413CE9" w:rsidP="006D374D">
      <w:pPr>
        <w:jc w:val="both"/>
        <w:rPr>
          <w:rFonts w:ascii="Arial" w:hAnsi="Arial" w:cs="Arial"/>
          <w:b/>
          <w:sz w:val="24"/>
        </w:rPr>
      </w:pPr>
      <w:r>
        <w:rPr>
          <w:rFonts w:ascii="Arial" w:hAnsi="Arial" w:cs="Arial"/>
          <w:b/>
          <w:sz w:val="24"/>
        </w:rPr>
        <w:t xml:space="preserve">Management oversight and </w:t>
      </w:r>
      <w:r w:rsidR="00910AC6">
        <w:rPr>
          <w:rFonts w:ascii="Arial" w:hAnsi="Arial" w:cs="Arial"/>
          <w:b/>
          <w:sz w:val="24"/>
        </w:rPr>
        <w:t xml:space="preserve">risk </w:t>
      </w:r>
      <w:r>
        <w:rPr>
          <w:rFonts w:ascii="Arial" w:hAnsi="Arial" w:cs="Arial"/>
          <w:b/>
          <w:sz w:val="24"/>
        </w:rPr>
        <w:t xml:space="preserve">reprioritisation </w:t>
      </w:r>
    </w:p>
    <w:p w:rsidR="00F65A80" w:rsidRDefault="006C79B9" w:rsidP="006D374D">
      <w:pPr>
        <w:jc w:val="both"/>
        <w:rPr>
          <w:rFonts w:ascii="Arial" w:hAnsi="Arial" w:cs="Arial"/>
          <w:sz w:val="24"/>
        </w:rPr>
      </w:pPr>
      <w:r>
        <w:rPr>
          <w:rFonts w:ascii="Arial" w:hAnsi="Arial" w:cs="Arial"/>
          <w:sz w:val="24"/>
        </w:rPr>
        <w:t>Team Managers &amp; ATM’s</w:t>
      </w:r>
      <w:r w:rsidR="00122DEC">
        <w:rPr>
          <w:rFonts w:ascii="Arial" w:hAnsi="Arial" w:cs="Arial"/>
          <w:sz w:val="24"/>
        </w:rPr>
        <w:t xml:space="preserve"> </w:t>
      </w:r>
      <w:r w:rsidR="007A4794">
        <w:rPr>
          <w:rFonts w:ascii="Arial" w:hAnsi="Arial" w:cs="Arial"/>
          <w:sz w:val="24"/>
        </w:rPr>
        <w:t xml:space="preserve">should maintain oversight </w:t>
      </w:r>
      <w:r w:rsidR="00F65A80">
        <w:rPr>
          <w:rFonts w:ascii="Arial" w:hAnsi="Arial" w:cs="Arial"/>
          <w:sz w:val="24"/>
        </w:rPr>
        <w:t xml:space="preserve">and accountability of their </w:t>
      </w:r>
      <w:r w:rsidR="007A4794">
        <w:rPr>
          <w:rFonts w:ascii="Arial" w:hAnsi="Arial" w:cs="Arial"/>
          <w:sz w:val="24"/>
        </w:rPr>
        <w:t>waiting lists</w:t>
      </w:r>
      <w:r w:rsidR="00910AC6">
        <w:rPr>
          <w:rFonts w:ascii="Arial" w:hAnsi="Arial" w:cs="Arial"/>
          <w:sz w:val="24"/>
        </w:rPr>
        <w:t xml:space="preserve">, working </w:t>
      </w:r>
      <w:r w:rsidR="00F65A80">
        <w:rPr>
          <w:rFonts w:ascii="Arial" w:hAnsi="Arial" w:cs="Arial"/>
          <w:sz w:val="24"/>
        </w:rPr>
        <w:t xml:space="preserve">with their duty teams to review the wait list regularly. </w:t>
      </w:r>
    </w:p>
    <w:p w:rsidR="00910AC6" w:rsidRPr="00910AC6" w:rsidRDefault="00910AC6" w:rsidP="006D374D">
      <w:pPr>
        <w:jc w:val="both"/>
        <w:rPr>
          <w:rFonts w:ascii="Arial" w:hAnsi="Arial" w:cs="Arial"/>
          <w:sz w:val="28"/>
        </w:rPr>
      </w:pPr>
      <w:r w:rsidRPr="00910AC6">
        <w:rPr>
          <w:rFonts w:ascii="Arial" w:hAnsi="Arial" w:cs="Arial"/>
          <w:sz w:val="24"/>
          <w:szCs w:val="23"/>
        </w:rPr>
        <w:t>Reviewing risk and priority must be action-focused wherever possible to protect your time. Where possible we should be actioning the work rather than continuously reviewing.</w:t>
      </w:r>
    </w:p>
    <w:p w:rsidR="00F65A80" w:rsidRDefault="00F65A80" w:rsidP="006D374D">
      <w:pPr>
        <w:jc w:val="both"/>
        <w:rPr>
          <w:rFonts w:ascii="Arial" w:hAnsi="Arial" w:cs="Arial"/>
          <w:sz w:val="24"/>
        </w:rPr>
      </w:pPr>
      <w:r>
        <w:rPr>
          <w:rFonts w:ascii="Arial" w:hAnsi="Arial" w:cs="Arial"/>
          <w:sz w:val="24"/>
        </w:rPr>
        <w:t>When a person has not been able to be allocated within the timeframe anticipated, a conversation needs to take place with the person and or their representative</w:t>
      </w:r>
      <w:r w:rsidR="00CF36E5">
        <w:rPr>
          <w:rFonts w:ascii="Arial" w:hAnsi="Arial" w:cs="Arial"/>
          <w:sz w:val="24"/>
        </w:rPr>
        <w:t>, which may also extend to other agencies</w:t>
      </w:r>
      <w:r>
        <w:rPr>
          <w:rFonts w:ascii="Arial" w:hAnsi="Arial" w:cs="Arial"/>
          <w:sz w:val="24"/>
        </w:rPr>
        <w:t xml:space="preserve"> to understand the current situation</w:t>
      </w:r>
      <w:r w:rsidR="00CF36E5">
        <w:rPr>
          <w:rFonts w:ascii="Arial" w:hAnsi="Arial" w:cs="Arial"/>
          <w:sz w:val="24"/>
        </w:rPr>
        <w:t xml:space="preserve">, presenting risks and reprioritise setting a new timeframe for response / allocation accordingly. </w:t>
      </w:r>
    </w:p>
    <w:p w:rsidR="007A4794" w:rsidRDefault="00A05BCE" w:rsidP="006D374D">
      <w:pPr>
        <w:jc w:val="both"/>
        <w:rPr>
          <w:rFonts w:ascii="Arial" w:hAnsi="Arial" w:cs="Arial"/>
          <w:sz w:val="24"/>
        </w:rPr>
      </w:pPr>
      <w:r>
        <w:rPr>
          <w:rFonts w:ascii="Arial" w:hAnsi="Arial" w:cs="Arial"/>
          <w:sz w:val="24"/>
        </w:rPr>
        <w:t>Team managers should assure themselves that the risk priority ratings on their waiting lists are representative to the presenting needs/risks and d</w:t>
      </w:r>
      <w:r w:rsidR="00F65A80">
        <w:rPr>
          <w:rFonts w:ascii="Arial" w:hAnsi="Arial" w:cs="Arial"/>
          <w:sz w:val="24"/>
        </w:rPr>
        <w:t xml:space="preserve">ip sample 3 people </w:t>
      </w:r>
      <w:r w:rsidR="00413CE9">
        <w:rPr>
          <w:rFonts w:ascii="Arial" w:hAnsi="Arial" w:cs="Arial"/>
          <w:sz w:val="24"/>
        </w:rPr>
        <w:t xml:space="preserve">on the waiting list </w:t>
      </w:r>
      <w:r w:rsidR="00F65A80">
        <w:rPr>
          <w:rFonts w:ascii="Arial" w:hAnsi="Arial" w:cs="Arial"/>
          <w:sz w:val="24"/>
        </w:rPr>
        <w:t>per month</w:t>
      </w:r>
      <w:r>
        <w:rPr>
          <w:rFonts w:ascii="Arial" w:hAnsi="Arial" w:cs="Arial"/>
          <w:sz w:val="24"/>
        </w:rPr>
        <w:t xml:space="preserve">. </w:t>
      </w:r>
    </w:p>
    <w:p w:rsidR="00E3428B" w:rsidRDefault="006C79B9" w:rsidP="006D374D">
      <w:pPr>
        <w:jc w:val="both"/>
        <w:rPr>
          <w:rFonts w:ascii="Arial" w:hAnsi="Arial" w:cs="Arial"/>
          <w:sz w:val="24"/>
        </w:rPr>
      </w:pPr>
      <w:r>
        <w:rPr>
          <w:rFonts w:ascii="Arial" w:hAnsi="Arial" w:cs="Arial"/>
          <w:sz w:val="24"/>
        </w:rPr>
        <w:t>Team Managers &amp; ATM’s</w:t>
      </w:r>
      <w:r w:rsidR="00E3428B">
        <w:rPr>
          <w:rFonts w:ascii="Arial" w:hAnsi="Arial" w:cs="Arial"/>
          <w:sz w:val="24"/>
        </w:rPr>
        <w:t xml:space="preserve"> should also ensure effective supervision is taking place in their teams to ensure there is oversight of practitioners’ caseloads, to support clear direction of work and ensure safe and effective practice whilst maintain</w:t>
      </w:r>
      <w:r>
        <w:rPr>
          <w:rFonts w:ascii="Arial" w:hAnsi="Arial" w:cs="Arial"/>
          <w:sz w:val="24"/>
        </w:rPr>
        <w:t>ing</w:t>
      </w:r>
      <w:r w:rsidR="00E3428B">
        <w:rPr>
          <w:rFonts w:ascii="Arial" w:hAnsi="Arial" w:cs="Arial"/>
          <w:sz w:val="24"/>
        </w:rPr>
        <w:t xml:space="preserve"> progression of work to support with managing demand. </w:t>
      </w:r>
    </w:p>
    <w:p w:rsidR="008C44CF" w:rsidRDefault="008C44CF" w:rsidP="006D374D">
      <w:pPr>
        <w:jc w:val="both"/>
        <w:rPr>
          <w:rFonts w:ascii="Arial" w:hAnsi="Arial" w:cs="Arial"/>
          <w:sz w:val="24"/>
        </w:rPr>
      </w:pPr>
    </w:p>
    <w:p w:rsidR="00D06696" w:rsidRDefault="00D06696" w:rsidP="006D374D">
      <w:pPr>
        <w:jc w:val="both"/>
        <w:rPr>
          <w:rFonts w:ascii="Arial" w:hAnsi="Arial" w:cs="Arial"/>
          <w:b/>
          <w:sz w:val="24"/>
        </w:rPr>
      </w:pPr>
      <w:r>
        <w:rPr>
          <w:rFonts w:ascii="Arial" w:hAnsi="Arial" w:cs="Arial"/>
          <w:b/>
          <w:sz w:val="24"/>
        </w:rPr>
        <w:t>Escalation</w:t>
      </w:r>
    </w:p>
    <w:p w:rsidR="00077C98" w:rsidRDefault="00077C98" w:rsidP="006D374D">
      <w:pPr>
        <w:jc w:val="both"/>
        <w:rPr>
          <w:rFonts w:ascii="Arial" w:hAnsi="Arial" w:cs="Arial"/>
          <w:sz w:val="24"/>
          <w:szCs w:val="23"/>
        </w:rPr>
      </w:pPr>
      <w:r w:rsidRPr="00077C98">
        <w:rPr>
          <w:rFonts w:ascii="Arial" w:hAnsi="Arial" w:cs="Arial"/>
          <w:sz w:val="24"/>
          <w:szCs w:val="23"/>
        </w:rPr>
        <w:t>Teams should continue to work together</w:t>
      </w:r>
      <w:r>
        <w:rPr>
          <w:rFonts w:ascii="Arial" w:hAnsi="Arial" w:cs="Arial"/>
          <w:sz w:val="24"/>
          <w:szCs w:val="23"/>
        </w:rPr>
        <w:t>,</w:t>
      </w:r>
      <w:r w:rsidRPr="00077C98">
        <w:rPr>
          <w:rFonts w:ascii="Arial" w:hAnsi="Arial" w:cs="Arial"/>
          <w:sz w:val="24"/>
          <w:szCs w:val="23"/>
        </w:rPr>
        <w:t xml:space="preserve"> innovatively and flexibly to support people in their area or service and subsequently other teams and services.</w:t>
      </w:r>
    </w:p>
    <w:p w:rsidR="00D06696" w:rsidRDefault="00D06696" w:rsidP="006D374D">
      <w:pPr>
        <w:jc w:val="both"/>
        <w:rPr>
          <w:rFonts w:ascii="Arial" w:hAnsi="Arial" w:cs="Arial"/>
          <w:sz w:val="24"/>
        </w:rPr>
      </w:pPr>
      <w:r>
        <w:rPr>
          <w:rFonts w:ascii="Arial" w:hAnsi="Arial" w:cs="Arial"/>
          <w:sz w:val="24"/>
        </w:rPr>
        <w:t xml:space="preserve">If </w:t>
      </w:r>
      <w:r w:rsidR="0064750E">
        <w:rPr>
          <w:rFonts w:ascii="Arial" w:hAnsi="Arial" w:cs="Arial"/>
          <w:sz w:val="24"/>
        </w:rPr>
        <w:t>teams are not able to</w:t>
      </w:r>
      <w:r>
        <w:rPr>
          <w:rFonts w:ascii="Arial" w:hAnsi="Arial" w:cs="Arial"/>
          <w:sz w:val="24"/>
        </w:rPr>
        <w:t xml:space="preserve"> provide a same day response in high</w:t>
      </w:r>
      <w:r w:rsidR="00F65A80">
        <w:rPr>
          <w:rFonts w:ascii="Arial" w:hAnsi="Arial" w:cs="Arial"/>
          <w:sz w:val="24"/>
        </w:rPr>
        <w:t>/</w:t>
      </w:r>
      <w:r w:rsidR="006C79B9">
        <w:rPr>
          <w:rFonts w:ascii="Arial" w:hAnsi="Arial" w:cs="Arial"/>
          <w:sz w:val="24"/>
        </w:rPr>
        <w:t>red</w:t>
      </w:r>
      <w:r w:rsidR="00F65A80">
        <w:rPr>
          <w:rFonts w:ascii="Arial" w:hAnsi="Arial" w:cs="Arial"/>
          <w:sz w:val="24"/>
        </w:rPr>
        <w:t xml:space="preserve"> situation</w:t>
      </w:r>
      <w:r w:rsidR="0064750E">
        <w:rPr>
          <w:rFonts w:ascii="Arial" w:hAnsi="Arial" w:cs="Arial"/>
          <w:sz w:val="24"/>
        </w:rPr>
        <w:t xml:space="preserve">s, this must be escalated to the team manager. </w:t>
      </w:r>
      <w:r w:rsidR="00077C98">
        <w:rPr>
          <w:rFonts w:ascii="Arial" w:hAnsi="Arial" w:cs="Arial"/>
          <w:sz w:val="24"/>
        </w:rPr>
        <w:t xml:space="preserve">If the team manager is unable to find a resolution they should escalate to the Head of Service without delay to determine the most appropriate response. </w:t>
      </w:r>
      <w:r w:rsidR="0064750E">
        <w:rPr>
          <w:rFonts w:ascii="Arial" w:hAnsi="Arial" w:cs="Arial"/>
          <w:sz w:val="24"/>
        </w:rPr>
        <w:t xml:space="preserve">If the team manager is not available please escalate straight to your head of service.  </w:t>
      </w:r>
    </w:p>
    <w:p w:rsidR="00F16282" w:rsidRPr="00D06696" w:rsidRDefault="00F16282" w:rsidP="006D374D">
      <w:pPr>
        <w:jc w:val="both"/>
        <w:rPr>
          <w:rFonts w:ascii="Arial" w:hAnsi="Arial" w:cs="Arial"/>
          <w:sz w:val="24"/>
        </w:rPr>
      </w:pPr>
      <w:r>
        <w:rPr>
          <w:rFonts w:ascii="Arial" w:hAnsi="Arial" w:cs="Arial"/>
          <w:sz w:val="24"/>
        </w:rPr>
        <w:t xml:space="preserve">The adult services senior leadership team will maintain oversight of demand across the directorate to manage risk and support a whole service approach. </w:t>
      </w:r>
    </w:p>
    <w:p w:rsidR="00D06696" w:rsidRDefault="00D06696" w:rsidP="006D374D">
      <w:pPr>
        <w:jc w:val="both"/>
        <w:rPr>
          <w:rFonts w:ascii="Arial" w:hAnsi="Arial" w:cs="Arial"/>
          <w:b/>
          <w:sz w:val="24"/>
        </w:rPr>
      </w:pPr>
    </w:p>
    <w:p w:rsidR="00D06696" w:rsidRDefault="00D06696">
      <w:pPr>
        <w:rPr>
          <w:rFonts w:ascii="Arial" w:hAnsi="Arial" w:cs="Arial"/>
          <w:b/>
          <w:sz w:val="24"/>
        </w:rPr>
      </w:pPr>
    </w:p>
    <w:p w:rsidR="00B16D0D" w:rsidRDefault="00B16D0D">
      <w:pPr>
        <w:rPr>
          <w:rFonts w:ascii="Arial" w:hAnsi="Arial" w:cs="Arial"/>
          <w:b/>
          <w:sz w:val="24"/>
        </w:rPr>
      </w:pPr>
    </w:p>
    <w:p w:rsidR="00B16D0D" w:rsidRDefault="00B16D0D">
      <w:pPr>
        <w:rPr>
          <w:rFonts w:ascii="Arial" w:hAnsi="Arial" w:cs="Arial"/>
          <w:b/>
          <w:sz w:val="24"/>
        </w:rPr>
      </w:pPr>
    </w:p>
    <w:p w:rsidR="00161896" w:rsidRDefault="00161896">
      <w:pPr>
        <w:rPr>
          <w:rFonts w:ascii="Arial" w:hAnsi="Arial" w:cs="Arial"/>
          <w:b/>
          <w:sz w:val="24"/>
        </w:rPr>
        <w:sectPr w:rsidR="00161896" w:rsidSect="007A4794">
          <w:footerReference w:type="default" r:id="rId10"/>
          <w:headerReference w:type="first" r:id="rId11"/>
          <w:footerReference w:type="first" r:id="rId12"/>
          <w:pgSz w:w="11906" w:h="16838"/>
          <w:pgMar w:top="1440" w:right="1440" w:bottom="1440" w:left="1440" w:header="709" w:footer="709" w:gutter="0"/>
          <w:cols w:space="708"/>
          <w:docGrid w:linePitch="360"/>
        </w:sectPr>
      </w:pPr>
    </w:p>
    <w:tbl>
      <w:tblPr>
        <w:tblStyle w:val="TableGrid"/>
        <w:tblpPr w:leftFromText="180" w:rightFromText="180" w:vertAnchor="page" w:horzAnchor="margin" w:tblpXSpec="center" w:tblpY="1241"/>
        <w:tblW w:w="16290" w:type="dxa"/>
        <w:tblLook w:val="04A0" w:firstRow="1" w:lastRow="0" w:firstColumn="1" w:lastColumn="0" w:noHBand="0" w:noVBand="1"/>
      </w:tblPr>
      <w:tblGrid>
        <w:gridCol w:w="4403"/>
        <w:gridCol w:w="7338"/>
        <w:gridCol w:w="4549"/>
      </w:tblGrid>
      <w:tr w:rsidR="00B16D0D" w:rsidRPr="008A630D" w:rsidTr="000628F5">
        <w:trPr>
          <w:trHeight w:val="264"/>
        </w:trPr>
        <w:tc>
          <w:tcPr>
            <w:tcW w:w="4403" w:type="dxa"/>
            <w:shd w:val="clear" w:color="auto" w:fill="F2F2F2" w:themeFill="background1" w:themeFillShade="F2"/>
          </w:tcPr>
          <w:p w:rsidR="00B16D0D" w:rsidRPr="000628F5" w:rsidRDefault="00B16D0D" w:rsidP="00023B7A">
            <w:pPr>
              <w:ind w:left="360"/>
              <w:rPr>
                <w:rFonts w:ascii="Arial" w:hAnsi="Arial" w:cs="Arial"/>
                <w:b/>
                <w:sz w:val="20"/>
              </w:rPr>
            </w:pPr>
            <w:bookmarkStart w:id="1" w:name="Risk_Tool" w:colFirst="0" w:colLast="0"/>
            <w:r w:rsidRPr="000628F5">
              <w:rPr>
                <w:rFonts w:ascii="Arial" w:hAnsi="Arial" w:cs="Arial"/>
                <w:b/>
                <w:sz w:val="20"/>
              </w:rPr>
              <w:lastRenderedPageBreak/>
              <w:t xml:space="preserve">High </w:t>
            </w:r>
            <w:r w:rsidR="00A655EF">
              <w:rPr>
                <w:rFonts w:ascii="Arial" w:hAnsi="Arial" w:cs="Arial"/>
                <w:b/>
                <w:sz w:val="20"/>
              </w:rPr>
              <w:t>/ Red</w:t>
            </w:r>
          </w:p>
        </w:tc>
        <w:tc>
          <w:tcPr>
            <w:tcW w:w="7338" w:type="dxa"/>
            <w:shd w:val="clear" w:color="auto" w:fill="F2F2F2" w:themeFill="background1" w:themeFillShade="F2"/>
          </w:tcPr>
          <w:p w:rsidR="00B16D0D" w:rsidRPr="000628F5" w:rsidRDefault="00B16D0D" w:rsidP="00023B7A">
            <w:pPr>
              <w:ind w:left="360"/>
              <w:rPr>
                <w:rFonts w:ascii="Arial" w:hAnsi="Arial" w:cs="Arial"/>
                <w:b/>
                <w:sz w:val="20"/>
              </w:rPr>
            </w:pPr>
            <w:r w:rsidRPr="000628F5">
              <w:rPr>
                <w:rFonts w:ascii="Arial" w:hAnsi="Arial" w:cs="Arial"/>
                <w:b/>
                <w:sz w:val="20"/>
              </w:rPr>
              <w:t>Normal</w:t>
            </w:r>
            <w:r w:rsidR="00A655EF">
              <w:rPr>
                <w:rFonts w:ascii="Arial" w:hAnsi="Arial" w:cs="Arial"/>
                <w:b/>
                <w:sz w:val="20"/>
              </w:rPr>
              <w:t xml:space="preserve"> / Amber</w:t>
            </w:r>
          </w:p>
        </w:tc>
        <w:tc>
          <w:tcPr>
            <w:tcW w:w="4549" w:type="dxa"/>
            <w:shd w:val="clear" w:color="auto" w:fill="F2F2F2" w:themeFill="background1" w:themeFillShade="F2"/>
          </w:tcPr>
          <w:p w:rsidR="00B16D0D" w:rsidRPr="000628F5" w:rsidRDefault="00B16D0D" w:rsidP="00023B7A">
            <w:pPr>
              <w:ind w:left="360"/>
              <w:rPr>
                <w:rFonts w:ascii="Arial" w:hAnsi="Arial" w:cs="Arial"/>
                <w:b/>
                <w:sz w:val="20"/>
              </w:rPr>
            </w:pPr>
            <w:r w:rsidRPr="000628F5">
              <w:rPr>
                <w:rFonts w:ascii="Arial" w:hAnsi="Arial" w:cs="Arial"/>
                <w:b/>
                <w:sz w:val="20"/>
              </w:rPr>
              <w:t>Low</w:t>
            </w:r>
            <w:r w:rsidR="00A655EF">
              <w:rPr>
                <w:rFonts w:ascii="Arial" w:hAnsi="Arial" w:cs="Arial"/>
                <w:b/>
                <w:sz w:val="20"/>
              </w:rPr>
              <w:t xml:space="preserve"> / Green</w:t>
            </w:r>
          </w:p>
        </w:tc>
      </w:tr>
      <w:tr w:rsidR="00B16D0D" w:rsidRPr="007956D2" w:rsidTr="006D5A61">
        <w:trPr>
          <w:trHeight w:val="8724"/>
        </w:trPr>
        <w:tc>
          <w:tcPr>
            <w:tcW w:w="4403" w:type="dxa"/>
            <w:shd w:val="clear" w:color="auto" w:fill="FF0000"/>
          </w:tcPr>
          <w:p w:rsidR="00B16D0D" w:rsidRPr="007956D2" w:rsidRDefault="00B16D0D" w:rsidP="00B16D0D">
            <w:pPr>
              <w:pStyle w:val="Default"/>
              <w:numPr>
                <w:ilvl w:val="0"/>
                <w:numId w:val="8"/>
              </w:numPr>
              <w:rPr>
                <w:sz w:val="20"/>
                <w:szCs w:val="22"/>
              </w:rPr>
            </w:pPr>
            <w:r w:rsidRPr="007956D2">
              <w:rPr>
                <w:sz w:val="20"/>
                <w:szCs w:val="22"/>
              </w:rPr>
              <w:t>Immediate and/or unmanaged risk to the safety/survival</w:t>
            </w:r>
            <w:r w:rsidR="00911E6A">
              <w:rPr>
                <w:sz w:val="20"/>
                <w:szCs w:val="22"/>
              </w:rPr>
              <w:t xml:space="preserve"> of the person or others</w:t>
            </w:r>
          </w:p>
          <w:p w:rsidR="00B16D0D" w:rsidRPr="007956D2" w:rsidRDefault="00B16D0D" w:rsidP="00B16D0D">
            <w:pPr>
              <w:pStyle w:val="Default"/>
              <w:numPr>
                <w:ilvl w:val="0"/>
                <w:numId w:val="8"/>
              </w:numPr>
              <w:rPr>
                <w:sz w:val="20"/>
                <w:szCs w:val="22"/>
              </w:rPr>
            </w:pPr>
            <w:r w:rsidRPr="007956D2">
              <w:rPr>
                <w:sz w:val="20"/>
                <w:szCs w:val="22"/>
              </w:rPr>
              <w:t xml:space="preserve">Missing person with concerns for mental health or mental capacity </w:t>
            </w:r>
          </w:p>
          <w:p w:rsidR="00B16D0D" w:rsidRDefault="00B16D0D" w:rsidP="00B16D0D">
            <w:pPr>
              <w:pStyle w:val="Default"/>
              <w:numPr>
                <w:ilvl w:val="0"/>
                <w:numId w:val="8"/>
              </w:numPr>
              <w:rPr>
                <w:sz w:val="20"/>
                <w:szCs w:val="22"/>
              </w:rPr>
            </w:pPr>
            <w:r w:rsidRPr="00E527D8">
              <w:rPr>
                <w:sz w:val="20"/>
                <w:szCs w:val="22"/>
              </w:rPr>
              <w:t>Care and support arrangements have broken down</w:t>
            </w:r>
            <w:r w:rsidR="003168B7">
              <w:rPr>
                <w:sz w:val="20"/>
                <w:szCs w:val="22"/>
              </w:rPr>
              <w:t xml:space="preserve"> (p</w:t>
            </w:r>
            <w:r w:rsidRPr="00E527D8">
              <w:rPr>
                <w:sz w:val="20"/>
                <w:szCs w:val="22"/>
              </w:rPr>
              <w:t>aid or unpaid care)</w:t>
            </w:r>
          </w:p>
          <w:p w:rsidR="003168B7" w:rsidRPr="00E527D8" w:rsidRDefault="003168B7" w:rsidP="00B16D0D">
            <w:pPr>
              <w:pStyle w:val="Default"/>
              <w:numPr>
                <w:ilvl w:val="0"/>
                <w:numId w:val="8"/>
              </w:numPr>
              <w:rPr>
                <w:sz w:val="20"/>
                <w:szCs w:val="22"/>
              </w:rPr>
            </w:pPr>
            <w:r>
              <w:rPr>
                <w:sz w:val="20"/>
                <w:szCs w:val="22"/>
              </w:rPr>
              <w:t>Provider failure – closure of a service with immediate effect</w:t>
            </w:r>
          </w:p>
          <w:p w:rsidR="00B16D0D" w:rsidRPr="007956D2" w:rsidRDefault="00B16D0D" w:rsidP="00B16D0D">
            <w:pPr>
              <w:pStyle w:val="Default"/>
              <w:numPr>
                <w:ilvl w:val="0"/>
                <w:numId w:val="8"/>
              </w:numPr>
              <w:rPr>
                <w:sz w:val="20"/>
                <w:szCs w:val="22"/>
              </w:rPr>
            </w:pPr>
            <w:r w:rsidRPr="007956D2">
              <w:rPr>
                <w:sz w:val="20"/>
                <w:szCs w:val="22"/>
              </w:rPr>
              <w:t xml:space="preserve">Nature or risk of harm/abuse is unknown and urgent risk assessment required </w:t>
            </w:r>
          </w:p>
          <w:p w:rsidR="00B16D0D" w:rsidRPr="007956D2" w:rsidRDefault="00B16D0D" w:rsidP="00B16D0D">
            <w:pPr>
              <w:pStyle w:val="Default"/>
              <w:numPr>
                <w:ilvl w:val="0"/>
                <w:numId w:val="8"/>
              </w:numPr>
              <w:rPr>
                <w:sz w:val="20"/>
                <w:szCs w:val="22"/>
              </w:rPr>
            </w:pPr>
            <w:r w:rsidRPr="007956D2">
              <w:rPr>
                <w:sz w:val="20"/>
                <w:szCs w:val="22"/>
              </w:rPr>
              <w:t xml:space="preserve">Risk to self or others where significant harm has / or is likely to occur </w:t>
            </w:r>
          </w:p>
          <w:p w:rsidR="00B16D0D" w:rsidRPr="007956D2" w:rsidRDefault="00B16D0D" w:rsidP="00B16D0D">
            <w:pPr>
              <w:pStyle w:val="Default"/>
              <w:numPr>
                <w:ilvl w:val="0"/>
                <w:numId w:val="8"/>
              </w:numPr>
              <w:rPr>
                <w:sz w:val="20"/>
                <w:szCs w:val="22"/>
              </w:rPr>
            </w:pPr>
            <w:r w:rsidRPr="007956D2">
              <w:rPr>
                <w:sz w:val="20"/>
                <w:szCs w:val="22"/>
              </w:rPr>
              <w:t xml:space="preserve">S42 enquiry with unmanaged risks to one or more people </w:t>
            </w:r>
          </w:p>
          <w:p w:rsidR="00B16D0D" w:rsidRPr="007956D2" w:rsidRDefault="00B16D0D" w:rsidP="00B16D0D">
            <w:pPr>
              <w:pStyle w:val="Default"/>
              <w:numPr>
                <w:ilvl w:val="0"/>
                <w:numId w:val="8"/>
              </w:numPr>
              <w:rPr>
                <w:sz w:val="20"/>
                <w:szCs w:val="22"/>
              </w:rPr>
            </w:pPr>
            <w:r w:rsidRPr="007956D2">
              <w:rPr>
                <w:sz w:val="20"/>
                <w:szCs w:val="22"/>
              </w:rPr>
              <w:t xml:space="preserve">Rapidly declining physical health, mental health, wellbeing and urgent need for care and support, which if not met, present an immediate risk to the person or others </w:t>
            </w:r>
          </w:p>
          <w:p w:rsidR="00B16D0D" w:rsidRPr="007956D2" w:rsidRDefault="00B16D0D" w:rsidP="00B16D0D">
            <w:pPr>
              <w:pStyle w:val="Default"/>
              <w:numPr>
                <w:ilvl w:val="0"/>
                <w:numId w:val="8"/>
              </w:numPr>
              <w:rPr>
                <w:sz w:val="20"/>
                <w:szCs w:val="22"/>
              </w:rPr>
            </w:pPr>
            <w:r w:rsidRPr="007956D2">
              <w:rPr>
                <w:sz w:val="20"/>
                <w:szCs w:val="22"/>
              </w:rPr>
              <w:t xml:space="preserve">Hospital discharge to support exceptional health system pressure </w:t>
            </w:r>
          </w:p>
          <w:p w:rsidR="00B16D0D" w:rsidRDefault="00B16D0D" w:rsidP="00B16D0D">
            <w:pPr>
              <w:pStyle w:val="Default"/>
              <w:numPr>
                <w:ilvl w:val="0"/>
                <w:numId w:val="8"/>
              </w:numPr>
              <w:rPr>
                <w:sz w:val="20"/>
                <w:szCs w:val="22"/>
              </w:rPr>
            </w:pPr>
            <w:r w:rsidRPr="007956D2">
              <w:rPr>
                <w:sz w:val="20"/>
                <w:szCs w:val="22"/>
              </w:rPr>
              <w:t xml:space="preserve">Mental Health Act assessment </w:t>
            </w:r>
          </w:p>
          <w:p w:rsidR="00940C31" w:rsidRPr="007956D2" w:rsidRDefault="00940C31" w:rsidP="00B16D0D">
            <w:pPr>
              <w:pStyle w:val="Default"/>
              <w:numPr>
                <w:ilvl w:val="0"/>
                <w:numId w:val="8"/>
              </w:numPr>
              <w:rPr>
                <w:sz w:val="20"/>
                <w:szCs w:val="22"/>
              </w:rPr>
            </w:pPr>
            <w:r>
              <w:rPr>
                <w:sz w:val="20"/>
                <w:szCs w:val="22"/>
              </w:rPr>
              <w:t xml:space="preserve">Person is homeless </w:t>
            </w:r>
          </w:p>
          <w:p w:rsidR="00B16D0D" w:rsidRPr="007956D2" w:rsidRDefault="00B16D0D" w:rsidP="00B16D0D">
            <w:pPr>
              <w:pStyle w:val="Default"/>
              <w:numPr>
                <w:ilvl w:val="0"/>
                <w:numId w:val="8"/>
              </w:numPr>
              <w:rPr>
                <w:sz w:val="20"/>
                <w:szCs w:val="22"/>
              </w:rPr>
            </w:pPr>
            <w:r w:rsidRPr="007956D2">
              <w:rPr>
                <w:sz w:val="20"/>
                <w:szCs w:val="22"/>
              </w:rPr>
              <w:t xml:space="preserve">OT manual handling risk to person/carer </w:t>
            </w:r>
          </w:p>
          <w:p w:rsidR="00B16D0D" w:rsidRPr="007956D2" w:rsidRDefault="00B16D0D" w:rsidP="00B16D0D">
            <w:pPr>
              <w:pStyle w:val="Default"/>
              <w:numPr>
                <w:ilvl w:val="0"/>
                <w:numId w:val="8"/>
              </w:numPr>
              <w:rPr>
                <w:sz w:val="20"/>
                <w:szCs w:val="22"/>
              </w:rPr>
            </w:pPr>
            <w:r w:rsidRPr="007956D2">
              <w:rPr>
                <w:sz w:val="20"/>
                <w:szCs w:val="22"/>
              </w:rPr>
              <w:t xml:space="preserve">Urgent need to review/replace equipment without which there is an immediate risk to the person/carer </w:t>
            </w:r>
          </w:p>
        </w:tc>
        <w:tc>
          <w:tcPr>
            <w:tcW w:w="7338" w:type="dxa"/>
            <w:shd w:val="clear" w:color="auto" w:fill="FFC000" w:themeFill="accent4"/>
          </w:tcPr>
          <w:p w:rsidR="00B16D0D" w:rsidRPr="007956D2" w:rsidRDefault="00B16D0D" w:rsidP="00B16D0D">
            <w:pPr>
              <w:pStyle w:val="Default"/>
              <w:numPr>
                <w:ilvl w:val="0"/>
                <w:numId w:val="7"/>
              </w:numPr>
              <w:rPr>
                <w:sz w:val="20"/>
                <w:szCs w:val="22"/>
              </w:rPr>
            </w:pPr>
            <w:r w:rsidRPr="007956D2">
              <w:rPr>
                <w:sz w:val="20"/>
                <w:szCs w:val="22"/>
              </w:rPr>
              <w:t>Extensive care and support needs where harm may occur now or in the future</w:t>
            </w:r>
          </w:p>
          <w:p w:rsidR="00B16D0D" w:rsidRPr="007956D2" w:rsidRDefault="00B16D0D" w:rsidP="00B16D0D">
            <w:pPr>
              <w:pStyle w:val="Default"/>
              <w:numPr>
                <w:ilvl w:val="0"/>
                <w:numId w:val="7"/>
              </w:numPr>
              <w:rPr>
                <w:sz w:val="20"/>
                <w:szCs w:val="22"/>
              </w:rPr>
            </w:pPr>
            <w:r w:rsidRPr="007956D2">
              <w:rPr>
                <w:sz w:val="20"/>
                <w:szCs w:val="22"/>
              </w:rPr>
              <w:t xml:space="preserve">Temporarily mitigated risk of relationship or care breakdown </w:t>
            </w:r>
          </w:p>
          <w:p w:rsidR="00B16D0D" w:rsidRPr="007956D2" w:rsidRDefault="00B16D0D" w:rsidP="00B16D0D">
            <w:pPr>
              <w:pStyle w:val="Default"/>
              <w:numPr>
                <w:ilvl w:val="0"/>
                <w:numId w:val="7"/>
              </w:numPr>
              <w:rPr>
                <w:sz w:val="20"/>
                <w:szCs w:val="22"/>
              </w:rPr>
            </w:pPr>
            <w:r w:rsidRPr="007956D2">
              <w:rPr>
                <w:sz w:val="20"/>
                <w:szCs w:val="22"/>
              </w:rPr>
              <w:t xml:space="preserve">Person’s presentation or degree of vulnerability recently increased </w:t>
            </w:r>
          </w:p>
          <w:p w:rsidR="00B16D0D" w:rsidRPr="007956D2" w:rsidRDefault="00B16D0D" w:rsidP="00B16D0D">
            <w:pPr>
              <w:pStyle w:val="Default"/>
              <w:numPr>
                <w:ilvl w:val="0"/>
                <w:numId w:val="7"/>
              </w:numPr>
              <w:rPr>
                <w:sz w:val="20"/>
                <w:szCs w:val="22"/>
              </w:rPr>
            </w:pPr>
            <w:r w:rsidRPr="007956D2">
              <w:rPr>
                <w:sz w:val="20"/>
                <w:szCs w:val="22"/>
              </w:rPr>
              <w:t xml:space="preserve">Concern around mental capacity in relation to current/known risk or current decision </w:t>
            </w:r>
          </w:p>
          <w:p w:rsidR="00B16D0D" w:rsidRPr="007956D2" w:rsidRDefault="00B16D0D" w:rsidP="00B16D0D">
            <w:pPr>
              <w:pStyle w:val="Default"/>
              <w:numPr>
                <w:ilvl w:val="0"/>
                <w:numId w:val="7"/>
              </w:numPr>
              <w:rPr>
                <w:sz w:val="20"/>
                <w:szCs w:val="22"/>
              </w:rPr>
            </w:pPr>
            <w:r w:rsidRPr="007956D2">
              <w:rPr>
                <w:sz w:val="20"/>
                <w:szCs w:val="22"/>
              </w:rPr>
              <w:t>Care Act s11 request</w:t>
            </w:r>
            <w:r w:rsidR="00911E6A">
              <w:rPr>
                <w:sz w:val="20"/>
                <w:szCs w:val="22"/>
              </w:rPr>
              <w:t xml:space="preserve"> (refusal of assessment where there are mental capacity and/or safeguarding concerns)</w:t>
            </w:r>
          </w:p>
          <w:p w:rsidR="00B16D0D" w:rsidRPr="007956D2" w:rsidRDefault="00B16D0D" w:rsidP="00B16D0D">
            <w:pPr>
              <w:pStyle w:val="Default"/>
              <w:numPr>
                <w:ilvl w:val="0"/>
                <w:numId w:val="7"/>
              </w:numPr>
              <w:rPr>
                <w:sz w:val="20"/>
                <w:szCs w:val="22"/>
              </w:rPr>
            </w:pPr>
            <w:r w:rsidRPr="007956D2">
              <w:rPr>
                <w:sz w:val="20"/>
                <w:szCs w:val="22"/>
              </w:rPr>
              <w:t xml:space="preserve">Request for carers assessment or review with risk of carer breakdown </w:t>
            </w:r>
          </w:p>
          <w:p w:rsidR="00B16D0D" w:rsidRPr="007956D2" w:rsidRDefault="00B16D0D" w:rsidP="00B16D0D">
            <w:pPr>
              <w:pStyle w:val="Default"/>
              <w:numPr>
                <w:ilvl w:val="0"/>
                <w:numId w:val="7"/>
              </w:numPr>
              <w:rPr>
                <w:sz w:val="20"/>
                <w:szCs w:val="22"/>
              </w:rPr>
            </w:pPr>
            <w:r w:rsidRPr="007956D2">
              <w:rPr>
                <w:sz w:val="20"/>
                <w:szCs w:val="22"/>
              </w:rPr>
              <w:t xml:space="preserve">Self-neglect concerns impacting persons wellbeing </w:t>
            </w:r>
          </w:p>
          <w:p w:rsidR="00B16D0D" w:rsidRPr="007956D2" w:rsidRDefault="00B16D0D" w:rsidP="00B16D0D">
            <w:pPr>
              <w:pStyle w:val="Default"/>
              <w:numPr>
                <w:ilvl w:val="0"/>
                <w:numId w:val="7"/>
              </w:numPr>
              <w:rPr>
                <w:sz w:val="20"/>
                <w:szCs w:val="22"/>
              </w:rPr>
            </w:pPr>
            <w:r w:rsidRPr="007956D2">
              <w:rPr>
                <w:sz w:val="20"/>
                <w:szCs w:val="22"/>
              </w:rPr>
              <w:t xml:space="preserve">Person living in unsafe environment (physical or lack of support) </w:t>
            </w:r>
          </w:p>
          <w:p w:rsidR="00911E6A" w:rsidRDefault="00B16D0D" w:rsidP="00B16D0D">
            <w:pPr>
              <w:pStyle w:val="Default"/>
              <w:numPr>
                <w:ilvl w:val="0"/>
                <w:numId w:val="7"/>
              </w:numPr>
              <w:rPr>
                <w:sz w:val="20"/>
                <w:szCs w:val="22"/>
              </w:rPr>
            </w:pPr>
            <w:r w:rsidRPr="00911E6A">
              <w:rPr>
                <w:sz w:val="20"/>
                <w:szCs w:val="22"/>
              </w:rPr>
              <w:t>Risk to tenancy, risk of homelessness</w:t>
            </w:r>
          </w:p>
          <w:p w:rsidR="00B16D0D" w:rsidRPr="00911E6A" w:rsidRDefault="00B16D0D" w:rsidP="00B16D0D">
            <w:pPr>
              <w:pStyle w:val="Default"/>
              <w:numPr>
                <w:ilvl w:val="0"/>
                <w:numId w:val="7"/>
              </w:numPr>
              <w:rPr>
                <w:sz w:val="20"/>
                <w:szCs w:val="22"/>
              </w:rPr>
            </w:pPr>
            <w:r w:rsidRPr="00911E6A">
              <w:rPr>
                <w:sz w:val="20"/>
                <w:szCs w:val="22"/>
              </w:rPr>
              <w:t xml:space="preserve">Request for MCA 21a challenge / COP3 / MCA for deputyship / Community </w:t>
            </w:r>
            <w:proofErr w:type="spellStart"/>
            <w:r w:rsidRPr="00911E6A">
              <w:rPr>
                <w:sz w:val="20"/>
                <w:szCs w:val="22"/>
              </w:rPr>
              <w:t>DoLS</w:t>
            </w:r>
            <w:proofErr w:type="spellEnd"/>
            <w:r w:rsidRPr="00911E6A">
              <w:rPr>
                <w:sz w:val="20"/>
                <w:szCs w:val="22"/>
              </w:rPr>
              <w:t xml:space="preserve"> where person is not safe </w:t>
            </w:r>
          </w:p>
          <w:p w:rsidR="00B16D0D" w:rsidRPr="007956D2" w:rsidRDefault="00B16D0D" w:rsidP="00B16D0D">
            <w:pPr>
              <w:pStyle w:val="Default"/>
              <w:numPr>
                <w:ilvl w:val="0"/>
                <w:numId w:val="7"/>
              </w:numPr>
              <w:rPr>
                <w:sz w:val="20"/>
                <w:szCs w:val="22"/>
              </w:rPr>
            </w:pPr>
            <w:r w:rsidRPr="007956D2">
              <w:rPr>
                <w:sz w:val="20"/>
                <w:szCs w:val="22"/>
              </w:rPr>
              <w:t xml:space="preserve">The person has a medical issue impacting on their wellbeing </w:t>
            </w:r>
          </w:p>
          <w:p w:rsidR="00B16D0D" w:rsidRPr="007956D2" w:rsidRDefault="00B16D0D" w:rsidP="00B16D0D">
            <w:pPr>
              <w:pStyle w:val="Default"/>
              <w:numPr>
                <w:ilvl w:val="0"/>
                <w:numId w:val="7"/>
              </w:numPr>
              <w:rPr>
                <w:sz w:val="20"/>
                <w:szCs w:val="22"/>
              </w:rPr>
            </w:pPr>
            <w:r w:rsidRPr="007956D2">
              <w:rPr>
                <w:sz w:val="20"/>
                <w:szCs w:val="22"/>
              </w:rPr>
              <w:t xml:space="preserve">The person has regular contact with emergency services including police, fire, or ambulance </w:t>
            </w:r>
          </w:p>
          <w:p w:rsidR="00B16D0D" w:rsidRPr="007956D2" w:rsidRDefault="00B16D0D" w:rsidP="00B16D0D">
            <w:pPr>
              <w:pStyle w:val="Default"/>
              <w:numPr>
                <w:ilvl w:val="0"/>
                <w:numId w:val="7"/>
              </w:numPr>
              <w:rPr>
                <w:sz w:val="20"/>
                <w:szCs w:val="22"/>
              </w:rPr>
            </w:pPr>
            <w:r w:rsidRPr="007956D2">
              <w:rPr>
                <w:sz w:val="20"/>
                <w:szCs w:val="22"/>
              </w:rPr>
              <w:t xml:space="preserve">Person has drug/alcohol dependency/misuse or mental health need and no services in place </w:t>
            </w:r>
          </w:p>
          <w:p w:rsidR="00B16D0D" w:rsidRPr="007956D2" w:rsidRDefault="00B16D0D" w:rsidP="00B16D0D">
            <w:pPr>
              <w:pStyle w:val="Default"/>
              <w:numPr>
                <w:ilvl w:val="0"/>
                <w:numId w:val="7"/>
              </w:numPr>
              <w:rPr>
                <w:sz w:val="20"/>
                <w:szCs w:val="22"/>
              </w:rPr>
            </w:pPr>
            <w:r w:rsidRPr="007956D2">
              <w:rPr>
                <w:sz w:val="20"/>
                <w:szCs w:val="22"/>
              </w:rPr>
              <w:t xml:space="preserve">Socially isolated and no support networks in place </w:t>
            </w:r>
          </w:p>
          <w:p w:rsidR="00B16D0D" w:rsidRPr="007956D2" w:rsidRDefault="00B16D0D" w:rsidP="00B16D0D">
            <w:pPr>
              <w:pStyle w:val="Default"/>
              <w:numPr>
                <w:ilvl w:val="0"/>
                <w:numId w:val="7"/>
              </w:numPr>
              <w:rPr>
                <w:sz w:val="20"/>
                <w:szCs w:val="22"/>
              </w:rPr>
            </w:pPr>
            <w:r w:rsidRPr="007956D2">
              <w:rPr>
                <w:sz w:val="20"/>
                <w:szCs w:val="22"/>
              </w:rPr>
              <w:t xml:space="preserve">Communication needs impacting on ability to communicate with others or to seek support </w:t>
            </w:r>
          </w:p>
          <w:p w:rsidR="00B16D0D" w:rsidRPr="007956D2" w:rsidRDefault="00B16D0D" w:rsidP="00B16D0D">
            <w:pPr>
              <w:pStyle w:val="Default"/>
              <w:numPr>
                <w:ilvl w:val="0"/>
                <w:numId w:val="7"/>
              </w:numPr>
              <w:rPr>
                <w:sz w:val="20"/>
                <w:szCs w:val="22"/>
              </w:rPr>
            </w:pPr>
            <w:r w:rsidRPr="007956D2">
              <w:rPr>
                <w:sz w:val="20"/>
                <w:szCs w:val="22"/>
              </w:rPr>
              <w:t xml:space="preserve">Time critical work: CHC DST, court report, capital depletion (funds running out), hospital discharge </w:t>
            </w:r>
          </w:p>
          <w:p w:rsidR="00B16D0D" w:rsidRPr="007956D2" w:rsidRDefault="00B16D0D" w:rsidP="00B16D0D">
            <w:pPr>
              <w:pStyle w:val="Default"/>
              <w:numPr>
                <w:ilvl w:val="0"/>
                <w:numId w:val="7"/>
              </w:numPr>
              <w:rPr>
                <w:sz w:val="20"/>
                <w:szCs w:val="22"/>
              </w:rPr>
            </w:pPr>
            <w:r w:rsidRPr="007956D2">
              <w:rPr>
                <w:sz w:val="20"/>
                <w:szCs w:val="22"/>
              </w:rPr>
              <w:t xml:space="preserve">Significant funding implications for the council (unpaid contributions, debt, direct payment management) </w:t>
            </w:r>
          </w:p>
          <w:p w:rsidR="00B16D0D" w:rsidRPr="007956D2" w:rsidRDefault="00B16D0D" w:rsidP="00B16D0D">
            <w:pPr>
              <w:pStyle w:val="Default"/>
              <w:numPr>
                <w:ilvl w:val="0"/>
                <w:numId w:val="7"/>
              </w:numPr>
              <w:rPr>
                <w:sz w:val="20"/>
                <w:szCs w:val="22"/>
              </w:rPr>
            </w:pPr>
            <w:r w:rsidRPr="007956D2">
              <w:rPr>
                <w:sz w:val="20"/>
                <w:szCs w:val="22"/>
              </w:rPr>
              <w:t xml:space="preserve">S42 enquiry with risk management in place </w:t>
            </w:r>
          </w:p>
          <w:p w:rsidR="00B16D0D" w:rsidRPr="007956D2" w:rsidRDefault="00B16D0D" w:rsidP="00B16D0D">
            <w:pPr>
              <w:pStyle w:val="Default"/>
              <w:numPr>
                <w:ilvl w:val="0"/>
                <w:numId w:val="7"/>
              </w:numPr>
              <w:rPr>
                <w:sz w:val="20"/>
                <w:szCs w:val="22"/>
              </w:rPr>
            </w:pPr>
            <w:r w:rsidRPr="007956D2">
              <w:rPr>
                <w:sz w:val="20"/>
                <w:szCs w:val="22"/>
              </w:rPr>
              <w:t>Cost-of-living pressure impact (relying on foodbank, refusing care due to cost etc)</w:t>
            </w:r>
          </w:p>
          <w:p w:rsidR="00B16D0D" w:rsidRPr="007956D2" w:rsidRDefault="00B16D0D" w:rsidP="00B16D0D">
            <w:pPr>
              <w:pStyle w:val="Default"/>
              <w:numPr>
                <w:ilvl w:val="0"/>
                <w:numId w:val="7"/>
              </w:numPr>
              <w:rPr>
                <w:sz w:val="20"/>
                <w:szCs w:val="22"/>
              </w:rPr>
            </w:pPr>
            <w:r w:rsidRPr="007956D2">
              <w:rPr>
                <w:sz w:val="20"/>
                <w:szCs w:val="22"/>
              </w:rPr>
              <w:t xml:space="preserve">Extensive care and support needs which require therapy assessment support </w:t>
            </w:r>
          </w:p>
          <w:p w:rsidR="00B16D0D" w:rsidRPr="007956D2" w:rsidRDefault="00B16D0D" w:rsidP="00B16D0D">
            <w:pPr>
              <w:pStyle w:val="Default"/>
              <w:numPr>
                <w:ilvl w:val="0"/>
                <w:numId w:val="7"/>
              </w:numPr>
              <w:rPr>
                <w:sz w:val="20"/>
                <w:szCs w:val="22"/>
              </w:rPr>
            </w:pPr>
            <w:r w:rsidRPr="007956D2">
              <w:rPr>
                <w:sz w:val="20"/>
                <w:szCs w:val="22"/>
              </w:rPr>
              <w:t xml:space="preserve">Therapy assessment, equipment, adaptations need with risk to person/carers needs </w:t>
            </w:r>
          </w:p>
        </w:tc>
        <w:tc>
          <w:tcPr>
            <w:tcW w:w="4549" w:type="dxa"/>
            <w:shd w:val="clear" w:color="auto" w:fill="92D050"/>
          </w:tcPr>
          <w:p w:rsidR="00B16D0D" w:rsidRPr="007956D2" w:rsidRDefault="00B16D0D" w:rsidP="00B16D0D">
            <w:pPr>
              <w:pStyle w:val="Default"/>
              <w:numPr>
                <w:ilvl w:val="0"/>
                <w:numId w:val="7"/>
              </w:numPr>
              <w:rPr>
                <w:sz w:val="20"/>
                <w:szCs w:val="22"/>
              </w:rPr>
            </w:pPr>
            <w:r w:rsidRPr="007956D2">
              <w:rPr>
                <w:sz w:val="20"/>
                <w:szCs w:val="22"/>
              </w:rPr>
              <w:t xml:space="preserve">There are some care and support needs but the person can maintain their independence/living arrangements </w:t>
            </w:r>
          </w:p>
          <w:p w:rsidR="00B16D0D" w:rsidRPr="007956D2" w:rsidRDefault="00B16D0D" w:rsidP="00B16D0D">
            <w:pPr>
              <w:pStyle w:val="Default"/>
              <w:numPr>
                <w:ilvl w:val="0"/>
                <w:numId w:val="7"/>
              </w:numPr>
              <w:rPr>
                <w:sz w:val="20"/>
                <w:szCs w:val="22"/>
              </w:rPr>
            </w:pPr>
            <w:r w:rsidRPr="007956D2">
              <w:rPr>
                <w:sz w:val="20"/>
                <w:szCs w:val="22"/>
              </w:rPr>
              <w:t>Needs could be met by preventative/community services</w:t>
            </w:r>
          </w:p>
          <w:p w:rsidR="00B16D0D" w:rsidRPr="007956D2" w:rsidRDefault="00B16D0D" w:rsidP="00B16D0D">
            <w:pPr>
              <w:pStyle w:val="Default"/>
              <w:numPr>
                <w:ilvl w:val="0"/>
                <w:numId w:val="7"/>
              </w:numPr>
              <w:rPr>
                <w:sz w:val="20"/>
                <w:szCs w:val="22"/>
              </w:rPr>
            </w:pPr>
            <w:r w:rsidRPr="007956D2">
              <w:rPr>
                <w:sz w:val="20"/>
                <w:szCs w:val="22"/>
              </w:rPr>
              <w:t xml:space="preserve">The person currently has care and support arrangements in place </w:t>
            </w:r>
          </w:p>
          <w:p w:rsidR="00B16D0D" w:rsidRPr="007956D2" w:rsidRDefault="00B16D0D" w:rsidP="00B16D0D">
            <w:pPr>
              <w:pStyle w:val="Default"/>
              <w:numPr>
                <w:ilvl w:val="0"/>
                <w:numId w:val="7"/>
              </w:numPr>
              <w:rPr>
                <w:sz w:val="20"/>
                <w:szCs w:val="22"/>
              </w:rPr>
            </w:pPr>
            <w:r w:rsidRPr="007956D2">
              <w:rPr>
                <w:sz w:val="20"/>
                <w:szCs w:val="22"/>
              </w:rPr>
              <w:t>The person has family friends, and/or advocacy support and can make their needs known if things change</w:t>
            </w:r>
          </w:p>
          <w:p w:rsidR="00B16D0D" w:rsidRPr="007956D2" w:rsidRDefault="00B16D0D" w:rsidP="00B16D0D">
            <w:pPr>
              <w:pStyle w:val="Default"/>
              <w:numPr>
                <w:ilvl w:val="0"/>
                <w:numId w:val="7"/>
              </w:numPr>
              <w:rPr>
                <w:sz w:val="20"/>
                <w:szCs w:val="22"/>
              </w:rPr>
            </w:pPr>
            <w:r w:rsidRPr="007956D2">
              <w:rPr>
                <w:sz w:val="20"/>
                <w:szCs w:val="22"/>
              </w:rPr>
              <w:t xml:space="preserve">The person requires a mental capacity assessment where there is low risk </w:t>
            </w:r>
          </w:p>
          <w:p w:rsidR="00B16D0D" w:rsidRPr="007956D2" w:rsidRDefault="00B16D0D" w:rsidP="00B16D0D">
            <w:pPr>
              <w:pStyle w:val="Default"/>
              <w:numPr>
                <w:ilvl w:val="0"/>
                <w:numId w:val="7"/>
              </w:numPr>
              <w:rPr>
                <w:sz w:val="20"/>
                <w:szCs w:val="22"/>
              </w:rPr>
            </w:pPr>
            <w:r w:rsidRPr="007956D2">
              <w:rPr>
                <w:sz w:val="20"/>
                <w:szCs w:val="22"/>
              </w:rPr>
              <w:t xml:space="preserve">There are other agencies or professionals involved in supporting the person </w:t>
            </w:r>
          </w:p>
          <w:p w:rsidR="00B16D0D" w:rsidRPr="007956D2" w:rsidRDefault="00B16D0D" w:rsidP="00B16D0D">
            <w:pPr>
              <w:pStyle w:val="Default"/>
              <w:numPr>
                <w:ilvl w:val="0"/>
                <w:numId w:val="7"/>
              </w:numPr>
              <w:rPr>
                <w:sz w:val="20"/>
                <w:szCs w:val="22"/>
              </w:rPr>
            </w:pPr>
            <w:r w:rsidRPr="007956D2">
              <w:rPr>
                <w:sz w:val="20"/>
                <w:szCs w:val="22"/>
              </w:rPr>
              <w:t xml:space="preserve">The person has physical or mental health needs and is engaged with relevant professionals </w:t>
            </w:r>
          </w:p>
          <w:p w:rsidR="00B16D0D" w:rsidRPr="007956D2" w:rsidRDefault="00B16D0D" w:rsidP="00B16D0D">
            <w:pPr>
              <w:pStyle w:val="Default"/>
              <w:numPr>
                <w:ilvl w:val="0"/>
                <w:numId w:val="7"/>
              </w:numPr>
              <w:rPr>
                <w:sz w:val="20"/>
                <w:szCs w:val="22"/>
              </w:rPr>
            </w:pPr>
            <w:r w:rsidRPr="007956D2">
              <w:rPr>
                <w:sz w:val="20"/>
                <w:szCs w:val="22"/>
              </w:rPr>
              <w:t xml:space="preserve">Person has drug/alcohol dependency/ misuse or mental health need and is engaged with services </w:t>
            </w:r>
          </w:p>
          <w:p w:rsidR="00B16D0D" w:rsidRPr="007956D2" w:rsidRDefault="00B16D0D" w:rsidP="00B16D0D">
            <w:pPr>
              <w:pStyle w:val="Default"/>
              <w:numPr>
                <w:ilvl w:val="0"/>
                <w:numId w:val="7"/>
              </w:numPr>
              <w:rPr>
                <w:sz w:val="20"/>
                <w:szCs w:val="22"/>
              </w:rPr>
            </w:pPr>
            <w:r w:rsidRPr="007956D2">
              <w:rPr>
                <w:sz w:val="20"/>
                <w:szCs w:val="22"/>
              </w:rPr>
              <w:t xml:space="preserve">Risk of falls and/or injury </w:t>
            </w:r>
          </w:p>
          <w:p w:rsidR="00B16D0D" w:rsidRPr="007956D2" w:rsidRDefault="00B16D0D" w:rsidP="00B16D0D">
            <w:pPr>
              <w:pStyle w:val="Default"/>
              <w:numPr>
                <w:ilvl w:val="0"/>
                <w:numId w:val="7"/>
              </w:numPr>
              <w:rPr>
                <w:sz w:val="20"/>
                <w:szCs w:val="22"/>
              </w:rPr>
            </w:pPr>
            <w:r w:rsidRPr="007956D2">
              <w:rPr>
                <w:sz w:val="20"/>
                <w:szCs w:val="22"/>
              </w:rPr>
              <w:t xml:space="preserve">Person self-discharged from hospital placing self at risk </w:t>
            </w:r>
          </w:p>
          <w:p w:rsidR="00B16D0D" w:rsidRPr="007956D2" w:rsidRDefault="00B16D0D" w:rsidP="00B16D0D">
            <w:pPr>
              <w:pStyle w:val="Default"/>
              <w:numPr>
                <w:ilvl w:val="0"/>
                <w:numId w:val="7"/>
              </w:numPr>
              <w:rPr>
                <w:sz w:val="20"/>
                <w:szCs w:val="22"/>
              </w:rPr>
            </w:pPr>
            <w:r w:rsidRPr="007956D2">
              <w:rPr>
                <w:sz w:val="20"/>
                <w:szCs w:val="22"/>
              </w:rPr>
              <w:t xml:space="preserve">Transitional care act assessment with 6 months or more until 18th birthday </w:t>
            </w:r>
          </w:p>
          <w:p w:rsidR="00B16D0D" w:rsidRPr="007956D2" w:rsidRDefault="00B16D0D" w:rsidP="00B16D0D">
            <w:pPr>
              <w:pStyle w:val="Default"/>
              <w:numPr>
                <w:ilvl w:val="0"/>
                <w:numId w:val="7"/>
              </w:numPr>
              <w:rPr>
                <w:sz w:val="20"/>
                <w:szCs w:val="22"/>
              </w:rPr>
            </w:pPr>
            <w:r w:rsidRPr="007956D2">
              <w:rPr>
                <w:sz w:val="20"/>
                <w:szCs w:val="22"/>
              </w:rPr>
              <w:t xml:space="preserve">Capital depletion care act assessment with notice </w:t>
            </w:r>
          </w:p>
          <w:p w:rsidR="00B16D0D" w:rsidRPr="007956D2" w:rsidRDefault="00B16D0D" w:rsidP="00B16D0D">
            <w:pPr>
              <w:pStyle w:val="Default"/>
              <w:numPr>
                <w:ilvl w:val="0"/>
                <w:numId w:val="7"/>
              </w:numPr>
              <w:rPr>
                <w:sz w:val="20"/>
                <w:szCs w:val="22"/>
              </w:rPr>
            </w:pPr>
            <w:r w:rsidRPr="007956D2">
              <w:rPr>
                <w:sz w:val="20"/>
                <w:szCs w:val="22"/>
              </w:rPr>
              <w:t>Nature or risk of harm/abuse is low and either historical or removed</w:t>
            </w:r>
          </w:p>
          <w:p w:rsidR="00B16D0D" w:rsidRDefault="00B16D0D" w:rsidP="00B16D0D">
            <w:pPr>
              <w:pStyle w:val="Default"/>
              <w:numPr>
                <w:ilvl w:val="0"/>
                <w:numId w:val="7"/>
              </w:numPr>
              <w:rPr>
                <w:sz w:val="20"/>
                <w:szCs w:val="22"/>
              </w:rPr>
            </w:pPr>
            <w:r w:rsidRPr="007956D2">
              <w:rPr>
                <w:sz w:val="20"/>
                <w:szCs w:val="22"/>
              </w:rPr>
              <w:t>Carer is under strain but is able to manage most aspects of their role with low risk to the person/carer</w:t>
            </w:r>
          </w:p>
          <w:p w:rsidR="00F16E56" w:rsidRPr="007956D2" w:rsidRDefault="00F16E56" w:rsidP="00B16D0D">
            <w:pPr>
              <w:pStyle w:val="Default"/>
              <w:numPr>
                <w:ilvl w:val="0"/>
                <w:numId w:val="7"/>
              </w:numPr>
              <w:rPr>
                <w:sz w:val="20"/>
                <w:szCs w:val="22"/>
              </w:rPr>
            </w:pPr>
            <w:r>
              <w:rPr>
                <w:sz w:val="20"/>
                <w:szCs w:val="22"/>
              </w:rPr>
              <w:t xml:space="preserve">Therapy assessment where there </w:t>
            </w:r>
            <w:proofErr w:type="gramStart"/>
            <w:r>
              <w:rPr>
                <w:sz w:val="20"/>
                <w:szCs w:val="22"/>
              </w:rPr>
              <w:t>is  minor</w:t>
            </w:r>
            <w:proofErr w:type="gramEnd"/>
            <w:r>
              <w:rPr>
                <w:sz w:val="20"/>
                <w:szCs w:val="22"/>
              </w:rPr>
              <w:t xml:space="preserve"> impact to physical/mental wellbeing. </w:t>
            </w:r>
          </w:p>
        </w:tc>
      </w:tr>
      <w:bookmarkEnd w:id="1"/>
    </w:tbl>
    <w:p w:rsidR="007A4794" w:rsidRDefault="007A4794" w:rsidP="00161896">
      <w:pPr>
        <w:tabs>
          <w:tab w:val="left" w:pos="3270"/>
        </w:tabs>
        <w:rPr>
          <w:rFonts w:ascii="Arial" w:hAnsi="Arial" w:cs="Arial"/>
        </w:rPr>
        <w:sectPr w:rsidR="007A4794" w:rsidSect="00161896">
          <w:pgSz w:w="16838" w:h="11906" w:orient="landscape"/>
          <w:pgMar w:top="1440" w:right="1440" w:bottom="1440" w:left="1440" w:header="709" w:footer="709" w:gutter="0"/>
          <w:cols w:space="708"/>
          <w:titlePg/>
          <w:docGrid w:linePitch="360"/>
        </w:sectPr>
      </w:pPr>
    </w:p>
    <w:p w:rsidR="007E4313" w:rsidRPr="007E01C8" w:rsidRDefault="007E4313" w:rsidP="00FE1D5A">
      <w:pPr>
        <w:pStyle w:val="Default"/>
        <w:rPr>
          <w:b/>
          <w:bCs/>
          <w:szCs w:val="23"/>
        </w:rPr>
      </w:pPr>
      <w:bookmarkStart w:id="2" w:name="DOLS"/>
      <w:r w:rsidRPr="007E01C8">
        <w:rPr>
          <w:b/>
          <w:bCs/>
          <w:szCs w:val="23"/>
        </w:rPr>
        <w:lastRenderedPageBreak/>
        <w:t>Appendix 2</w:t>
      </w:r>
    </w:p>
    <w:p w:rsidR="007E4313" w:rsidRPr="007E01C8" w:rsidRDefault="007E4313" w:rsidP="00FE1D5A">
      <w:pPr>
        <w:pStyle w:val="Default"/>
        <w:rPr>
          <w:b/>
          <w:bCs/>
          <w:szCs w:val="23"/>
        </w:rPr>
      </w:pPr>
    </w:p>
    <w:p w:rsidR="00FE1D5A" w:rsidRPr="007E01C8" w:rsidRDefault="009C30E4" w:rsidP="00FE1D5A">
      <w:pPr>
        <w:pStyle w:val="Default"/>
        <w:rPr>
          <w:szCs w:val="23"/>
        </w:rPr>
      </w:pPr>
      <w:r>
        <w:rPr>
          <w:b/>
          <w:bCs/>
          <w:szCs w:val="23"/>
        </w:rPr>
        <w:t xml:space="preserve">ADASS </w:t>
      </w:r>
      <w:r w:rsidR="00FE1D5A" w:rsidRPr="007E01C8">
        <w:rPr>
          <w:b/>
          <w:bCs/>
          <w:szCs w:val="23"/>
        </w:rPr>
        <w:t xml:space="preserve">South West Deprivation of Liberty Prioritisation Tool </w:t>
      </w:r>
    </w:p>
    <w:bookmarkEnd w:id="2"/>
    <w:p w:rsidR="00FE1D5A" w:rsidRPr="007E01C8" w:rsidRDefault="00FE1D5A" w:rsidP="00FE1D5A">
      <w:pPr>
        <w:pStyle w:val="Default"/>
        <w:rPr>
          <w:szCs w:val="23"/>
        </w:rPr>
      </w:pPr>
      <w:r w:rsidRPr="007E01C8">
        <w:rPr>
          <w:bCs/>
          <w:szCs w:val="23"/>
        </w:rPr>
        <w:t>Date</w:t>
      </w:r>
      <w:r w:rsidRPr="007E01C8">
        <w:rPr>
          <w:szCs w:val="23"/>
        </w:rPr>
        <w:t xml:space="preserve">: 5 January 2024 </w:t>
      </w:r>
    </w:p>
    <w:p w:rsidR="002D148E" w:rsidRDefault="002D148E" w:rsidP="00FE1D5A">
      <w:pPr>
        <w:pStyle w:val="Default"/>
        <w:rPr>
          <w:sz w:val="23"/>
          <w:szCs w:val="23"/>
        </w:rPr>
      </w:pPr>
    </w:p>
    <w:p w:rsidR="00FE1D5A" w:rsidRDefault="00FE1D5A" w:rsidP="002D148E">
      <w:pPr>
        <w:pStyle w:val="Default"/>
        <w:jc w:val="both"/>
        <w:rPr>
          <w:sz w:val="22"/>
          <w:szCs w:val="22"/>
        </w:rPr>
      </w:pPr>
      <w:r w:rsidRPr="00FE1D5A">
        <w:rPr>
          <w:sz w:val="22"/>
          <w:szCs w:val="22"/>
        </w:rPr>
        <w:t xml:space="preserve">This tool is a template for local authorities to adopt and adapt as they see appropriate to support the prioritisation of resource allocation for deprivation of liberty referrals for both the Deprivation of Liberty Safeguards and deprivation of liberty in community settings. It has been developed with the support of </w:t>
      </w:r>
      <w:proofErr w:type="spellStart"/>
      <w:r w:rsidRPr="00FE1D5A">
        <w:rPr>
          <w:sz w:val="22"/>
          <w:szCs w:val="22"/>
        </w:rPr>
        <w:t>DoLS</w:t>
      </w:r>
      <w:proofErr w:type="spellEnd"/>
      <w:r w:rsidRPr="00FE1D5A">
        <w:rPr>
          <w:sz w:val="22"/>
          <w:szCs w:val="22"/>
        </w:rPr>
        <w:t xml:space="preserve"> and community deprivation of liberty stakeholders through working groups and draft iterations. Alongside the descriptors in the prioritisation tool, local authorities may also want to consider other factors such as length of time waiting and unique local factors. When prioritising cases that fall into the higher bandings, practitioners should consider thresholds and requirements for s.16 welfare applications, s.21A challenges for </w:t>
      </w:r>
      <w:proofErr w:type="spellStart"/>
      <w:r w:rsidRPr="00FE1D5A">
        <w:rPr>
          <w:sz w:val="22"/>
          <w:szCs w:val="22"/>
        </w:rPr>
        <w:t>DoLS</w:t>
      </w:r>
      <w:proofErr w:type="spellEnd"/>
      <w:r w:rsidRPr="00FE1D5A">
        <w:rPr>
          <w:sz w:val="22"/>
          <w:szCs w:val="22"/>
        </w:rPr>
        <w:t xml:space="preserve"> and the limits of the Re X streamlined procedure for deprivation of liberty in community settings. </w:t>
      </w:r>
    </w:p>
    <w:p w:rsidR="002D148E" w:rsidRPr="00FE1D5A" w:rsidRDefault="002D148E" w:rsidP="002D148E">
      <w:pPr>
        <w:pStyle w:val="Default"/>
        <w:jc w:val="both"/>
        <w:rPr>
          <w:sz w:val="22"/>
          <w:szCs w:val="22"/>
        </w:rPr>
      </w:pPr>
    </w:p>
    <w:p w:rsidR="006D5A61" w:rsidRPr="00FE1D5A" w:rsidRDefault="00FE1D5A" w:rsidP="002D148E">
      <w:pPr>
        <w:jc w:val="both"/>
        <w:rPr>
          <w:rFonts w:ascii="Arial" w:eastAsia="Times New Roman" w:hAnsi="Arial" w:cs="Arial"/>
        </w:rPr>
      </w:pPr>
      <w:r w:rsidRPr="00FE1D5A">
        <w:rPr>
          <w:rFonts w:ascii="Arial" w:hAnsi="Arial" w:cs="Arial"/>
        </w:rPr>
        <w:t xml:space="preserve">Please note that this is a tool to aid local authority resource allocation and </w:t>
      </w:r>
      <w:r w:rsidR="002D148E" w:rsidRPr="00FE1D5A">
        <w:rPr>
          <w:rFonts w:ascii="Arial" w:hAnsi="Arial" w:cs="Arial"/>
        </w:rPr>
        <w:t>cannot</w:t>
      </w:r>
      <w:r w:rsidRPr="00FE1D5A">
        <w:rPr>
          <w:rFonts w:ascii="Arial" w:hAnsi="Arial" w:cs="Arial"/>
        </w:rPr>
        <w:t xml:space="preserve"> be relied upon as a legal basis for a delay in authorising a deprivation of liberty referral.</w:t>
      </w:r>
    </w:p>
    <w:tbl>
      <w:tblPr>
        <w:tblStyle w:val="TableGrid"/>
        <w:tblW w:w="0" w:type="auto"/>
        <w:tblLook w:val="04A0" w:firstRow="1" w:lastRow="0" w:firstColumn="1" w:lastColumn="0" w:noHBand="0" w:noVBand="1"/>
      </w:tblPr>
      <w:tblGrid>
        <w:gridCol w:w="1244"/>
        <w:gridCol w:w="6548"/>
        <w:gridCol w:w="1224"/>
      </w:tblGrid>
      <w:tr w:rsidR="006D5A61" w:rsidTr="006D5A61">
        <w:tc>
          <w:tcPr>
            <w:tcW w:w="1244" w:type="dxa"/>
          </w:tcPr>
          <w:p w:rsidR="006D5A61" w:rsidRDefault="006D5A61" w:rsidP="00FE1D5A">
            <w:pPr>
              <w:jc w:val="both"/>
              <w:rPr>
                <w:rFonts w:ascii="Arial" w:eastAsia="Times New Roman" w:hAnsi="Arial" w:cs="Arial"/>
              </w:rPr>
            </w:pPr>
            <w:r>
              <w:rPr>
                <w:rFonts w:ascii="Arial" w:eastAsia="Times New Roman" w:hAnsi="Arial" w:cs="Arial"/>
              </w:rPr>
              <w:t xml:space="preserve">Priority </w:t>
            </w:r>
          </w:p>
        </w:tc>
        <w:tc>
          <w:tcPr>
            <w:tcW w:w="6548" w:type="dxa"/>
          </w:tcPr>
          <w:p w:rsidR="006D5A61" w:rsidRDefault="006D5A61" w:rsidP="00FE1D5A">
            <w:pPr>
              <w:jc w:val="both"/>
              <w:rPr>
                <w:rFonts w:ascii="Arial" w:eastAsia="Times New Roman" w:hAnsi="Arial" w:cs="Arial"/>
              </w:rPr>
            </w:pPr>
            <w:r>
              <w:rPr>
                <w:rFonts w:ascii="Arial" w:eastAsia="Times New Roman" w:hAnsi="Arial" w:cs="Arial"/>
              </w:rPr>
              <w:t>Descriptors</w:t>
            </w:r>
          </w:p>
        </w:tc>
        <w:tc>
          <w:tcPr>
            <w:tcW w:w="1224" w:type="dxa"/>
          </w:tcPr>
          <w:p w:rsidR="006D5A61" w:rsidRDefault="006D5A61" w:rsidP="00FE1D5A">
            <w:pPr>
              <w:jc w:val="both"/>
              <w:rPr>
                <w:rFonts w:ascii="Arial" w:eastAsia="Times New Roman" w:hAnsi="Arial" w:cs="Arial"/>
              </w:rPr>
            </w:pPr>
            <w:r>
              <w:rPr>
                <w:rFonts w:ascii="Arial" w:eastAsia="Times New Roman" w:hAnsi="Arial" w:cs="Arial"/>
              </w:rPr>
              <w:t>Present in referral</w:t>
            </w:r>
          </w:p>
        </w:tc>
      </w:tr>
      <w:tr w:rsidR="006D5A61" w:rsidTr="006D5A61">
        <w:tc>
          <w:tcPr>
            <w:tcW w:w="1244" w:type="dxa"/>
            <w:shd w:val="clear" w:color="auto" w:fill="FF0000"/>
          </w:tcPr>
          <w:p w:rsidR="006D5A61" w:rsidRPr="006D5A61" w:rsidRDefault="006D5A61" w:rsidP="00FE1D5A">
            <w:pPr>
              <w:jc w:val="both"/>
              <w:rPr>
                <w:rFonts w:ascii="Arial" w:eastAsia="Times New Roman" w:hAnsi="Arial" w:cs="Arial"/>
                <w:b/>
              </w:rPr>
            </w:pPr>
            <w:r w:rsidRPr="006D5A61">
              <w:rPr>
                <w:rFonts w:ascii="Arial" w:eastAsia="Times New Roman" w:hAnsi="Arial" w:cs="Arial"/>
                <w:b/>
              </w:rPr>
              <w:t xml:space="preserve">RED </w:t>
            </w:r>
          </w:p>
          <w:p w:rsidR="006D5A61" w:rsidRDefault="006D5A61" w:rsidP="00FE1D5A">
            <w:pPr>
              <w:jc w:val="both"/>
              <w:rPr>
                <w:rFonts w:ascii="Arial" w:eastAsia="Times New Roman" w:hAnsi="Arial" w:cs="Arial"/>
              </w:rPr>
            </w:pPr>
          </w:p>
          <w:p w:rsidR="007E4313" w:rsidRDefault="006D5A61" w:rsidP="00FE1D5A">
            <w:pPr>
              <w:jc w:val="both"/>
              <w:rPr>
                <w:rFonts w:ascii="Arial" w:eastAsia="Times New Roman" w:hAnsi="Arial" w:cs="Arial"/>
              </w:rPr>
            </w:pPr>
            <w:r>
              <w:rPr>
                <w:rFonts w:ascii="Arial" w:eastAsia="Times New Roman" w:hAnsi="Arial" w:cs="Arial"/>
              </w:rPr>
              <w:t>Immediate</w:t>
            </w:r>
          </w:p>
        </w:tc>
        <w:tc>
          <w:tcPr>
            <w:tcW w:w="6548" w:type="dxa"/>
          </w:tcPr>
          <w:tbl>
            <w:tblPr>
              <w:tblW w:w="0" w:type="auto"/>
              <w:tblBorders>
                <w:top w:val="nil"/>
                <w:left w:val="nil"/>
                <w:bottom w:val="nil"/>
                <w:right w:val="nil"/>
              </w:tblBorders>
              <w:tblLook w:val="0000" w:firstRow="0" w:lastRow="0" w:firstColumn="0" w:lastColumn="0" w:noHBand="0" w:noVBand="0"/>
            </w:tblPr>
            <w:tblGrid>
              <w:gridCol w:w="6332"/>
            </w:tblGrid>
            <w:tr w:rsidR="006D5A61" w:rsidRPr="006D5A61">
              <w:trPr>
                <w:trHeight w:val="1974"/>
              </w:trPr>
              <w:tc>
                <w:tcPr>
                  <w:tcW w:w="0" w:type="auto"/>
                </w:tcPr>
                <w:p w:rsidR="006D5A61" w:rsidRPr="006D5A61" w:rsidRDefault="006D5A61" w:rsidP="006D5A61">
                  <w:pPr>
                    <w:pStyle w:val="Default"/>
                    <w:numPr>
                      <w:ilvl w:val="0"/>
                      <w:numId w:val="20"/>
                    </w:numPr>
                    <w:rPr>
                      <w:sz w:val="20"/>
                      <w:szCs w:val="20"/>
                    </w:rPr>
                  </w:pPr>
                  <w:r w:rsidRPr="006D5A61">
                    <w:rPr>
                      <w:sz w:val="20"/>
                      <w:szCs w:val="20"/>
                    </w:rPr>
                    <w:t xml:space="preserve">Considering all the circumstances, that the person wishes or would wish to exercise a right of appeal. </w:t>
                  </w:r>
                </w:p>
                <w:p w:rsidR="006D5A61" w:rsidRPr="006D5A61" w:rsidRDefault="006D5A61" w:rsidP="006D5A61">
                  <w:pPr>
                    <w:pStyle w:val="Default"/>
                    <w:numPr>
                      <w:ilvl w:val="0"/>
                      <w:numId w:val="20"/>
                    </w:numPr>
                    <w:rPr>
                      <w:sz w:val="20"/>
                      <w:szCs w:val="20"/>
                    </w:rPr>
                  </w:pPr>
                  <w:r w:rsidRPr="006D5A61">
                    <w:rPr>
                      <w:sz w:val="20"/>
                      <w:szCs w:val="20"/>
                    </w:rPr>
                    <w:t xml:space="preserve">Evidence of high levels of distress linked to care arrangements in the place of residence. </w:t>
                  </w:r>
                </w:p>
                <w:p w:rsidR="006D5A61" w:rsidRPr="006D5A61" w:rsidRDefault="006D5A61" w:rsidP="006D5A61">
                  <w:pPr>
                    <w:pStyle w:val="Default"/>
                    <w:numPr>
                      <w:ilvl w:val="0"/>
                      <w:numId w:val="20"/>
                    </w:numPr>
                    <w:rPr>
                      <w:sz w:val="20"/>
                      <w:szCs w:val="20"/>
                    </w:rPr>
                  </w:pPr>
                  <w:r w:rsidRPr="006D5A61">
                    <w:rPr>
                      <w:sz w:val="20"/>
                      <w:szCs w:val="20"/>
                    </w:rPr>
                    <w:t xml:space="preserve">Family, friends and/or Relevant Person's Representative/Rule 1.2 Representative are expressing objections to the care and living arrangements. </w:t>
                  </w:r>
                </w:p>
                <w:p w:rsidR="006D5A61" w:rsidRPr="006D5A61" w:rsidRDefault="006D5A61" w:rsidP="006D5A61">
                  <w:pPr>
                    <w:pStyle w:val="Default"/>
                    <w:numPr>
                      <w:ilvl w:val="0"/>
                      <w:numId w:val="20"/>
                    </w:numPr>
                    <w:rPr>
                      <w:sz w:val="20"/>
                      <w:szCs w:val="20"/>
                    </w:rPr>
                  </w:pPr>
                  <w:r w:rsidRPr="006D5A61">
                    <w:rPr>
                      <w:sz w:val="20"/>
                      <w:szCs w:val="20"/>
                    </w:rPr>
                    <w:t xml:space="preserve">Dispute or disagreement in best interests requiring Court of Protection involvement. </w:t>
                  </w:r>
                </w:p>
                <w:p w:rsidR="006D5A61" w:rsidRPr="006D5A61" w:rsidRDefault="006D5A61" w:rsidP="006D5A61">
                  <w:pPr>
                    <w:pStyle w:val="Default"/>
                    <w:numPr>
                      <w:ilvl w:val="0"/>
                      <w:numId w:val="20"/>
                    </w:numPr>
                    <w:rPr>
                      <w:sz w:val="20"/>
                      <w:szCs w:val="20"/>
                    </w:rPr>
                  </w:pPr>
                  <w:r w:rsidRPr="006D5A61">
                    <w:rPr>
                      <w:sz w:val="20"/>
                      <w:szCs w:val="20"/>
                    </w:rPr>
                    <w:t xml:space="preserve">Significant concerns regarding the appropriateness of or reasoning behind P’s placement that might indicate P should not have been placed there e.g., misrepresentation of placement or less restrictive options not adequately explored in decision making. </w:t>
                  </w:r>
                </w:p>
                <w:p w:rsidR="006D5A61" w:rsidRPr="006D5A61" w:rsidRDefault="006D5A61" w:rsidP="006D5A61">
                  <w:pPr>
                    <w:pStyle w:val="Default"/>
                    <w:numPr>
                      <w:ilvl w:val="0"/>
                      <w:numId w:val="20"/>
                    </w:numPr>
                    <w:rPr>
                      <w:sz w:val="20"/>
                      <w:szCs w:val="20"/>
                    </w:rPr>
                  </w:pPr>
                  <w:r w:rsidRPr="006D5A61">
                    <w:rPr>
                      <w:sz w:val="20"/>
                      <w:szCs w:val="20"/>
                    </w:rPr>
                    <w:t xml:space="preserve">Presence of one or more high priority factors but P presents with elevated distress, and/or physical restraint involving multiple people, and/or objection from family, and/or deliberate efforts to leave. </w:t>
                  </w:r>
                </w:p>
                <w:p w:rsidR="006D5A61" w:rsidRPr="006D5A61" w:rsidRDefault="006D5A61" w:rsidP="006D5A61">
                  <w:pPr>
                    <w:pStyle w:val="Default"/>
                    <w:numPr>
                      <w:ilvl w:val="0"/>
                      <w:numId w:val="20"/>
                    </w:numPr>
                    <w:rPr>
                      <w:sz w:val="20"/>
                      <w:szCs w:val="20"/>
                    </w:rPr>
                  </w:pPr>
                  <w:r w:rsidRPr="006D5A61">
                    <w:rPr>
                      <w:sz w:val="20"/>
                      <w:szCs w:val="20"/>
                    </w:rPr>
                    <w:t xml:space="preserve">Court of Protection order requiring renewal. </w:t>
                  </w:r>
                </w:p>
                <w:p w:rsidR="006D5A61" w:rsidRPr="006D5A61" w:rsidRDefault="006D5A61" w:rsidP="006D5A61">
                  <w:pPr>
                    <w:pStyle w:val="Default"/>
                    <w:rPr>
                      <w:sz w:val="20"/>
                      <w:szCs w:val="20"/>
                    </w:rPr>
                  </w:pPr>
                </w:p>
              </w:tc>
            </w:tr>
          </w:tbl>
          <w:p w:rsidR="006D5A61" w:rsidRPr="006D5A61" w:rsidRDefault="006D5A61" w:rsidP="006D5A61">
            <w:pPr>
              <w:jc w:val="both"/>
              <w:rPr>
                <w:rFonts w:ascii="Arial" w:eastAsia="Times New Roman" w:hAnsi="Arial" w:cs="Arial"/>
                <w:sz w:val="20"/>
                <w:szCs w:val="20"/>
              </w:rPr>
            </w:pPr>
          </w:p>
        </w:tc>
        <w:tc>
          <w:tcPr>
            <w:tcW w:w="1224" w:type="dxa"/>
          </w:tcPr>
          <w:p w:rsidR="006D5A61" w:rsidRDefault="006D5A61" w:rsidP="00FE1D5A">
            <w:pPr>
              <w:jc w:val="both"/>
              <w:rPr>
                <w:rFonts w:ascii="Arial" w:eastAsia="Times New Roman" w:hAnsi="Arial" w:cs="Arial"/>
              </w:rPr>
            </w:pPr>
          </w:p>
        </w:tc>
      </w:tr>
      <w:tr w:rsidR="006D5A61" w:rsidTr="006D5A61">
        <w:tc>
          <w:tcPr>
            <w:tcW w:w="1244" w:type="dxa"/>
            <w:shd w:val="clear" w:color="auto" w:fill="ED7D31" w:themeFill="accent2"/>
          </w:tcPr>
          <w:p w:rsidR="006D5A61" w:rsidRDefault="006D5A61" w:rsidP="00FE1D5A">
            <w:pPr>
              <w:jc w:val="both"/>
              <w:rPr>
                <w:rFonts w:ascii="Arial" w:eastAsia="Times New Roman" w:hAnsi="Arial" w:cs="Arial"/>
                <w:b/>
              </w:rPr>
            </w:pPr>
            <w:r>
              <w:rPr>
                <w:rFonts w:ascii="Arial" w:eastAsia="Times New Roman" w:hAnsi="Arial" w:cs="Arial"/>
                <w:b/>
              </w:rPr>
              <w:t>ORANGE</w:t>
            </w:r>
          </w:p>
          <w:p w:rsidR="006D5A61" w:rsidRDefault="006D5A61" w:rsidP="00FE1D5A">
            <w:pPr>
              <w:jc w:val="both"/>
              <w:rPr>
                <w:rFonts w:ascii="Arial" w:eastAsia="Times New Roman" w:hAnsi="Arial" w:cs="Arial"/>
                <w:b/>
              </w:rPr>
            </w:pPr>
          </w:p>
          <w:p w:rsidR="006D5A61" w:rsidRPr="006D5A61" w:rsidRDefault="006D5A61" w:rsidP="00FE1D5A">
            <w:pPr>
              <w:jc w:val="both"/>
              <w:rPr>
                <w:rFonts w:ascii="Arial" w:eastAsia="Times New Roman" w:hAnsi="Arial" w:cs="Arial"/>
              </w:rPr>
            </w:pPr>
            <w:r>
              <w:rPr>
                <w:rFonts w:ascii="Arial" w:eastAsia="Times New Roman" w:hAnsi="Arial" w:cs="Arial"/>
              </w:rPr>
              <w:t>High</w:t>
            </w:r>
          </w:p>
        </w:tc>
        <w:tc>
          <w:tcPr>
            <w:tcW w:w="6548" w:type="dxa"/>
          </w:tcPr>
          <w:tbl>
            <w:tblPr>
              <w:tblW w:w="0" w:type="auto"/>
              <w:tblBorders>
                <w:top w:val="nil"/>
                <w:left w:val="nil"/>
                <w:bottom w:val="nil"/>
                <w:right w:val="nil"/>
              </w:tblBorders>
              <w:tblLook w:val="0000" w:firstRow="0" w:lastRow="0" w:firstColumn="0" w:lastColumn="0" w:noHBand="0" w:noVBand="0"/>
            </w:tblPr>
            <w:tblGrid>
              <w:gridCol w:w="6332"/>
            </w:tblGrid>
            <w:tr w:rsidR="006D5A61" w:rsidRPr="006D5A61" w:rsidTr="006D5A61">
              <w:trPr>
                <w:trHeight w:val="979"/>
              </w:trPr>
              <w:tc>
                <w:tcPr>
                  <w:tcW w:w="0" w:type="auto"/>
                </w:tcPr>
                <w:p w:rsidR="006D5A61" w:rsidRPr="006D5A61" w:rsidRDefault="006D5A61" w:rsidP="006D5A61">
                  <w:pPr>
                    <w:pStyle w:val="Default"/>
                    <w:numPr>
                      <w:ilvl w:val="0"/>
                      <w:numId w:val="20"/>
                    </w:numPr>
                    <w:rPr>
                      <w:sz w:val="20"/>
                      <w:szCs w:val="20"/>
                    </w:rPr>
                  </w:pPr>
                  <w:r w:rsidRPr="006D5A61">
                    <w:rPr>
                      <w:sz w:val="20"/>
                      <w:szCs w:val="20"/>
                    </w:rPr>
                    <w:t>The person is objecting to the arrangements, but considering all the circumstances, it is unlikely that this would lead to a 21a appeal (</w:t>
                  </w:r>
                  <w:proofErr w:type="spellStart"/>
                  <w:r w:rsidRPr="006D5A61">
                    <w:rPr>
                      <w:sz w:val="20"/>
                      <w:szCs w:val="20"/>
                    </w:rPr>
                    <w:t>DoLS</w:t>
                  </w:r>
                  <w:proofErr w:type="spellEnd"/>
                  <w:r w:rsidRPr="006D5A61">
                    <w:rPr>
                      <w:sz w:val="20"/>
                      <w:szCs w:val="20"/>
                    </w:rPr>
                    <w:t xml:space="preserve">) or require a s.16 welfare order (community </w:t>
                  </w:r>
                  <w:proofErr w:type="spellStart"/>
                  <w:r w:rsidRPr="006D5A61">
                    <w:rPr>
                      <w:sz w:val="20"/>
                      <w:szCs w:val="20"/>
                    </w:rPr>
                    <w:t>dol</w:t>
                  </w:r>
                  <w:proofErr w:type="spellEnd"/>
                  <w:r w:rsidRPr="006D5A61">
                    <w:rPr>
                      <w:sz w:val="20"/>
                      <w:szCs w:val="20"/>
                    </w:rPr>
                    <w:t xml:space="preserve">). For example, objection is linked to acute confusion or disorientation rather than an objection to arrangements as such. </w:t>
                  </w:r>
                </w:p>
                <w:p w:rsidR="006D5A61" w:rsidRPr="006D5A61" w:rsidRDefault="006D5A61" w:rsidP="006D5A61">
                  <w:pPr>
                    <w:pStyle w:val="Default"/>
                    <w:numPr>
                      <w:ilvl w:val="0"/>
                      <w:numId w:val="20"/>
                    </w:numPr>
                    <w:rPr>
                      <w:sz w:val="20"/>
                      <w:szCs w:val="20"/>
                    </w:rPr>
                  </w:pPr>
                  <w:r w:rsidRPr="006D5A61">
                    <w:rPr>
                      <w:sz w:val="20"/>
                      <w:szCs w:val="20"/>
                    </w:rPr>
                    <w:t xml:space="preserve">High levels of restrictions and/or restraint including physical restraint. </w:t>
                  </w:r>
                </w:p>
                <w:p w:rsidR="006D5A61" w:rsidRPr="006D5A61" w:rsidRDefault="006D5A61" w:rsidP="006D5A61">
                  <w:pPr>
                    <w:pStyle w:val="Default"/>
                    <w:numPr>
                      <w:ilvl w:val="0"/>
                      <w:numId w:val="20"/>
                    </w:numPr>
                    <w:rPr>
                      <w:sz w:val="20"/>
                      <w:szCs w:val="20"/>
                    </w:rPr>
                  </w:pPr>
                  <w:r w:rsidRPr="006D5A61">
                    <w:rPr>
                      <w:sz w:val="20"/>
                      <w:szCs w:val="20"/>
                    </w:rPr>
                    <w:t xml:space="preserve">High level of environmental restrictions e.g., locked doors, constant CCTV and/or GPS monitoring. </w:t>
                  </w:r>
                </w:p>
                <w:p w:rsidR="006D5A61" w:rsidRPr="006D5A61" w:rsidRDefault="006D5A61" w:rsidP="006D5A61">
                  <w:pPr>
                    <w:pStyle w:val="Default"/>
                    <w:numPr>
                      <w:ilvl w:val="0"/>
                      <w:numId w:val="20"/>
                    </w:numPr>
                    <w:rPr>
                      <w:sz w:val="20"/>
                      <w:szCs w:val="20"/>
                    </w:rPr>
                  </w:pPr>
                  <w:r w:rsidRPr="006D5A61">
                    <w:rPr>
                      <w:sz w:val="20"/>
                      <w:szCs w:val="20"/>
                    </w:rPr>
                    <w:t xml:space="preserve">Confinement to parts of the building for parts of the day/week. </w:t>
                  </w:r>
                </w:p>
                <w:p w:rsidR="006D5A61" w:rsidRPr="006D5A61" w:rsidRDefault="006D5A61" w:rsidP="006D5A61">
                  <w:pPr>
                    <w:pStyle w:val="Default"/>
                    <w:numPr>
                      <w:ilvl w:val="0"/>
                      <w:numId w:val="20"/>
                    </w:numPr>
                    <w:rPr>
                      <w:sz w:val="20"/>
                      <w:szCs w:val="20"/>
                    </w:rPr>
                  </w:pPr>
                  <w:r w:rsidRPr="006D5A61">
                    <w:rPr>
                      <w:sz w:val="20"/>
                      <w:szCs w:val="20"/>
                    </w:rPr>
                    <w:t xml:space="preserve">24/7 1:1 or higher supervision and support. </w:t>
                  </w:r>
                </w:p>
                <w:p w:rsidR="006D5A61" w:rsidRPr="006D5A61" w:rsidRDefault="006D5A61" w:rsidP="006D5A61">
                  <w:pPr>
                    <w:pStyle w:val="Default"/>
                    <w:numPr>
                      <w:ilvl w:val="0"/>
                      <w:numId w:val="20"/>
                    </w:numPr>
                    <w:rPr>
                      <w:sz w:val="20"/>
                      <w:szCs w:val="20"/>
                    </w:rPr>
                  </w:pPr>
                  <w:r w:rsidRPr="006D5A61">
                    <w:rPr>
                      <w:sz w:val="20"/>
                      <w:szCs w:val="20"/>
                    </w:rPr>
                    <w:t xml:space="preserve">Covert medication. </w:t>
                  </w:r>
                </w:p>
                <w:p w:rsidR="006D5A61" w:rsidRPr="006D5A61" w:rsidRDefault="006D5A61" w:rsidP="006D5A61">
                  <w:pPr>
                    <w:pStyle w:val="Default"/>
                    <w:numPr>
                      <w:ilvl w:val="0"/>
                      <w:numId w:val="20"/>
                    </w:numPr>
                    <w:rPr>
                      <w:sz w:val="20"/>
                      <w:szCs w:val="20"/>
                    </w:rPr>
                  </w:pPr>
                  <w:r w:rsidRPr="006D5A61">
                    <w:rPr>
                      <w:sz w:val="20"/>
                      <w:szCs w:val="20"/>
                    </w:rPr>
                    <w:t xml:space="preserve">Sedating medication. </w:t>
                  </w:r>
                </w:p>
                <w:p w:rsidR="006D5A61" w:rsidRPr="006D5A61" w:rsidRDefault="006D5A61" w:rsidP="006D5A61">
                  <w:pPr>
                    <w:pStyle w:val="Default"/>
                    <w:numPr>
                      <w:ilvl w:val="0"/>
                      <w:numId w:val="20"/>
                    </w:numPr>
                    <w:rPr>
                      <w:sz w:val="20"/>
                      <w:szCs w:val="20"/>
                    </w:rPr>
                  </w:pPr>
                  <w:r w:rsidRPr="006D5A61">
                    <w:rPr>
                      <w:sz w:val="20"/>
                      <w:szCs w:val="20"/>
                    </w:rPr>
                    <w:lastRenderedPageBreak/>
                    <w:t xml:space="preserve">Placed in a mental health ward or mental health hospital (and not subject to the Mental Health Act). </w:t>
                  </w:r>
                </w:p>
                <w:p w:rsidR="006D5A61" w:rsidRPr="006D5A61" w:rsidRDefault="006D5A61" w:rsidP="006D5A61">
                  <w:pPr>
                    <w:pStyle w:val="Default"/>
                    <w:numPr>
                      <w:ilvl w:val="0"/>
                      <w:numId w:val="20"/>
                    </w:numPr>
                    <w:rPr>
                      <w:sz w:val="20"/>
                      <w:szCs w:val="20"/>
                    </w:rPr>
                  </w:pPr>
                  <w:r w:rsidRPr="006D5A61">
                    <w:rPr>
                      <w:sz w:val="20"/>
                      <w:szCs w:val="20"/>
                    </w:rPr>
                    <w:t xml:space="preserve">Restrictions on family contact (or other article 8 issues). </w:t>
                  </w:r>
                </w:p>
                <w:p w:rsidR="006D5A61" w:rsidRPr="006D5A61" w:rsidRDefault="006D5A61" w:rsidP="006D5A61">
                  <w:pPr>
                    <w:pStyle w:val="Default"/>
                    <w:numPr>
                      <w:ilvl w:val="0"/>
                      <w:numId w:val="20"/>
                    </w:numPr>
                    <w:rPr>
                      <w:sz w:val="20"/>
                      <w:szCs w:val="20"/>
                    </w:rPr>
                  </w:pPr>
                  <w:r w:rsidRPr="006D5A61">
                    <w:rPr>
                      <w:sz w:val="20"/>
                      <w:szCs w:val="20"/>
                    </w:rPr>
                    <w:t xml:space="preserve">Evidence of disagreement from family, friends and/or Relevant Person’s Representative/Rule 1.2 Representative to specific parts of care plan only. </w:t>
                  </w:r>
                </w:p>
                <w:p w:rsidR="006D5A61" w:rsidRPr="006D5A61" w:rsidRDefault="006D5A61" w:rsidP="006D5A61">
                  <w:pPr>
                    <w:pStyle w:val="Default"/>
                    <w:numPr>
                      <w:ilvl w:val="0"/>
                      <w:numId w:val="20"/>
                    </w:numPr>
                    <w:rPr>
                      <w:sz w:val="20"/>
                      <w:szCs w:val="20"/>
                    </w:rPr>
                  </w:pPr>
                  <w:r w:rsidRPr="006D5A61">
                    <w:rPr>
                      <w:sz w:val="20"/>
                      <w:szCs w:val="20"/>
                    </w:rPr>
                    <w:t xml:space="preserve">Un-befriended. </w:t>
                  </w:r>
                </w:p>
              </w:tc>
            </w:tr>
          </w:tbl>
          <w:p w:rsidR="006D5A61" w:rsidRPr="006D5A61" w:rsidRDefault="006D5A61" w:rsidP="006D5A61">
            <w:pPr>
              <w:jc w:val="both"/>
              <w:rPr>
                <w:rFonts w:ascii="Arial" w:eastAsia="Times New Roman" w:hAnsi="Arial" w:cs="Arial"/>
                <w:sz w:val="20"/>
                <w:szCs w:val="20"/>
              </w:rPr>
            </w:pPr>
          </w:p>
        </w:tc>
        <w:tc>
          <w:tcPr>
            <w:tcW w:w="1224" w:type="dxa"/>
          </w:tcPr>
          <w:p w:rsidR="006D5A61" w:rsidRDefault="006D5A61" w:rsidP="00FE1D5A">
            <w:pPr>
              <w:jc w:val="both"/>
              <w:rPr>
                <w:rFonts w:ascii="Arial" w:eastAsia="Times New Roman" w:hAnsi="Arial" w:cs="Arial"/>
              </w:rPr>
            </w:pPr>
          </w:p>
        </w:tc>
      </w:tr>
      <w:tr w:rsidR="006D5A61" w:rsidTr="006D5A61">
        <w:tc>
          <w:tcPr>
            <w:tcW w:w="1244" w:type="dxa"/>
            <w:shd w:val="clear" w:color="auto" w:fill="FFFF00"/>
          </w:tcPr>
          <w:p w:rsidR="006D5A61" w:rsidRDefault="007E4313" w:rsidP="00FE1D5A">
            <w:pPr>
              <w:jc w:val="both"/>
              <w:rPr>
                <w:rFonts w:ascii="Arial" w:eastAsia="Times New Roman" w:hAnsi="Arial" w:cs="Arial"/>
                <w:b/>
              </w:rPr>
            </w:pPr>
            <w:r>
              <w:rPr>
                <w:rFonts w:ascii="Arial" w:eastAsia="Times New Roman" w:hAnsi="Arial" w:cs="Arial"/>
                <w:b/>
              </w:rPr>
              <w:t>YELLOW</w:t>
            </w:r>
          </w:p>
          <w:p w:rsidR="006D5A61" w:rsidRDefault="006D5A61" w:rsidP="00FE1D5A">
            <w:pPr>
              <w:jc w:val="both"/>
              <w:rPr>
                <w:rFonts w:ascii="Arial" w:eastAsia="Times New Roman" w:hAnsi="Arial" w:cs="Arial"/>
                <w:b/>
              </w:rPr>
            </w:pPr>
          </w:p>
          <w:p w:rsidR="006D5A61" w:rsidRPr="006D5A61" w:rsidRDefault="006D5A61" w:rsidP="00FE1D5A">
            <w:pPr>
              <w:jc w:val="both"/>
              <w:rPr>
                <w:rFonts w:ascii="Arial" w:eastAsia="Times New Roman" w:hAnsi="Arial" w:cs="Arial"/>
              </w:rPr>
            </w:pPr>
            <w:r>
              <w:rPr>
                <w:rFonts w:ascii="Arial" w:eastAsia="Times New Roman" w:hAnsi="Arial" w:cs="Arial"/>
              </w:rPr>
              <w:t>Medium</w:t>
            </w:r>
          </w:p>
        </w:tc>
        <w:tc>
          <w:tcPr>
            <w:tcW w:w="6548" w:type="dxa"/>
          </w:tcPr>
          <w:p w:rsidR="006D5A61" w:rsidRPr="006D5A61" w:rsidRDefault="006D5A61" w:rsidP="006D5A61">
            <w:pPr>
              <w:pStyle w:val="Default"/>
              <w:numPr>
                <w:ilvl w:val="0"/>
                <w:numId w:val="20"/>
              </w:numPr>
              <w:jc w:val="both"/>
              <w:rPr>
                <w:color w:val="auto"/>
                <w:sz w:val="20"/>
                <w:szCs w:val="20"/>
              </w:rPr>
            </w:pPr>
            <w:r w:rsidRPr="006D5A61">
              <w:rPr>
                <w:sz w:val="20"/>
                <w:szCs w:val="20"/>
              </w:rPr>
              <w:t xml:space="preserve">Objection to some specific aspects of care provision e.g., personal care. </w:t>
            </w:r>
          </w:p>
          <w:p w:rsidR="006D5A61" w:rsidRPr="006D5A61" w:rsidRDefault="006D5A61" w:rsidP="006D5A61">
            <w:pPr>
              <w:pStyle w:val="Default"/>
              <w:numPr>
                <w:ilvl w:val="0"/>
                <w:numId w:val="20"/>
              </w:numPr>
              <w:jc w:val="both"/>
              <w:rPr>
                <w:sz w:val="20"/>
                <w:szCs w:val="20"/>
              </w:rPr>
            </w:pPr>
            <w:r w:rsidRPr="006D5A61">
              <w:rPr>
                <w:sz w:val="20"/>
                <w:szCs w:val="20"/>
              </w:rPr>
              <w:t xml:space="preserve">Inconsistent expressions of wanting to leave the place of residence or disagreement with the care plan. </w:t>
            </w:r>
          </w:p>
          <w:p w:rsidR="006D5A61" w:rsidRPr="006D5A61" w:rsidRDefault="006D5A61" w:rsidP="006D5A61">
            <w:pPr>
              <w:pStyle w:val="Default"/>
              <w:numPr>
                <w:ilvl w:val="0"/>
                <w:numId w:val="20"/>
              </w:numPr>
              <w:jc w:val="both"/>
              <w:rPr>
                <w:sz w:val="20"/>
                <w:szCs w:val="20"/>
              </w:rPr>
            </w:pPr>
            <w:r w:rsidRPr="006D5A61">
              <w:rPr>
                <w:sz w:val="20"/>
                <w:szCs w:val="20"/>
              </w:rPr>
              <w:t xml:space="preserve">1:1 for large parts of the day/evidence of high-level observation e.g., video/listening device for parts of the day, high shared support ratios throughout the day (e.g. 3:4). </w:t>
            </w:r>
          </w:p>
          <w:p w:rsidR="006D5A61" w:rsidRPr="006D5A61" w:rsidRDefault="006D5A61" w:rsidP="006D5A61">
            <w:pPr>
              <w:pStyle w:val="Default"/>
              <w:numPr>
                <w:ilvl w:val="0"/>
                <w:numId w:val="20"/>
              </w:numPr>
              <w:jc w:val="both"/>
              <w:rPr>
                <w:sz w:val="20"/>
                <w:szCs w:val="20"/>
              </w:rPr>
            </w:pPr>
            <w:r w:rsidRPr="006D5A61">
              <w:rPr>
                <w:sz w:val="20"/>
                <w:szCs w:val="20"/>
              </w:rPr>
              <w:t xml:space="preserve">Covert/sedating medication/restraint used infrequently. </w:t>
            </w:r>
          </w:p>
          <w:p w:rsidR="006D5A61" w:rsidRPr="006D5A61" w:rsidRDefault="006D5A61" w:rsidP="006D5A61">
            <w:pPr>
              <w:pStyle w:val="Default"/>
              <w:numPr>
                <w:ilvl w:val="0"/>
                <w:numId w:val="20"/>
              </w:numPr>
              <w:jc w:val="both"/>
              <w:rPr>
                <w:sz w:val="20"/>
                <w:szCs w:val="20"/>
              </w:rPr>
            </w:pPr>
            <w:r w:rsidRPr="006D5A61">
              <w:rPr>
                <w:sz w:val="20"/>
                <w:szCs w:val="20"/>
              </w:rPr>
              <w:t xml:space="preserve">Other factors of concern e.g., period since last Care Act review. </w:t>
            </w:r>
          </w:p>
          <w:p w:rsidR="006D5A61" w:rsidRPr="006D5A61" w:rsidRDefault="006D5A61" w:rsidP="006D5A61">
            <w:pPr>
              <w:pStyle w:val="Default"/>
              <w:numPr>
                <w:ilvl w:val="0"/>
                <w:numId w:val="20"/>
              </w:numPr>
              <w:jc w:val="both"/>
              <w:rPr>
                <w:sz w:val="20"/>
                <w:szCs w:val="20"/>
              </w:rPr>
            </w:pPr>
            <w:r w:rsidRPr="006D5A61">
              <w:rPr>
                <w:sz w:val="20"/>
                <w:szCs w:val="20"/>
              </w:rPr>
              <w:t xml:space="preserve">Longer term placement or care plan but with concerns over ongoing suitability. </w:t>
            </w:r>
          </w:p>
          <w:p w:rsidR="006D5A61" w:rsidRPr="006D5A61" w:rsidRDefault="006D5A61" w:rsidP="006D5A61">
            <w:pPr>
              <w:pStyle w:val="Default"/>
              <w:numPr>
                <w:ilvl w:val="0"/>
                <w:numId w:val="20"/>
              </w:numPr>
              <w:jc w:val="both"/>
              <w:rPr>
                <w:sz w:val="20"/>
                <w:szCs w:val="20"/>
              </w:rPr>
            </w:pPr>
            <w:r w:rsidRPr="006D5A61">
              <w:rPr>
                <w:sz w:val="20"/>
                <w:szCs w:val="20"/>
              </w:rPr>
              <w:t xml:space="preserve">Not un-befriended but family involvement is minimal e.g., visit twice a year only. </w:t>
            </w:r>
          </w:p>
        </w:tc>
        <w:tc>
          <w:tcPr>
            <w:tcW w:w="1224" w:type="dxa"/>
          </w:tcPr>
          <w:p w:rsidR="006D5A61" w:rsidRDefault="006D5A61" w:rsidP="00FE1D5A">
            <w:pPr>
              <w:jc w:val="both"/>
              <w:rPr>
                <w:rFonts w:ascii="Arial" w:eastAsia="Times New Roman" w:hAnsi="Arial" w:cs="Arial"/>
              </w:rPr>
            </w:pPr>
          </w:p>
        </w:tc>
      </w:tr>
      <w:tr w:rsidR="006D5A61" w:rsidTr="006D5A61">
        <w:tc>
          <w:tcPr>
            <w:tcW w:w="1244" w:type="dxa"/>
            <w:shd w:val="clear" w:color="auto" w:fill="92D050"/>
          </w:tcPr>
          <w:p w:rsidR="006D5A61" w:rsidRDefault="006D5A61" w:rsidP="00FE1D5A">
            <w:pPr>
              <w:jc w:val="both"/>
              <w:rPr>
                <w:rFonts w:ascii="Arial" w:eastAsia="Times New Roman" w:hAnsi="Arial" w:cs="Arial"/>
                <w:b/>
              </w:rPr>
            </w:pPr>
            <w:r>
              <w:rPr>
                <w:rFonts w:ascii="Arial" w:eastAsia="Times New Roman" w:hAnsi="Arial" w:cs="Arial"/>
                <w:b/>
              </w:rPr>
              <w:t>GREEN</w:t>
            </w:r>
          </w:p>
          <w:p w:rsidR="006D5A61" w:rsidRDefault="006D5A61" w:rsidP="00FE1D5A">
            <w:pPr>
              <w:jc w:val="both"/>
              <w:rPr>
                <w:rFonts w:ascii="Arial" w:eastAsia="Times New Roman" w:hAnsi="Arial" w:cs="Arial"/>
                <w:b/>
              </w:rPr>
            </w:pPr>
          </w:p>
          <w:p w:rsidR="006D5A61" w:rsidRDefault="006D5A61" w:rsidP="00FE1D5A">
            <w:pPr>
              <w:jc w:val="both"/>
              <w:rPr>
                <w:rFonts w:ascii="Arial" w:eastAsia="Times New Roman" w:hAnsi="Arial" w:cs="Arial"/>
              </w:rPr>
            </w:pPr>
            <w:r>
              <w:rPr>
                <w:rFonts w:ascii="Arial" w:eastAsia="Times New Roman" w:hAnsi="Arial" w:cs="Arial"/>
              </w:rPr>
              <w:t>Low</w:t>
            </w:r>
          </w:p>
          <w:p w:rsidR="007E4313" w:rsidRPr="006D5A61" w:rsidRDefault="007E4313" w:rsidP="00FE1D5A">
            <w:pPr>
              <w:jc w:val="both"/>
              <w:rPr>
                <w:rFonts w:ascii="Arial" w:eastAsia="Times New Roman" w:hAnsi="Arial" w:cs="Arial"/>
              </w:rPr>
            </w:pPr>
          </w:p>
        </w:tc>
        <w:tc>
          <w:tcPr>
            <w:tcW w:w="6548" w:type="dxa"/>
          </w:tcPr>
          <w:p w:rsidR="006D5A61" w:rsidRPr="006D5A61" w:rsidRDefault="006D5A61" w:rsidP="006D5A61">
            <w:pPr>
              <w:pStyle w:val="Default"/>
              <w:numPr>
                <w:ilvl w:val="0"/>
                <w:numId w:val="20"/>
              </w:numPr>
              <w:jc w:val="both"/>
              <w:rPr>
                <w:sz w:val="20"/>
                <w:szCs w:val="20"/>
              </w:rPr>
            </w:pPr>
            <w:r w:rsidRPr="006D5A61">
              <w:rPr>
                <w:sz w:val="20"/>
                <w:szCs w:val="20"/>
              </w:rPr>
              <w:t xml:space="preserve">New placement and not complex. </w:t>
            </w:r>
          </w:p>
          <w:p w:rsidR="006D5A61" w:rsidRPr="006D5A61" w:rsidRDefault="006D5A61" w:rsidP="006D5A61">
            <w:pPr>
              <w:pStyle w:val="Default"/>
              <w:numPr>
                <w:ilvl w:val="0"/>
                <w:numId w:val="20"/>
              </w:numPr>
              <w:jc w:val="both"/>
              <w:rPr>
                <w:sz w:val="20"/>
                <w:szCs w:val="20"/>
              </w:rPr>
            </w:pPr>
            <w:r w:rsidRPr="006D5A61">
              <w:rPr>
                <w:sz w:val="20"/>
                <w:szCs w:val="20"/>
              </w:rPr>
              <w:t xml:space="preserve">Stable and long-term placement (min 12 months). Settled with no objections and disagreements – permanent or temporary placement. </w:t>
            </w:r>
          </w:p>
          <w:p w:rsidR="006D5A61" w:rsidRPr="006D5A61" w:rsidRDefault="006D5A61" w:rsidP="006D5A61">
            <w:pPr>
              <w:pStyle w:val="Default"/>
              <w:numPr>
                <w:ilvl w:val="0"/>
                <w:numId w:val="20"/>
              </w:numPr>
              <w:jc w:val="both"/>
              <w:rPr>
                <w:sz w:val="20"/>
                <w:szCs w:val="20"/>
              </w:rPr>
            </w:pPr>
            <w:r w:rsidRPr="006D5A61">
              <w:rPr>
                <w:sz w:val="20"/>
                <w:szCs w:val="20"/>
              </w:rPr>
              <w:t xml:space="preserve">Non-complex renewal. </w:t>
            </w:r>
          </w:p>
          <w:p w:rsidR="006D5A61" w:rsidRPr="006D5A61" w:rsidRDefault="006D5A61" w:rsidP="006D5A61">
            <w:pPr>
              <w:pStyle w:val="Default"/>
              <w:numPr>
                <w:ilvl w:val="0"/>
                <w:numId w:val="20"/>
              </w:numPr>
              <w:jc w:val="both"/>
              <w:rPr>
                <w:sz w:val="20"/>
                <w:szCs w:val="20"/>
              </w:rPr>
            </w:pPr>
            <w:r w:rsidRPr="006D5A61">
              <w:rPr>
                <w:sz w:val="20"/>
                <w:szCs w:val="20"/>
              </w:rPr>
              <w:t xml:space="preserve">End of life and an authorisation will not make material improvement to the current situation. </w:t>
            </w:r>
          </w:p>
          <w:p w:rsidR="006D5A61" w:rsidRPr="006D5A61" w:rsidRDefault="006D5A61" w:rsidP="006D5A61">
            <w:pPr>
              <w:pStyle w:val="Default"/>
              <w:numPr>
                <w:ilvl w:val="0"/>
                <w:numId w:val="20"/>
              </w:numPr>
              <w:jc w:val="both"/>
              <w:rPr>
                <w:sz w:val="20"/>
                <w:szCs w:val="20"/>
              </w:rPr>
            </w:pPr>
            <w:r w:rsidRPr="006D5A61">
              <w:rPr>
                <w:sz w:val="20"/>
                <w:szCs w:val="20"/>
              </w:rPr>
              <w:t xml:space="preserve">All other care plans and situations that meet the acid test. </w:t>
            </w:r>
          </w:p>
        </w:tc>
        <w:tc>
          <w:tcPr>
            <w:tcW w:w="1224" w:type="dxa"/>
          </w:tcPr>
          <w:p w:rsidR="006D5A61" w:rsidRDefault="006D5A61" w:rsidP="00FE1D5A">
            <w:pPr>
              <w:jc w:val="both"/>
              <w:rPr>
                <w:rFonts w:ascii="Arial" w:eastAsia="Times New Roman" w:hAnsi="Arial" w:cs="Arial"/>
              </w:rPr>
            </w:pPr>
          </w:p>
        </w:tc>
      </w:tr>
    </w:tbl>
    <w:p w:rsidR="007E01C8" w:rsidRDefault="007E01C8" w:rsidP="00FE1D5A">
      <w:pPr>
        <w:jc w:val="both"/>
        <w:rPr>
          <w:rFonts w:ascii="Arial" w:eastAsia="Times New Roman" w:hAnsi="Arial" w:cs="Arial"/>
        </w:rPr>
      </w:pPr>
    </w:p>
    <w:p w:rsidR="007E01C8" w:rsidRPr="007E01C8" w:rsidRDefault="007E01C8" w:rsidP="007E01C8">
      <w:pPr>
        <w:rPr>
          <w:rFonts w:ascii="Arial" w:eastAsia="Times New Roman" w:hAnsi="Arial" w:cs="Arial"/>
        </w:rPr>
      </w:pPr>
    </w:p>
    <w:p w:rsidR="007E01C8" w:rsidRPr="007E01C8" w:rsidRDefault="007E01C8" w:rsidP="007E01C8">
      <w:pPr>
        <w:rPr>
          <w:rFonts w:ascii="Arial" w:eastAsia="Times New Roman" w:hAnsi="Arial" w:cs="Arial"/>
        </w:rPr>
      </w:pPr>
    </w:p>
    <w:p w:rsidR="007E01C8" w:rsidRPr="007E01C8" w:rsidRDefault="007E01C8" w:rsidP="007E01C8">
      <w:pPr>
        <w:rPr>
          <w:rFonts w:ascii="Arial" w:eastAsia="Times New Roman" w:hAnsi="Arial" w:cs="Arial"/>
        </w:rPr>
      </w:pPr>
    </w:p>
    <w:p w:rsidR="007E01C8" w:rsidRPr="007E01C8" w:rsidRDefault="007E01C8" w:rsidP="007E01C8">
      <w:pPr>
        <w:rPr>
          <w:rFonts w:ascii="Arial" w:eastAsia="Times New Roman" w:hAnsi="Arial" w:cs="Arial"/>
        </w:rPr>
      </w:pPr>
    </w:p>
    <w:p w:rsidR="007E01C8" w:rsidRPr="007E01C8" w:rsidRDefault="007E01C8" w:rsidP="007E01C8">
      <w:pPr>
        <w:rPr>
          <w:rFonts w:ascii="Arial" w:eastAsia="Times New Roman" w:hAnsi="Arial" w:cs="Arial"/>
        </w:rPr>
      </w:pPr>
    </w:p>
    <w:p w:rsidR="007E01C8" w:rsidRPr="007E01C8" w:rsidRDefault="007E01C8" w:rsidP="007E01C8">
      <w:pPr>
        <w:rPr>
          <w:rFonts w:ascii="Arial" w:eastAsia="Times New Roman" w:hAnsi="Arial" w:cs="Arial"/>
        </w:rPr>
      </w:pPr>
    </w:p>
    <w:p w:rsidR="007E01C8" w:rsidRPr="007E01C8" w:rsidRDefault="007E01C8" w:rsidP="007E01C8">
      <w:pPr>
        <w:rPr>
          <w:rFonts w:ascii="Arial" w:eastAsia="Times New Roman" w:hAnsi="Arial" w:cs="Arial"/>
        </w:rPr>
      </w:pPr>
    </w:p>
    <w:p w:rsidR="007E01C8" w:rsidRPr="007E01C8" w:rsidRDefault="007E01C8" w:rsidP="007E01C8">
      <w:pPr>
        <w:rPr>
          <w:rFonts w:ascii="Arial" w:eastAsia="Times New Roman" w:hAnsi="Arial" w:cs="Arial"/>
        </w:rPr>
      </w:pPr>
    </w:p>
    <w:p w:rsidR="007E01C8" w:rsidRPr="007E01C8" w:rsidRDefault="007E01C8" w:rsidP="007E01C8">
      <w:pPr>
        <w:rPr>
          <w:rFonts w:ascii="Arial" w:eastAsia="Times New Roman" w:hAnsi="Arial" w:cs="Arial"/>
        </w:rPr>
      </w:pPr>
    </w:p>
    <w:p w:rsidR="007E01C8" w:rsidRDefault="007E01C8" w:rsidP="007E01C8">
      <w:pPr>
        <w:rPr>
          <w:rFonts w:ascii="Arial" w:eastAsia="Times New Roman" w:hAnsi="Arial" w:cs="Arial"/>
        </w:rPr>
      </w:pPr>
    </w:p>
    <w:p w:rsidR="00161896" w:rsidRDefault="007E01C8" w:rsidP="007E01C8">
      <w:pPr>
        <w:tabs>
          <w:tab w:val="left" w:pos="1896"/>
        </w:tabs>
        <w:rPr>
          <w:rFonts w:ascii="Arial" w:eastAsia="Times New Roman" w:hAnsi="Arial" w:cs="Arial"/>
        </w:rPr>
      </w:pPr>
      <w:r>
        <w:rPr>
          <w:rFonts w:ascii="Arial" w:eastAsia="Times New Roman" w:hAnsi="Arial" w:cs="Arial"/>
        </w:rPr>
        <w:tab/>
      </w:r>
    </w:p>
    <w:p w:rsidR="007E01C8" w:rsidRDefault="007E01C8" w:rsidP="007E01C8">
      <w:pPr>
        <w:tabs>
          <w:tab w:val="left" w:pos="1896"/>
        </w:tabs>
        <w:rPr>
          <w:rFonts w:ascii="Arial" w:eastAsia="Times New Roman" w:hAnsi="Arial" w:cs="Arial"/>
        </w:rPr>
      </w:pPr>
    </w:p>
    <w:p w:rsidR="007E01C8" w:rsidRDefault="007E01C8" w:rsidP="007E01C8">
      <w:pPr>
        <w:tabs>
          <w:tab w:val="left" w:pos="1896"/>
        </w:tabs>
        <w:rPr>
          <w:rFonts w:ascii="Arial" w:eastAsia="Times New Roman" w:hAnsi="Arial" w:cs="Arial"/>
        </w:rPr>
      </w:pPr>
    </w:p>
    <w:p w:rsidR="007E01C8" w:rsidRDefault="007E01C8" w:rsidP="007E01C8">
      <w:pPr>
        <w:tabs>
          <w:tab w:val="left" w:pos="1896"/>
        </w:tabs>
        <w:rPr>
          <w:rFonts w:ascii="Arial" w:eastAsia="Times New Roman" w:hAnsi="Arial" w:cs="Arial"/>
        </w:rPr>
      </w:pPr>
    </w:p>
    <w:p w:rsidR="007E01C8" w:rsidRDefault="007E01C8" w:rsidP="007E01C8">
      <w:pPr>
        <w:tabs>
          <w:tab w:val="left" w:pos="1896"/>
        </w:tabs>
        <w:rPr>
          <w:rFonts w:ascii="Arial" w:eastAsia="Times New Roman" w:hAnsi="Arial" w:cs="Arial"/>
        </w:rPr>
      </w:pPr>
    </w:p>
    <w:p w:rsidR="007E01C8" w:rsidRDefault="007E01C8" w:rsidP="007E01C8">
      <w:pPr>
        <w:tabs>
          <w:tab w:val="left" w:pos="1896"/>
        </w:tabs>
        <w:rPr>
          <w:rFonts w:ascii="Arial" w:eastAsia="Times New Roman" w:hAnsi="Arial" w:cs="Arial"/>
        </w:rPr>
      </w:pPr>
    </w:p>
    <w:p w:rsidR="007E01C8" w:rsidRDefault="007E01C8" w:rsidP="007E01C8">
      <w:pPr>
        <w:rPr>
          <w:rFonts w:ascii="Arial" w:hAnsi="Arial" w:cs="Arial"/>
          <w:b/>
          <w:noProof/>
          <w:sz w:val="24"/>
        </w:rPr>
      </w:pPr>
      <w:r w:rsidRPr="007E01C8">
        <w:rPr>
          <w:rFonts w:ascii="Arial" w:hAnsi="Arial" w:cs="Arial"/>
          <w:b/>
          <w:noProof/>
          <w:sz w:val="24"/>
        </w:rPr>
        <w:lastRenderedPageBreak/>
        <w:t>Appendix 3</w:t>
      </w:r>
      <w:bookmarkStart w:id="3" w:name="LAS"/>
      <w:bookmarkEnd w:id="3"/>
    </w:p>
    <w:p w:rsidR="007E01C8" w:rsidRPr="007E01C8" w:rsidRDefault="007E01C8" w:rsidP="007E01C8">
      <w:pPr>
        <w:rPr>
          <w:rFonts w:ascii="Arial" w:hAnsi="Arial" w:cs="Arial"/>
          <w:b/>
          <w:noProof/>
          <w:sz w:val="24"/>
        </w:rPr>
      </w:pPr>
      <w:r>
        <w:rPr>
          <w:rFonts w:ascii="Arial" w:hAnsi="Arial" w:cs="Arial"/>
          <w:b/>
          <w:noProof/>
          <w:sz w:val="24"/>
        </w:rPr>
        <w:t>Recording risk priority and decision making in Liquidlogic (LAS)</w:t>
      </w:r>
    </w:p>
    <w:p w:rsidR="007E01C8" w:rsidRPr="007E01C8" w:rsidRDefault="007E01C8" w:rsidP="007E01C8">
      <w:pPr>
        <w:rPr>
          <w:rFonts w:ascii="Arial" w:hAnsi="Arial" w:cs="Arial"/>
          <w:noProof/>
          <w:sz w:val="24"/>
        </w:rPr>
      </w:pPr>
      <w:r w:rsidRPr="007E01C8">
        <w:rPr>
          <w:rFonts w:ascii="Arial" w:hAnsi="Arial" w:cs="Arial"/>
          <w:noProof/>
          <w:sz w:val="24"/>
        </w:rPr>
        <w:t>There is an updated way of recording risk profiling/prioritising allocation for cases on the waiting list.</w:t>
      </w:r>
    </w:p>
    <w:p w:rsidR="007E01C8" w:rsidRPr="007E01C8" w:rsidRDefault="007E01C8" w:rsidP="007E01C8">
      <w:pPr>
        <w:pStyle w:val="ListParagraph"/>
        <w:numPr>
          <w:ilvl w:val="0"/>
          <w:numId w:val="25"/>
        </w:numPr>
        <w:rPr>
          <w:rFonts w:ascii="Arial" w:hAnsi="Arial" w:cs="Arial"/>
          <w:noProof/>
          <w:sz w:val="24"/>
        </w:rPr>
      </w:pPr>
      <w:r w:rsidRPr="007E01C8">
        <w:rPr>
          <w:rFonts w:ascii="Arial" w:hAnsi="Arial" w:cs="Arial"/>
          <w:noProof/>
          <w:sz w:val="24"/>
        </w:rPr>
        <w:t>Please a</w:t>
      </w:r>
      <w:r w:rsidRPr="007E01C8">
        <w:rPr>
          <w:rFonts w:ascii="Arial" w:hAnsi="Arial" w:cs="Arial"/>
          <w:sz w:val="24"/>
        </w:rPr>
        <w:t xml:space="preserve">dd a case note detailing the rationale/professional judgement for this risk decision. Please use the case note type </w:t>
      </w:r>
      <w:r w:rsidRPr="007E01C8">
        <w:rPr>
          <w:rFonts w:ascii="Arial" w:hAnsi="Arial" w:cs="Arial"/>
          <w:b/>
          <w:sz w:val="24"/>
        </w:rPr>
        <w:t>Risk Prioritisation.</w:t>
      </w:r>
      <w:r>
        <w:rPr>
          <w:rFonts w:ascii="Arial" w:hAnsi="Arial" w:cs="Arial"/>
          <w:b/>
          <w:sz w:val="24"/>
        </w:rPr>
        <w:t xml:space="preserve"> </w:t>
      </w:r>
      <w:r w:rsidRPr="007E01C8">
        <w:rPr>
          <w:rFonts w:ascii="Arial" w:hAnsi="Arial" w:cs="Arial"/>
          <w:b/>
          <w:sz w:val="24"/>
          <w:u w:val="single"/>
        </w:rPr>
        <w:t>This is mandatory – this is a record of your risk decision making and so this step cannot be missed.</w:t>
      </w:r>
    </w:p>
    <w:p w:rsidR="007E01C8" w:rsidRPr="007E01C8" w:rsidRDefault="007E01C8" w:rsidP="007E01C8">
      <w:pPr>
        <w:rPr>
          <w:rFonts w:ascii="Arial" w:hAnsi="Arial" w:cs="Arial"/>
          <w:noProof/>
          <w:sz w:val="24"/>
        </w:rPr>
      </w:pPr>
      <w:r w:rsidRPr="007E01C8">
        <w:rPr>
          <w:rFonts w:ascii="Arial" w:hAnsi="Arial" w:cs="Arial"/>
          <w:noProof/>
          <w:sz w:val="24"/>
        </w:rPr>
        <w:drawing>
          <wp:inline distT="0" distB="0" distL="0" distR="0" wp14:anchorId="63BBC1FC" wp14:editId="350DBF68">
            <wp:extent cx="4705350" cy="2459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2723" cy="2473852"/>
                    </a:xfrm>
                    <a:prstGeom prst="rect">
                      <a:avLst/>
                    </a:prstGeom>
                  </pic:spPr>
                </pic:pic>
              </a:graphicData>
            </a:graphic>
          </wp:inline>
        </w:drawing>
      </w:r>
    </w:p>
    <w:p w:rsidR="007E01C8" w:rsidRPr="007E01C8" w:rsidRDefault="007E01C8" w:rsidP="007E01C8">
      <w:pPr>
        <w:rPr>
          <w:rFonts w:ascii="Arial" w:hAnsi="Arial" w:cs="Arial"/>
          <w:noProof/>
          <w:sz w:val="24"/>
        </w:rPr>
      </w:pPr>
    </w:p>
    <w:p w:rsidR="007E01C8" w:rsidRPr="007E01C8" w:rsidRDefault="007E01C8" w:rsidP="007E01C8">
      <w:pPr>
        <w:pStyle w:val="ListParagraph"/>
        <w:numPr>
          <w:ilvl w:val="0"/>
          <w:numId w:val="25"/>
        </w:numPr>
        <w:rPr>
          <w:rFonts w:ascii="Arial" w:hAnsi="Arial" w:cs="Arial"/>
          <w:noProof/>
          <w:sz w:val="24"/>
        </w:rPr>
      </w:pPr>
      <w:r w:rsidRPr="007E01C8">
        <w:rPr>
          <w:rFonts w:ascii="Arial" w:hAnsi="Arial" w:cs="Arial"/>
          <w:noProof/>
          <w:sz w:val="24"/>
        </w:rPr>
        <w:t xml:space="preserve">Please find the </w:t>
      </w:r>
      <w:r w:rsidRPr="007E01C8">
        <w:rPr>
          <w:rFonts w:ascii="Arial" w:hAnsi="Arial" w:cs="Arial"/>
          <w:b/>
          <w:noProof/>
          <w:sz w:val="24"/>
          <w:u w:val="single"/>
        </w:rPr>
        <w:t>Case</w:t>
      </w:r>
      <w:r w:rsidRPr="007E01C8">
        <w:rPr>
          <w:rFonts w:ascii="Arial" w:hAnsi="Arial" w:cs="Arial"/>
          <w:noProof/>
          <w:sz w:val="24"/>
        </w:rPr>
        <w:t xml:space="preserve"> task for the person. (Please do not complete this on any other Task type as this will not show in reporting).</w:t>
      </w:r>
    </w:p>
    <w:p w:rsidR="007E01C8" w:rsidRPr="007E01C8" w:rsidRDefault="007E01C8" w:rsidP="007E01C8">
      <w:pPr>
        <w:pStyle w:val="ListParagraph"/>
        <w:numPr>
          <w:ilvl w:val="0"/>
          <w:numId w:val="25"/>
        </w:numPr>
        <w:rPr>
          <w:rFonts w:ascii="Arial" w:hAnsi="Arial" w:cs="Arial"/>
          <w:noProof/>
          <w:sz w:val="24"/>
        </w:rPr>
      </w:pPr>
      <w:r w:rsidRPr="007E01C8">
        <w:rPr>
          <w:rFonts w:ascii="Arial" w:hAnsi="Arial" w:cs="Arial"/>
          <w:noProof/>
          <w:sz w:val="24"/>
        </w:rPr>
        <w:t>Click on the spanner to open the Task box for the Case.</w:t>
      </w:r>
    </w:p>
    <w:p w:rsidR="007E01C8" w:rsidRPr="007E01C8" w:rsidRDefault="007E01C8" w:rsidP="007E01C8">
      <w:pPr>
        <w:rPr>
          <w:rFonts w:ascii="Arial" w:hAnsi="Arial" w:cs="Arial"/>
          <w:noProof/>
          <w:sz w:val="24"/>
        </w:rPr>
      </w:pPr>
      <w:r w:rsidRPr="007E01C8">
        <w:rPr>
          <w:rFonts w:ascii="Arial" w:hAnsi="Arial" w:cs="Arial"/>
          <w:noProof/>
          <w:sz w:val="24"/>
        </w:rPr>
        <w:drawing>
          <wp:inline distT="0" distB="0" distL="0" distR="0" wp14:anchorId="6B74D0F8" wp14:editId="7B81B247">
            <wp:extent cx="5731510" cy="54737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47370"/>
                    </a:xfrm>
                    <a:prstGeom prst="rect">
                      <a:avLst/>
                    </a:prstGeom>
                  </pic:spPr>
                </pic:pic>
              </a:graphicData>
            </a:graphic>
          </wp:inline>
        </w:drawing>
      </w:r>
    </w:p>
    <w:p w:rsidR="007E01C8" w:rsidRPr="007E01C8" w:rsidRDefault="007E01C8" w:rsidP="007E01C8">
      <w:pPr>
        <w:pStyle w:val="ListParagraph"/>
        <w:numPr>
          <w:ilvl w:val="0"/>
          <w:numId w:val="25"/>
        </w:numPr>
        <w:rPr>
          <w:rFonts w:ascii="Arial" w:hAnsi="Arial" w:cs="Arial"/>
          <w:sz w:val="24"/>
        </w:rPr>
      </w:pPr>
      <w:r w:rsidRPr="007E01C8">
        <w:rPr>
          <w:rFonts w:ascii="Arial" w:hAnsi="Arial" w:cs="Arial"/>
          <w:noProof/>
          <w:sz w:val="24"/>
        </w:rPr>
        <w:t>Select the priority as High, Normal or Low, in line with the practice guidance. See screenshot below.</w:t>
      </w:r>
    </w:p>
    <w:p w:rsidR="007E01C8" w:rsidRPr="007E01C8" w:rsidRDefault="007E01C8" w:rsidP="007E01C8">
      <w:pPr>
        <w:pStyle w:val="ListParagraph"/>
        <w:numPr>
          <w:ilvl w:val="0"/>
          <w:numId w:val="25"/>
        </w:numPr>
        <w:rPr>
          <w:rFonts w:ascii="Arial" w:hAnsi="Arial" w:cs="Arial"/>
          <w:sz w:val="24"/>
        </w:rPr>
      </w:pPr>
      <w:r w:rsidRPr="007E01C8">
        <w:rPr>
          <w:rFonts w:ascii="Arial" w:hAnsi="Arial" w:cs="Arial"/>
          <w:sz w:val="24"/>
        </w:rPr>
        <w:t>Please add a comment to say ‘see case note dated XXX’</w:t>
      </w:r>
    </w:p>
    <w:p w:rsidR="007E01C8" w:rsidRPr="007E01C8" w:rsidRDefault="007E01C8" w:rsidP="007E01C8">
      <w:pPr>
        <w:rPr>
          <w:rFonts w:ascii="Arial" w:hAnsi="Arial" w:cs="Arial"/>
          <w:sz w:val="24"/>
        </w:rPr>
      </w:pPr>
    </w:p>
    <w:p w:rsidR="007E01C8" w:rsidRPr="007E01C8" w:rsidRDefault="007E01C8" w:rsidP="007E01C8">
      <w:pPr>
        <w:rPr>
          <w:rFonts w:ascii="Arial" w:hAnsi="Arial" w:cs="Arial"/>
          <w:sz w:val="24"/>
        </w:rPr>
      </w:pPr>
      <w:r w:rsidRPr="007E01C8">
        <w:rPr>
          <w:rFonts w:ascii="Arial" w:hAnsi="Arial" w:cs="Arial"/>
          <w:noProof/>
          <w:sz w:val="24"/>
        </w:rPr>
        <w:lastRenderedPageBreak/>
        <w:drawing>
          <wp:inline distT="0" distB="0" distL="0" distR="0" wp14:anchorId="39A1351F" wp14:editId="787FAC51">
            <wp:extent cx="4019331" cy="4105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40595" cy="4126994"/>
                    </a:xfrm>
                    <a:prstGeom prst="rect">
                      <a:avLst/>
                    </a:prstGeom>
                  </pic:spPr>
                </pic:pic>
              </a:graphicData>
            </a:graphic>
          </wp:inline>
        </w:drawing>
      </w:r>
    </w:p>
    <w:p w:rsidR="007E01C8" w:rsidRDefault="007E01C8"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r>
        <w:rPr>
          <w:rFonts w:ascii="Arial" w:eastAsia="Times New Roman" w:hAnsi="Arial" w:cs="Arial"/>
          <w:sz w:val="24"/>
        </w:rPr>
        <w:lastRenderedPageBreak/>
        <w:t xml:space="preserve">In order to set a date for when allocation is due, please click ‘Pend Task’ and then manually enter a future date based on the priority that has been set (High = same day urgent response or daily review, Normal = the date in 6 weeks’ time, Low = the date in 3 months’ time). </w:t>
      </w:r>
    </w:p>
    <w:p w:rsidR="0086490C" w:rsidRDefault="0086490C" w:rsidP="007E01C8">
      <w:pPr>
        <w:tabs>
          <w:tab w:val="left" w:pos="1896"/>
        </w:tabs>
        <w:rPr>
          <w:rFonts w:ascii="Arial" w:eastAsia="Times New Roman" w:hAnsi="Arial" w:cs="Arial"/>
          <w:sz w:val="24"/>
        </w:rPr>
      </w:pPr>
      <w:r>
        <w:rPr>
          <w:noProof/>
        </w:rPr>
        <w:drawing>
          <wp:inline distT="0" distB="0" distL="0" distR="0" wp14:anchorId="3DDA7572" wp14:editId="0B11515A">
            <wp:extent cx="4137660" cy="46327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54042" cy="4651091"/>
                    </a:xfrm>
                    <a:prstGeom prst="rect">
                      <a:avLst/>
                    </a:prstGeom>
                  </pic:spPr>
                </pic:pic>
              </a:graphicData>
            </a:graphic>
          </wp:inline>
        </w:drawing>
      </w:r>
    </w:p>
    <w:p w:rsidR="0086490C" w:rsidRDefault="0086490C" w:rsidP="007E01C8">
      <w:pPr>
        <w:tabs>
          <w:tab w:val="left" w:pos="1896"/>
        </w:tabs>
        <w:rPr>
          <w:rFonts w:ascii="Arial" w:eastAsia="Times New Roman" w:hAnsi="Arial" w:cs="Arial"/>
          <w:sz w:val="24"/>
        </w:rPr>
      </w:pPr>
    </w:p>
    <w:p w:rsidR="0086490C" w:rsidRDefault="0086490C" w:rsidP="007E01C8">
      <w:pPr>
        <w:tabs>
          <w:tab w:val="left" w:pos="1896"/>
        </w:tabs>
        <w:rPr>
          <w:rFonts w:ascii="Arial" w:eastAsia="Times New Roman" w:hAnsi="Arial" w:cs="Arial"/>
          <w:sz w:val="24"/>
        </w:rPr>
      </w:pPr>
      <w:r>
        <w:rPr>
          <w:rFonts w:ascii="Arial" w:eastAsia="Times New Roman" w:hAnsi="Arial" w:cs="Arial"/>
          <w:sz w:val="24"/>
        </w:rPr>
        <w:t xml:space="preserve">This </w:t>
      </w:r>
      <w:r w:rsidR="0043519C">
        <w:rPr>
          <w:rFonts w:ascii="Arial" w:eastAsia="Times New Roman" w:hAnsi="Arial" w:cs="Arial"/>
          <w:sz w:val="24"/>
        </w:rPr>
        <w:t>allocation ‘</w:t>
      </w:r>
      <w:r>
        <w:rPr>
          <w:rFonts w:ascii="Arial" w:eastAsia="Times New Roman" w:hAnsi="Arial" w:cs="Arial"/>
          <w:sz w:val="24"/>
        </w:rPr>
        <w:t>due’ date wi</w:t>
      </w:r>
      <w:r w:rsidR="00940AE3">
        <w:rPr>
          <w:rFonts w:ascii="Arial" w:eastAsia="Times New Roman" w:hAnsi="Arial" w:cs="Arial"/>
          <w:sz w:val="24"/>
        </w:rPr>
        <w:t>ll</w:t>
      </w:r>
      <w:r>
        <w:rPr>
          <w:rFonts w:ascii="Arial" w:eastAsia="Times New Roman" w:hAnsi="Arial" w:cs="Arial"/>
          <w:sz w:val="24"/>
        </w:rPr>
        <w:t xml:space="preserve"> then show next to the Case task in the work</w:t>
      </w:r>
      <w:r w:rsidR="00EF055A">
        <w:rPr>
          <w:rFonts w:ascii="Arial" w:eastAsia="Times New Roman" w:hAnsi="Arial" w:cs="Arial"/>
          <w:sz w:val="24"/>
        </w:rPr>
        <w:t xml:space="preserve"> </w:t>
      </w:r>
      <w:r>
        <w:rPr>
          <w:rFonts w:ascii="Arial" w:eastAsia="Times New Roman" w:hAnsi="Arial" w:cs="Arial"/>
          <w:sz w:val="24"/>
        </w:rPr>
        <w:t xml:space="preserve">tray: - </w:t>
      </w:r>
    </w:p>
    <w:p w:rsidR="0086490C" w:rsidRDefault="0086490C" w:rsidP="007E01C8">
      <w:pPr>
        <w:tabs>
          <w:tab w:val="left" w:pos="1896"/>
        </w:tabs>
        <w:rPr>
          <w:rFonts w:ascii="Arial" w:eastAsia="Times New Roman" w:hAnsi="Arial" w:cs="Arial"/>
          <w:sz w:val="24"/>
        </w:rPr>
      </w:pPr>
    </w:p>
    <w:p w:rsidR="0086490C" w:rsidRPr="007E01C8" w:rsidRDefault="00EF055A" w:rsidP="007E01C8">
      <w:pPr>
        <w:tabs>
          <w:tab w:val="left" w:pos="1896"/>
        </w:tabs>
        <w:rPr>
          <w:rFonts w:ascii="Arial" w:eastAsia="Times New Roman" w:hAnsi="Arial" w:cs="Arial"/>
          <w:sz w:val="24"/>
        </w:rPr>
      </w:pPr>
      <w:r>
        <w:rPr>
          <w:noProof/>
        </w:rPr>
        <w:drawing>
          <wp:inline distT="0" distB="0" distL="0" distR="0" wp14:anchorId="578E2A0E" wp14:editId="7632C857">
            <wp:extent cx="5789442" cy="25908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14573" cy="260205"/>
                    </a:xfrm>
                    <a:prstGeom prst="rect">
                      <a:avLst/>
                    </a:prstGeom>
                  </pic:spPr>
                </pic:pic>
              </a:graphicData>
            </a:graphic>
          </wp:inline>
        </w:drawing>
      </w:r>
      <w:r w:rsidR="0086490C">
        <w:rPr>
          <w:rFonts w:ascii="Arial" w:eastAsia="Times New Roman" w:hAnsi="Arial" w:cs="Arial"/>
          <w:sz w:val="24"/>
        </w:rPr>
        <w:t xml:space="preserve"> </w:t>
      </w:r>
    </w:p>
    <w:sectPr w:rsidR="0086490C" w:rsidRPr="007E01C8" w:rsidSect="00EC58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32A" w:rsidRDefault="003C532A" w:rsidP="00B16D0D">
      <w:pPr>
        <w:spacing w:after="0" w:line="240" w:lineRule="auto"/>
      </w:pPr>
      <w:r>
        <w:separator/>
      </w:r>
    </w:p>
  </w:endnote>
  <w:endnote w:type="continuationSeparator" w:id="0">
    <w:p w:rsidR="003C532A" w:rsidRDefault="003C532A" w:rsidP="00B1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974948"/>
      <w:docPartObj>
        <w:docPartGallery w:val="Page Numbers (Bottom of Page)"/>
        <w:docPartUnique/>
      </w:docPartObj>
    </w:sdtPr>
    <w:sdtEndPr>
      <w:rPr>
        <w:noProof/>
      </w:rPr>
    </w:sdtEndPr>
    <w:sdtContent>
      <w:p w:rsidR="009C30E4" w:rsidRDefault="009C30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C30E4" w:rsidRDefault="009C3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0E4" w:rsidRDefault="009C30E4" w:rsidP="009C30E4">
    <w:pPr>
      <w:pStyle w:val="Footer"/>
      <w:tabs>
        <w:tab w:val="left" w:pos="6760"/>
      </w:tabs>
    </w:pPr>
    <w:r>
      <w:tab/>
    </w:r>
    <w:r>
      <w:tab/>
    </w:r>
    <w:r w:rsidR="006C779F">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32A" w:rsidRDefault="003C532A" w:rsidP="00B16D0D">
      <w:pPr>
        <w:spacing w:after="0" w:line="240" w:lineRule="auto"/>
      </w:pPr>
      <w:r>
        <w:separator/>
      </w:r>
    </w:p>
  </w:footnote>
  <w:footnote w:type="continuationSeparator" w:id="0">
    <w:p w:rsidR="003C532A" w:rsidRDefault="003C532A" w:rsidP="00B16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7A" w:rsidRPr="000628F5" w:rsidRDefault="007E4313">
    <w:pPr>
      <w:pStyle w:val="Header"/>
      <w:rPr>
        <w:rFonts w:ascii="Arial" w:hAnsi="Arial" w:cs="Arial"/>
        <w:sz w:val="24"/>
      </w:rPr>
    </w:pPr>
    <w:r>
      <w:rPr>
        <w:rFonts w:ascii="Arial" w:hAnsi="Arial" w:cs="Arial"/>
        <w:sz w:val="24"/>
      </w:rPr>
      <w:t xml:space="preserve">Appendix 1 - </w:t>
    </w:r>
    <w:r w:rsidR="00023B7A" w:rsidRPr="000628F5">
      <w:rPr>
        <w:rFonts w:ascii="Arial" w:hAnsi="Arial" w:cs="Arial"/>
        <w:sz w:val="24"/>
      </w:rPr>
      <w:t>Risk and Priority Matrix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679065"/>
    <w:multiLevelType w:val="hybridMultilevel"/>
    <w:tmpl w:val="53A54C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02B8D4"/>
    <w:multiLevelType w:val="hybridMultilevel"/>
    <w:tmpl w:val="A05E4E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1D3B38"/>
    <w:multiLevelType w:val="hybridMultilevel"/>
    <w:tmpl w:val="0A327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90213A"/>
    <w:multiLevelType w:val="hybridMultilevel"/>
    <w:tmpl w:val="D7FC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E3667"/>
    <w:multiLevelType w:val="hybridMultilevel"/>
    <w:tmpl w:val="7AAFC9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2A293D"/>
    <w:multiLevelType w:val="hybridMultilevel"/>
    <w:tmpl w:val="6FB4B3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53A7F"/>
    <w:multiLevelType w:val="hybridMultilevel"/>
    <w:tmpl w:val="95264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AEF160"/>
    <w:multiLevelType w:val="hybridMultilevel"/>
    <w:tmpl w:val="EF1F0B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534D2E"/>
    <w:multiLevelType w:val="hybridMultilevel"/>
    <w:tmpl w:val="4D7A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296A"/>
    <w:multiLevelType w:val="hybridMultilevel"/>
    <w:tmpl w:val="299A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D5A2C"/>
    <w:multiLevelType w:val="hybridMultilevel"/>
    <w:tmpl w:val="3D1A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F3140"/>
    <w:multiLevelType w:val="hybridMultilevel"/>
    <w:tmpl w:val="E550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4BEB1"/>
    <w:multiLevelType w:val="hybridMultilevel"/>
    <w:tmpl w:val="3D0251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32F00E8"/>
    <w:multiLevelType w:val="hybridMultilevel"/>
    <w:tmpl w:val="D5CC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92661"/>
    <w:multiLevelType w:val="hybridMultilevel"/>
    <w:tmpl w:val="3386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133D9"/>
    <w:multiLevelType w:val="hybridMultilevel"/>
    <w:tmpl w:val="93DACE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16A58DA"/>
    <w:multiLevelType w:val="hybridMultilevel"/>
    <w:tmpl w:val="FD4CCF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0B14C6"/>
    <w:multiLevelType w:val="hybridMultilevel"/>
    <w:tmpl w:val="52C833E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15:restartNumberingAfterBreak="0">
    <w:nsid w:val="654CAB01"/>
    <w:multiLevelType w:val="hybridMultilevel"/>
    <w:tmpl w:val="B420F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034A98"/>
    <w:multiLevelType w:val="hybridMultilevel"/>
    <w:tmpl w:val="727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D1F25"/>
    <w:multiLevelType w:val="hybridMultilevel"/>
    <w:tmpl w:val="0A70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384534"/>
    <w:multiLevelType w:val="hybridMultilevel"/>
    <w:tmpl w:val="61D4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7632C"/>
    <w:multiLevelType w:val="hybridMultilevel"/>
    <w:tmpl w:val="B146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F429A7"/>
    <w:multiLevelType w:val="hybridMultilevel"/>
    <w:tmpl w:val="D7127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12AE37"/>
    <w:multiLevelType w:val="hybridMultilevel"/>
    <w:tmpl w:val="8DBC4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8"/>
  </w:num>
  <w:num w:numId="3">
    <w:abstractNumId w:val="24"/>
  </w:num>
  <w:num w:numId="4">
    <w:abstractNumId w:val="4"/>
  </w:num>
  <w:num w:numId="5">
    <w:abstractNumId w:val="9"/>
  </w:num>
  <w:num w:numId="6">
    <w:abstractNumId w:val="14"/>
  </w:num>
  <w:num w:numId="7">
    <w:abstractNumId w:val="11"/>
  </w:num>
  <w:num w:numId="8">
    <w:abstractNumId w:val="13"/>
  </w:num>
  <w:num w:numId="9">
    <w:abstractNumId w:val="23"/>
  </w:num>
  <w:num w:numId="10">
    <w:abstractNumId w:val="2"/>
  </w:num>
  <w:num w:numId="11">
    <w:abstractNumId w:val="12"/>
  </w:num>
  <w:num w:numId="12">
    <w:abstractNumId w:val="20"/>
  </w:num>
  <w:num w:numId="13">
    <w:abstractNumId w:val="15"/>
  </w:num>
  <w:num w:numId="14">
    <w:abstractNumId w:val="19"/>
  </w:num>
  <w:num w:numId="15">
    <w:abstractNumId w:val="0"/>
  </w:num>
  <w:num w:numId="16">
    <w:abstractNumId w:val="22"/>
  </w:num>
  <w:num w:numId="17">
    <w:abstractNumId w:val="1"/>
  </w:num>
  <w:num w:numId="18">
    <w:abstractNumId w:val="8"/>
  </w:num>
  <w:num w:numId="19">
    <w:abstractNumId w:val="3"/>
  </w:num>
  <w:num w:numId="20">
    <w:abstractNumId w:val="21"/>
  </w:num>
  <w:num w:numId="21">
    <w:abstractNumId w:val="16"/>
  </w:num>
  <w:num w:numId="22">
    <w:abstractNumId w:val="17"/>
  </w:num>
  <w:num w:numId="23">
    <w:abstractNumId w:val="5"/>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CF"/>
    <w:rsid w:val="00023B7A"/>
    <w:rsid w:val="000628F5"/>
    <w:rsid w:val="00077C98"/>
    <w:rsid w:val="000D7147"/>
    <w:rsid w:val="001119F4"/>
    <w:rsid w:val="00122DEC"/>
    <w:rsid w:val="00157B1D"/>
    <w:rsid w:val="00161896"/>
    <w:rsid w:val="0016657C"/>
    <w:rsid w:val="001930A5"/>
    <w:rsid w:val="001F0072"/>
    <w:rsid w:val="001F49A8"/>
    <w:rsid w:val="001F7120"/>
    <w:rsid w:val="002068B8"/>
    <w:rsid w:val="0028345A"/>
    <w:rsid w:val="00292AB1"/>
    <w:rsid w:val="002A03F9"/>
    <w:rsid w:val="002D148E"/>
    <w:rsid w:val="003147BE"/>
    <w:rsid w:val="003168B7"/>
    <w:rsid w:val="00381975"/>
    <w:rsid w:val="003C532A"/>
    <w:rsid w:val="003E27C5"/>
    <w:rsid w:val="00413CE9"/>
    <w:rsid w:val="0041490B"/>
    <w:rsid w:val="0043519C"/>
    <w:rsid w:val="00494642"/>
    <w:rsid w:val="004B23FE"/>
    <w:rsid w:val="004D2BA1"/>
    <w:rsid w:val="0051551E"/>
    <w:rsid w:val="00543A32"/>
    <w:rsid w:val="005F0482"/>
    <w:rsid w:val="0064750E"/>
    <w:rsid w:val="00672C09"/>
    <w:rsid w:val="006A5101"/>
    <w:rsid w:val="006C779F"/>
    <w:rsid w:val="006C79B9"/>
    <w:rsid w:val="006D374D"/>
    <w:rsid w:val="006D5A61"/>
    <w:rsid w:val="007A4794"/>
    <w:rsid w:val="007D7755"/>
    <w:rsid w:val="007E01C8"/>
    <w:rsid w:val="007E4313"/>
    <w:rsid w:val="007F2921"/>
    <w:rsid w:val="00801159"/>
    <w:rsid w:val="00813816"/>
    <w:rsid w:val="0086490C"/>
    <w:rsid w:val="00896A05"/>
    <w:rsid w:val="008B420A"/>
    <w:rsid w:val="008C44CF"/>
    <w:rsid w:val="008E210B"/>
    <w:rsid w:val="008F59F6"/>
    <w:rsid w:val="00910AC6"/>
    <w:rsid w:val="00911E6A"/>
    <w:rsid w:val="00924775"/>
    <w:rsid w:val="00935810"/>
    <w:rsid w:val="00940AE3"/>
    <w:rsid w:val="00940C31"/>
    <w:rsid w:val="009B304A"/>
    <w:rsid w:val="009C30E4"/>
    <w:rsid w:val="00A05BCE"/>
    <w:rsid w:val="00A655EF"/>
    <w:rsid w:val="00B00521"/>
    <w:rsid w:val="00B16D0D"/>
    <w:rsid w:val="00BE04D2"/>
    <w:rsid w:val="00BF3E87"/>
    <w:rsid w:val="00BF4AE4"/>
    <w:rsid w:val="00CA57D4"/>
    <w:rsid w:val="00CB6F4D"/>
    <w:rsid w:val="00CF36E5"/>
    <w:rsid w:val="00D06696"/>
    <w:rsid w:val="00DB6467"/>
    <w:rsid w:val="00DD12DC"/>
    <w:rsid w:val="00E23204"/>
    <w:rsid w:val="00E3428B"/>
    <w:rsid w:val="00E72B79"/>
    <w:rsid w:val="00EC58A0"/>
    <w:rsid w:val="00EE3E79"/>
    <w:rsid w:val="00EF055A"/>
    <w:rsid w:val="00F013D2"/>
    <w:rsid w:val="00F16282"/>
    <w:rsid w:val="00F16E56"/>
    <w:rsid w:val="00F5256A"/>
    <w:rsid w:val="00F65A80"/>
    <w:rsid w:val="00FE1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E9EC6C"/>
  <w15:chartTrackingRefBased/>
  <w15:docId w15:val="{7A4A1FCB-3126-488D-90D5-519B89C1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47B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16D0D"/>
    <w:pPr>
      <w:ind w:left="720"/>
      <w:contextualSpacing/>
    </w:pPr>
  </w:style>
  <w:style w:type="table" w:styleId="TableGrid">
    <w:name w:val="Table Grid"/>
    <w:basedOn w:val="TableNormal"/>
    <w:uiPriority w:val="59"/>
    <w:rsid w:val="00B16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D0D"/>
  </w:style>
  <w:style w:type="paragraph" w:styleId="Footer">
    <w:name w:val="footer"/>
    <w:basedOn w:val="Normal"/>
    <w:link w:val="FooterChar"/>
    <w:uiPriority w:val="99"/>
    <w:unhideWhenUsed/>
    <w:rsid w:val="00B16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D0D"/>
  </w:style>
  <w:style w:type="paragraph" w:customStyle="1" w:styleId="listparagraph0">
    <w:name w:val="listparagraph"/>
    <w:basedOn w:val="Normal"/>
    <w:rsid w:val="00B16D0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B16D0D"/>
    <w:rPr>
      <w:b/>
      <w:bCs/>
    </w:rPr>
  </w:style>
  <w:style w:type="character" w:styleId="Hyperlink">
    <w:name w:val="Hyperlink"/>
    <w:basedOn w:val="DefaultParagraphFont"/>
    <w:uiPriority w:val="99"/>
    <w:unhideWhenUsed/>
    <w:rsid w:val="004B23FE"/>
    <w:rPr>
      <w:color w:val="0563C1" w:themeColor="hyperlink"/>
      <w:u w:val="single"/>
    </w:rPr>
  </w:style>
  <w:style w:type="character" w:styleId="UnresolvedMention">
    <w:name w:val="Unresolved Mention"/>
    <w:basedOn w:val="DefaultParagraphFont"/>
    <w:uiPriority w:val="99"/>
    <w:semiHidden/>
    <w:unhideWhenUsed/>
    <w:rsid w:val="004B23FE"/>
    <w:rPr>
      <w:color w:val="605E5C"/>
      <w:shd w:val="clear" w:color="auto" w:fill="E1DFDD"/>
    </w:rPr>
  </w:style>
  <w:style w:type="character" w:styleId="FollowedHyperlink">
    <w:name w:val="FollowedHyperlink"/>
    <w:basedOn w:val="DefaultParagraphFont"/>
    <w:uiPriority w:val="99"/>
    <w:semiHidden/>
    <w:unhideWhenUsed/>
    <w:rsid w:val="004B2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offer.swindon.gov.uk/hom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41A9-F64C-40ED-8A3B-21CE4B8E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 (PSW)</dc:creator>
  <cp:keywords/>
  <dc:description/>
  <cp:lastModifiedBy>Danielle Smith (PSW)</cp:lastModifiedBy>
  <cp:revision>3</cp:revision>
  <dcterms:created xsi:type="dcterms:W3CDTF">2024-09-12T13:11:00Z</dcterms:created>
  <dcterms:modified xsi:type="dcterms:W3CDTF">2024-09-12T13:19:00Z</dcterms:modified>
</cp:coreProperties>
</file>