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diagrams/data1.xml" ContentType="application/vnd.openxmlformats-officedocument.drawingml.diagramData+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DCEAF7" w:themeColor="text2" w:themeTint="19"/>
  <w:body>
    <w:p w14:paraId="30919C98" w14:textId="77777777" w:rsidR="002735A0" w:rsidRPr="00734333" w:rsidRDefault="002735A0" w:rsidP="002735A0">
      <w:pPr>
        <w:pStyle w:val="Title"/>
        <w:jc w:val="center"/>
        <w:rPr>
          <w:rFonts w:asciiTheme="minorHAnsi" w:hAnsiTheme="minorHAnsi"/>
          <w:b/>
          <w:bCs/>
        </w:rPr>
      </w:pPr>
      <w:r w:rsidRPr="00734333">
        <w:rPr>
          <w:rFonts w:asciiTheme="minorHAnsi" w:hAnsiTheme="minorHAnsi"/>
          <w:b/>
          <w:bCs/>
        </w:rPr>
        <w:t>Summary of Learning Points from National Review</w:t>
      </w:r>
    </w:p>
    <w:p w14:paraId="5D314CE8" w14:textId="77777777" w:rsidR="002735A0" w:rsidRPr="00734333" w:rsidRDefault="002735A0" w:rsidP="00734333">
      <w:pPr>
        <w:jc w:val="center"/>
        <w:rPr>
          <w:b/>
          <w:bCs/>
          <w:sz w:val="28"/>
          <w:szCs w:val="28"/>
        </w:rPr>
      </w:pPr>
      <w:hyperlink r:id="rId6" w:history="1">
        <w:r w:rsidRPr="00734333">
          <w:rPr>
            <w:rStyle w:val="Hyperlink"/>
            <w:b/>
            <w:bCs/>
            <w:sz w:val="28"/>
            <w:szCs w:val="28"/>
          </w:rPr>
          <w:t>"It's Silent": Race, racism and safeguarding children – Panel Briefing 4</w:t>
        </w:r>
      </w:hyperlink>
    </w:p>
    <w:p w14:paraId="28E762C3" w14:textId="6281B9FC" w:rsidR="00734333" w:rsidRPr="00734333" w:rsidRDefault="0091527A">
      <w:r w:rsidRPr="00734333">
        <w:t>Th</w:t>
      </w:r>
      <w:r w:rsidR="00734333">
        <w:t>e</w:t>
      </w:r>
      <w:r w:rsidRPr="00734333">
        <w:t xml:space="preserve"> thematic review examine</w:t>
      </w:r>
      <w:r w:rsidR="00734333">
        <w:t>d</w:t>
      </w:r>
      <w:r w:rsidRPr="00734333">
        <w:t xml:space="preserve"> the impact of race, ethnicity and culture on multi-agency practice where children have suffered serious harm or died. It includes findings from 40 rapid reviews and 14 LCSPRs involving children from Black, Asian and Mixed Heritage backgrounds. </w:t>
      </w:r>
      <w:r w:rsidR="00734333" w:rsidRPr="00734333">
        <w:br/>
      </w:r>
      <w:r w:rsidRPr="00734333">
        <w:t xml:space="preserve">This report highlights that some progress has been made in understanding how race, ethnicity and culture can inform practice responses to children and families. However, </w:t>
      </w:r>
      <w:r w:rsidR="00734333" w:rsidRPr="00734333">
        <w:t>the</w:t>
      </w:r>
      <w:r w:rsidRPr="00734333">
        <w:t xml:space="preserve"> analysis reveals too few examples of these issues being considered in any depth or specificity. This indicates that there is a need to surface and challenge why there is such systemic silence and reticence in addressing and confronting these issues. It is clear too that more work is urgently needed so that safeguarding leaders and practitioners consistently consider, understand and take account of children’s identity and heritage.</w:t>
      </w:r>
    </w:p>
    <w:p w14:paraId="40B9B06F" w14:textId="21111F38" w:rsidR="002735A0" w:rsidRDefault="002735A0">
      <w:r w:rsidRPr="002735A0">
        <w:drawing>
          <wp:inline distT="0" distB="0" distL="0" distR="0" wp14:anchorId="7194C32A" wp14:editId="219677F7">
            <wp:extent cx="7484745" cy="6389813"/>
            <wp:effectExtent l="0" t="247650" r="0" b="278130"/>
            <wp:docPr id="1397778802" name="Diagram 1">
              <a:extLst xmlns:a="http://schemas.openxmlformats.org/drawingml/2006/main">
                <a:ext uri="{FF2B5EF4-FFF2-40B4-BE49-F238E27FC236}">
                  <a16:creationId xmlns:a16="http://schemas.microsoft.com/office/drawing/2014/main" id="{ABB4CF3E-4D8A-FA3F-6819-E8CB03BC1226}"/>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inline>
        </w:drawing>
      </w:r>
    </w:p>
    <w:sectPr w:rsidR="002735A0" w:rsidSect="00734333">
      <w:headerReference w:type="even" r:id="rId12"/>
      <w:headerReference w:type="default" r:id="rId13"/>
      <w:headerReference w:type="first" r:id="rId14"/>
      <w:pgSz w:w="11906" w:h="16838"/>
      <w:pgMar w:top="426" w:right="140" w:bottom="142" w:left="284" w:header="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96D8D3" w14:textId="77777777" w:rsidR="002735A0" w:rsidRDefault="002735A0" w:rsidP="002735A0">
      <w:pPr>
        <w:spacing w:after="0" w:line="240" w:lineRule="auto"/>
      </w:pPr>
      <w:r>
        <w:separator/>
      </w:r>
    </w:p>
  </w:endnote>
  <w:endnote w:type="continuationSeparator" w:id="0">
    <w:p w14:paraId="54905D1D" w14:textId="77777777" w:rsidR="002735A0" w:rsidRDefault="002735A0" w:rsidP="002735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8A362D" w14:textId="77777777" w:rsidR="002735A0" w:rsidRDefault="002735A0" w:rsidP="002735A0">
      <w:pPr>
        <w:spacing w:after="0" w:line="240" w:lineRule="auto"/>
      </w:pPr>
      <w:r>
        <w:separator/>
      </w:r>
    </w:p>
  </w:footnote>
  <w:footnote w:type="continuationSeparator" w:id="0">
    <w:p w14:paraId="71D888F8" w14:textId="77777777" w:rsidR="002735A0" w:rsidRDefault="002735A0" w:rsidP="002735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F05743" w14:textId="3330AF37" w:rsidR="00734333" w:rsidRDefault="00734333">
    <w:pPr>
      <w:pStyle w:val="Header"/>
    </w:pPr>
    <w:r>
      <w:rPr>
        <w:noProof/>
      </w:rPr>
      <mc:AlternateContent>
        <mc:Choice Requires="wps">
          <w:drawing>
            <wp:anchor distT="0" distB="0" distL="0" distR="0" simplePos="0" relativeHeight="251659264" behindDoc="0" locked="0" layoutInCell="1" allowOverlap="1" wp14:anchorId="6DBEB0F6" wp14:editId="69A361CC">
              <wp:simplePos x="635" y="635"/>
              <wp:positionH relativeFrom="page">
                <wp:align>center</wp:align>
              </wp:positionH>
              <wp:positionV relativeFrom="page">
                <wp:align>top</wp:align>
              </wp:positionV>
              <wp:extent cx="593725" cy="405765"/>
              <wp:effectExtent l="0" t="0" r="15875" b="13335"/>
              <wp:wrapNone/>
              <wp:docPr id="855160382" name="Text Box 2"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93725" cy="405765"/>
                      </a:xfrm>
                      <a:prstGeom prst="rect">
                        <a:avLst/>
                      </a:prstGeom>
                      <a:noFill/>
                      <a:ln>
                        <a:noFill/>
                      </a:ln>
                    </wps:spPr>
                    <wps:txbx>
                      <w:txbxContent>
                        <w:p w14:paraId="21E25255" w14:textId="027D3E68" w:rsidR="00734333" w:rsidRPr="00734333" w:rsidRDefault="00734333" w:rsidP="00734333">
                          <w:pPr>
                            <w:spacing w:after="0"/>
                            <w:rPr>
                              <w:rFonts w:ascii="Calibri" w:eastAsia="Calibri" w:hAnsi="Calibri" w:cs="Calibri"/>
                              <w:noProof/>
                              <w:color w:val="0000FF"/>
                            </w:rPr>
                          </w:pPr>
                          <w:r w:rsidRPr="00734333">
                            <w:rPr>
                              <w:rFonts w:ascii="Calibri" w:eastAsia="Calibri" w:hAnsi="Calibri" w:cs="Calibri"/>
                              <w:noProof/>
                              <w:color w:val="0000FF"/>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DBEB0F6" id="_x0000_t202" coordsize="21600,21600" o:spt="202" path="m,l,21600r21600,l21600,xe">
              <v:stroke joinstyle="miter"/>
              <v:path gradientshapeok="t" o:connecttype="rect"/>
            </v:shapetype>
            <v:shape id="Text Box 2" o:spid="_x0000_s1026" type="#_x0000_t202" alt="- Official -" style="position:absolute;margin-left:0;margin-top:0;width:46.75pt;height:31.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" filled="f" stroked="f">
              <v:fill o:detectmouseclick="t"/>
              <v:textbox style="mso-fit-shape-to-text:t" inset="0,15pt,0,0">
                <w:txbxContent>
                  <w:p w14:paraId="21E25255" w14:textId="027D3E68" w:rsidR="00734333" w:rsidRPr="00734333" w:rsidRDefault="00734333" w:rsidP="00734333">
                    <w:pPr>
                      <w:spacing w:after="0"/>
                      <w:rPr>
                        <w:rFonts w:ascii="Calibri" w:eastAsia="Calibri" w:hAnsi="Calibri" w:cs="Calibri"/>
                        <w:noProof/>
                        <w:color w:val="0000FF"/>
                      </w:rPr>
                    </w:pPr>
                    <w:r w:rsidRPr="00734333">
                      <w:rPr>
                        <w:rFonts w:ascii="Calibri" w:eastAsia="Calibri" w:hAnsi="Calibri" w:cs="Calibri"/>
                        <w:noProof/>
                        <w:color w:val="0000FF"/>
                      </w:rPr>
                      <w:t>- Official -</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AF3D9A" w14:textId="5B303EC6" w:rsidR="002735A0" w:rsidRDefault="00734333" w:rsidP="002735A0">
    <w:pPr>
      <w:pStyle w:val="Header"/>
      <w:jc w:val="right"/>
    </w:pPr>
    <w:r>
      <w:rPr>
        <w:noProof/>
      </w:rPr>
      <mc:AlternateContent>
        <mc:Choice Requires="wps">
          <w:drawing>
            <wp:anchor distT="0" distB="0" distL="0" distR="0" simplePos="0" relativeHeight="251660288" behindDoc="0" locked="0" layoutInCell="1" allowOverlap="1" wp14:anchorId="64E5264B" wp14:editId="0A470599">
              <wp:simplePos x="635" y="635"/>
              <wp:positionH relativeFrom="page">
                <wp:align>center</wp:align>
              </wp:positionH>
              <wp:positionV relativeFrom="page">
                <wp:align>top</wp:align>
              </wp:positionV>
              <wp:extent cx="593725" cy="405765"/>
              <wp:effectExtent l="0" t="0" r="15875" b="13335"/>
              <wp:wrapNone/>
              <wp:docPr id="313608183" name="Text Box 3"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93725" cy="405765"/>
                      </a:xfrm>
                      <a:prstGeom prst="rect">
                        <a:avLst/>
                      </a:prstGeom>
                      <a:noFill/>
                      <a:ln>
                        <a:noFill/>
                      </a:ln>
                    </wps:spPr>
                    <wps:txbx>
                      <w:txbxContent>
                        <w:p w14:paraId="3EBE463A" w14:textId="2498FE28" w:rsidR="00734333" w:rsidRPr="00734333" w:rsidRDefault="00734333" w:rsidP="00734333">
                          <w:pPr>
                            <w:spacing w:after="0"/>
                            <w:rPr>
                              <w:rFonts w:ascii="Calibri" w:eastAsia="Calibri" w:hAnsi="Calibri" w:cs="Calibri"/>
                              <w:noProof/>
                              <w:color w:val="0000FF"/>
                            </w:rPr>
                          </w:pPr>
                          <w:r w:rsidRPr="00734333">
                            <w:rPr>
                              <w:rFonts w:ascii="Calibri" w:eastAsia="Calibri" w:hAnsi="Calibri" w:cs="Calibri"/>
                              <w:noProof/>
                              <w:color w:val="0000FF"/>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4E5264B" id="_x0000_t202" coordsize="21600,21600" o:spt="202" path="m,l,21600r21600,l21600,xe">
              <v:stroke joinstyle="miter"/>
              <v:path gradientshapeok="t" o:connecttype="rect"/>
            </v:shapetype>
            <v:shape id="Text Box 3" o:spid="_x0000_s1027" type="#_x0000_t202" alt="- Official -" style="position:absolute;left:0;text-align:left;margin-left:0;margin-top:0;width:46.75pt;height:31.9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" filled="f" stroked="f">
              <v:fill o:detectmouseclick="t"/>
              <v:textbox style="mso-fit-shape-to-text:t" inset="0,15pt,0,0">
                <w:txbxContent>
                  <w:p w14:paraId="3EBE463A" w14:textId="2498FE28" w:rsidR="00734333" w:rsidRPr="00734333" w:rsidRDefault="00734333" w:rsidP="00734333">
                    <w:pPr>
                      <w:spacing w:after="0"/>
                      <w:rPr>
                        <w:rFonts w:ascii="Calibri" w:eastAsia="Calibri" w:hAnsi="Calibri" w:cs="Calibri"/>
                        <w:noProof/>
                        <w:color w:val="0000FF"/>
                      </w:rPr>
                    </w:pPr>
                    <w:r w:rsidRPr="00734333">
                      <w:rPr>
                        <w:rFonts w:ascii="Calibri" w:eastAsia="Calibri" w:hAnsi="Calibri" w:cs="Calibri"/>
                        <w:noProof/>
                        <w:color w:val="0000FF"/>
                      </w:rPr>
                      <w:t>- Official -</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8C4282" w14:textId="794AD5FB" w:rsidR="00734333" w:rsidRDefault="00734333">
    <w:pPr>
      <w:pStyle w:val="Header"/>
    </w:pPr>
    <w:r>
      <w:rPr>
        <w:noProof/>
      </w:rPr>
      <mc:AlternateContent>
        <mc:Choice Requires="wps">
          <w:drawing>
            <wp:anchor distT="0" distB="0" distL="0" distR="0" simplePos="0" relativeHeight="251658240" behindDoc="0" locked="0" layoutInCell="1" allowOverlap="1" wp14:anchorId="47000488" wp14:editId="02D1C0CB">
              <wp:simplePos x="635" y="635"/>
              <wp:positionH relativeFrom="page">
                <wp:align>center</wp:align>
              </wp:positionH>
              <wp:positionV relativeFrom="page">
                <wp:align>top</wp:align>
              </wp:positionV>
              <wp:extent cx="593725" cy="405765"/>
              <wp:effectExtent l="0" t="0" r="15875" b="13335"/>
              <wp:wrapNone/>
              <wp:docPr id="1482787299" name="Text Box 1"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93725" cy="405765"/>
                      </a:xfrm>
                      <a:prstGeom prst="rect">
                        <a:avLst/>
                      </a:prstGeom>
                      <a:noFill/>
                      <a:ln>
                        <a:noFill/>
                      </a:ln>
                    </wps:spPr>
                    <wps:txbx>
                      <w:txbxContent>
                        <w:p w14:paraId="043BA60E" w14:textId="7F5E1EFB" w:rsidR="00734333" w:rsidRPr="00734333" w:rsidRDefault="00734333" w:rsidP="00734333">
                          <w:pPr>
                            <w:spacing w:after="0"/>
                            <w:rPr>
                              <w:rFonts w:ascii="Calibri" w:eastAsia="Calibri" w:hAnsi="Calibri" w:cs="Calibri"/>
                              <w:noProof/>
                              <w:color w:val="0000FF"/>
                            </w:rPr>
                          </w:pPr>
                          <w:r w:rsidRPr="00734333">
                            <w:rPr>
                              <w:rFonts w:ascii="Calibri" w:eastAsia="Calibri" w:hAnsi="Calibri" w:cs="Calibri"/>
                              <w:noProof/>
                              <w:color w:val="0000FF"/>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7000488" id="_x0000_t202" coordsize="21600,21600" o:spt="202" path="m,l,21600r21600,l21600,xe">
              <v:stroke joinstyle="miter"/>
              <v:path gradientshapeok="t" o:connecttype="rect"/>
            </v:shapetype>
            <v:shape id="Text Box 1" o:spid="_x0000_s1028" type="#_x0000_t202" alt="- Official -" style="position:absolute;margin-left:0;margin-top:0;width:46.75pt;height:31.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" filled="f" stroked="f">
              <v:fill o:detectmouseclick="t"/>
              <v:textbox style="mso-fit-shape-to-text:t" inset="0,15pt,0,0">
                <w:txbxContent>
                  <w:p w14:paraId="043BA60E" w14:textId="7F5E1EFB" w:rsidR="00734333" w:rsidRPr="00734333" w:rsidRDefault="00734333" w:rsidP="00734333">
                    <w:pPr>
                      <w:spacing w:after="0"/>
                      <w:rPr>
                        <w:rFonts w:ascii="Calibri" w:eastAsia="Calibri" w:hAnsi="Calibri" w:cs="Calibri"/>
                        <w:noProof/>
                        <w:color w:val="0000FF"/>
                      </w:rPr>
                    </w:pPr>
                    <w:r w:rsidRPr="00734333">
                      <w:rPr>
                        <w:rFonts w:ascii="Calibri" w:eastAsia="Calibri" w:hAnsi="Calibri" w:cs="Calibri"/>
                        <w:noProof/>
                        <w:color w:val="0000FF"/>
                      </w:rPr>
                      <w:t>- Official -</w:t>
                    </w:r>
                  </w:p>
                </w:txbxContent>
              </v:textbox>
              <w10:wrap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0"/>
  <w:displayBackgroundShape/>
  <w:proofState w:spelling="clean" w:grammar="clean"/>
  <w:defaultTabStop w:val="720"/>
  <w:characterSpacingControl w:val="doNotCompress"/>
  <w:hdrShapeDefaults>
    <o:shapedefaults v:ext="edit" spidmax="2049">
      <o:colormenu v:ext="edit" fillcolor="none [351]"/>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35A0"/>
    <w:rsid w:val="002735A0"/>
    <w:rsid w:val="00734333"/>
    <w:rsid w:val="0091527A"/>
    <w:rsid w:val="00DB6F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colormenu v:ext="edit" fillcolor="none [351]"/>
    </o:shapedefaults>
    <o:shapelayout v:ext="edit">
      <o:idmap v:ext="edit" data="1"/>
    </o:shapelayout>
  </w:shapeDefaults>
  <w:decimalSymbol w:val="."/>
  <w:listSeparator w:val=","/>
  <w14:docId w14:val="26255C0A"/>
  <w15:chartTrackingRefBased/>
  <w15:docId w15:val="{010D6FEB-EA39-487E-9044-E68599649C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35A0"/>
  </w:style>
  <w:style w:type="paragraph" w:styleId="Heading1">
    <w:name w:val="heading 1"/>
    <w:basedOn w:val="Normal"/>
    <w:next w:val="Normal"/>
    <w:link w:val="Heading1Char"/>
    <w:uiPriority w:val="9"/>
    <w:qFormat/>
    <w:rsid w:val="002735A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735A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735A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735A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735A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735A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735A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735A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735A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35A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735A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735A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735A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735A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735A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735A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735A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735A0"/>
    <w:rPr>
      <w:rFonts w:eastAsiaTheme="majorEastAsia" w:cstheme="majorBidi"/>
      <w:color w:val="272727" w:themeColor="text1" w:themeTint="D8"/>
    </w:rPr>
  </w:style>
  <w:style w:type="paragraph" w:styleId="Title">
    <w:name w:val="Title"/>
    <w:basedOn w:val="Normal"/>
    <w:next w:val="Normal"/>
    <w:link w:val="TitleChar"/>
    <w:uiPriority w:val="10"/>
    <w:qFormat/>
    <w:rsid w:val="002735A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735A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735A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735A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735A0"/>
    <w:pPr>
      <w:spacing w:before="160"/>
      <w:jc w:val="center"/>
    </w:pPr>
    <w:rPr>
      <w:i/>
      <w:iCs/>
      <w:color w:val="404040" w:themeColor="text1" w:themeTint="BF"/>
    </w:rPr>
  </w:style>
  <w:style w:type="character" w:customStyle="1" w:styleId="QuoteChar">
    <w:name w:val="Quote Char"/>
    <w:basedOn w:val="DefaultParagraphFont"/>
    <w:link w:val="Quote"/>
    <w:uiPriority w:val="29"/>
    <w:rsid w:val="002735A0"/>
    <w:rPr>
      <w:i/>
      <w:iCs/>
      <w:color w:val="404040" w:themeColor="text1" w:themeTint="BF"/>
    </w:rPr>
  </w:style>
  <w:style w:type="paragraph" w:styleId="ListParagraph">
    <w:name w:val="List Paragraph"/>
    <w:basedOn w:val="Normal"/>
    <w:uiPriority w:val="34"/>
    <w:qFormat/>
    <w:rsid w:val="002735A0"/>
    <w:pPr>
      <w:ind w:left="720"/>
      <w:contextualSpacing/>
    </w:pPr>
  </w:style>
  <w:style w:type="character" w:styleId="IntenseEmphasis">
    <w:name w:val="Intense Emphasis"/>
    <w:basedOn w:val="DefaultParagraphFont"/>
    <w:uiPriority w:val="21"/>
    <w:qFormat/>
    <w:rsid w:val="002735A0"/>
    <w:rPr>
      <w:i/>
      <w:iCs/>
      <w:color w:val="0F4761" w:themeColor="accent1" w:themeShade="BF"/>
    </w:rPr>
  </w:style>
  <w:style w:type="paragraph" w:styleId="IntenseQuote">
    <w:name w:val="Intense Quote"/>
    <w:basedOn w:val="Normal"/>
    <w:next w:val="Normal"/>
    <w:link w:val="IntenseQuoteChar"/>
    <w:uiPriority w:val="30"/>
    <w:qFormat/>
    <w:rsid w:val="002735A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735A0"/>
    <w:rPr>
      <w:i/>
      <w:iCs/>
      <w:color w:val="0F4761" w:themeColor="accent1" w:themeShade="BF"/>
    </w:rPr>
  </w:style>
  <w:style w:type="character" w:styleId="IntenseReference">
    <w:name w:val="Intense Reference"/>
    <w:basedOn w:val="DefaultParagraphFont"/>
    <w:uiPriority w:val="32"/>
    <w:qFormat/>
    <w:rsid w:val="002735A0"/>
    <w:rPr>
      <w:b/>
      <w:bCs/>
      <w:smallCaps/>
      <w:color w:val="0F4761" w:themeColor="accent1" w:themeShade="BF"/>
      <w:spacing w:val="5"/>
    </w:rPr>
  </w:style>
  <w:style w:type="paragraph" w:styleId="Header">
    <w:name w:val="header"/>
    <w:basedOn w:val="Normal"/>
    <w:link w:val="HeaderChar"/>
    <w:uiPriority w:val="99"/>
    <w:unhideWhenUsed/>
    <w:rsid w:val="002735A0"/>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35A0"/>
  </w:style>
  <w:style w:type="paragraph" w:styleId="Footer">
    <w:name w:val="footer"/>
    <w:basedOn w:val="Normal"/>
    <w:link w:val="FooterChar"/>
    <w:uiPriority w:val="99"/>
    <w:unhideWhenUsed/>
    <w:rsid w:val="002735A0"/>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35A0"/>
  </w:style>
  <w:style w:type="character" w:styleId="Hyperlink">
    <w:name w:val="Hyperlink"/>
    <w:basedOn w:val="DefaultParagraphFont"/>
    <w:uiPriority w:val="99"/>
    <w:unhideWhenUsed/>
    <w:rsid w:val="002735A0"/>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header" Target="header2.xml"/><Relationship Id="rId18"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diagramData" Target="diagrams/data1.xml"/><Relationship Id="rId12" Type="http://schemas.openxmlformats.org/officeDocument/2006/relationships/header" Target="header1.xml"/><Relationship Id="rId17" Type="http://schemas.openxmlformats.org/officeDocument/2006/relationships/customXml" Target="../customXml/item1.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assets.publishing.service.gov.uk/media/67cb0a9d5993d41513a45c5b/Race_Racism_Safeguarding_March_2025.pdf" TargetMode="External"/><Relationship Id="rId11" Type="http://schemas.microsoft.com/office/2007/relationships/diagramDrawing" Target="diagrams/drawing1.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diagramColors" Target="diagrams/colors1.xml"/><Relationship Id="rId19" Type="http://schemas.openxmlformats.org/officeDocument/2006/relationships/customXml" Target="../customXml/item3.xml"/><Relationship Id="rId4" Type="http://schemas.openxmlformats.org/officeDocument/2006/relationships/footnotes" Target="footnotes.xml"/><Relationship Id="rId9" Type="http://schemas.openxmlformats.org/officeDocument/2006/relationships/diagramQuickStyle" Target="diagrams/quickStyle1.xml"/><Relationship Id="rId14" Type="http://schemas.openxmlformats.org/officeDocument/2006/relationships/header" Target="header3.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BD63CBC-D9E6-46F5-A6F4-52972DB11D07}" type="doc">
      <dgm:prSet loTypeId="urn:microsoft.com/office/officeart/2005/8/layout/radial6" loCatId="relationship" qsTypeId="urn:microsoft.com/office/officeart/2005/8/quickstyle/simple1" qsCatId="simple" csTypeId="urn:microsoft.com/office/officeart/2005/8/colors/accent1_2" csCatId="accent1" phldr="1"/>
      <dgm:spPr/>
      <dgm:t>
        <a:bodyPr/>
        <a:lstStyle/>
        <a:p>
          <a:endParaRPr lang="en-GB"/>
        </a:p>
      </dgm:t>
    </dgm:pt>
    <dgm:pt modelId="{A6D3C58B-1BB1-4A9F-AA22-7D438715DA2D}">
      <dgm:prSet phldrT="[Text]" custT="1"/>
      <dgm:spPr/>
      <dgm:t>
        <a:bodyPr/>
        <a:lstStyle/>
        <a:p>
          <a:pPr marL="0" marR="0" lvl="0" indent="0" defTabSz="914400" eaLnBrk="1" fontAlgn="auto" latinLnBrk="0" hangingPunct="1">
            <a:lnSpc>
              <a:spcPct val="100000"/>
            </a:lnSpc>
            <a:spcBef>
              <a:spcPts val="0"/>
            </a:spcBef>
            <a:spcAft>
              <a:spcPts val="0"/>
            </a:spcAft>
            <a:buClrTx/>
            <a:buSzTx/>
            <a:buFontTx/>
            <a:buNone/>
            <a:tabLst/>
            <a:defRPr/>
          </a:pPr>
          <a:r>
            <a:rPr lang="en-GB" sz="1050" b="1" u="sng" kern="100" dirty="0">
              <a:solidFill>
                <a:schemeClr val="bg1"/>
              </a:solidFill>
              <a:effectLst/>
              <a:latin typeface="+mn-lt"/>
              <a:ea typeface="Times New Roman" panose="02020603050405020304" pitchFamily="18" charset="0"/>
              <a:cs typeface="Times New Roman" panose="02020603050405020304" pitchFamily="18" charset="0"/>
            </a:rPr>
            <a:t>Recommendations for Safeguarding Practice</a:t>
          </a:r>
          <a:br>
            <a:rPr lang="en-GB" sz="1050" b="1" kern="100" dirty="0">
              <a:solidFill>
                <a:schemeClr val="bg1"/>
              </a:solidFill>
              <a:effectLst/>
              <a:latin typeface="+mn-lt"/>
              <a:ea typeface="Times New Roman" panose="02020603050405020304" pitchFamily="18" charset="0"/>
              <a:cs typeface="Times New Roman" panose="02020603050405020304" pitchFamily="18" charset="0"/>
            </a:rPr>
          </a:br>
          <a:r>
            <a:rPr lang="en-GB" sz="1050" kern="100" dirty="0">
              <a:solidFill>
                <a:schemeClr val="bg1"/>
              </a:solidFill>
              <a:effectLst/>
              <a:latin typeface="+mn-lt"/>
              <a:ea typeface="Aptos" panose="020B0004020202020204" pitchFamily="34" charset="0"/>
              <a:cs typeface="Times New Roman" panose="02020603050405020304" pitchFamily="18" charset="0"/>
            </a:rPr>
            <a:t>- Empower practitioners to have conversations about race and identity.</a:t>
          </a:r>
          <a:br>
            <a:rPr lang="en-GB" sz="1050" kern="100" dirty="0">
              <a:solidFill>
                <a:schemeClr val="bg1"/>
              </a:solidFill>
              <a:effectLst/>
              <a:latin typeface="+mn-lt"/>
              <a:ea typeface="Aptos" panose="020B0004020202020204" pitchFamily="34" charset="0"/>
              <a:cs typeface="Times New Roman" panose="02020603050405020304" pitchFamily="18" charset="0"/>
            </a:rPr>
          </a:br>
          <a:r>
            <a:rPr lang="en-GB" sz="1050" kern="100" dirty="0">
              <a:solidFill>
                <a:schemeClr val="bg1"/>
              </a:solidFill>
              <a:effectLst/>
              <a:latin typeface="+mn-lt"/>
              <a:ea typeface="Aptos" panose="020B0004020202020204" pitchFamily="34" charset="0"/>
              <a:cs typeface="Times New Roman" panose="02020603050405020304" pitchFamily="18" charset="0"/>
            </a:rPr>
            <a:t>- Develop practitioners’ cultural competence and confidence.</a:t>
          </a:r>
          <a:br>
            <a:rPr lang="en-GB" sz="1050" kern="100" dirty="0">
              <a:solidFill>
                <a:schemeClr val="bg1"/>
              </a:solidFill>
              <a:effectLst/>
              <a:latin typeface="+mn-lt"/>
              <a:ea typeface="Aptos" panose="020B0004020202020204" pitchFamily="34" charset="0"/>
              <a:cs typeface="Times New Roman" panose="02020603050405020304" pitchFamily="18" charset="0"/>
            </a:rPr>
          </a:br>
          <a:r>
            <a:rPr lang="en-GB" sz="1050" kern="100" dirty="0">
              <a:solidFill>
                <a:schemeClr val="bg1"/>
              </a:solidFill>
              <a:effectLst/>
              <a:latin typeface="+mn-lt"/>
              <a:ea typeface="Aptos" panose="020B0004020202020204" pitchFamily="34" charset="0"/>
              <a:cs typeface="Times New Roman" panose="02020603050405020304" pitchFamily="18" charset="0"/>
            </a:rPr>
            <a:t>- Ensure practitioners are self-reflective about their biases.</a:t>
          </a:r>
          <a:br>
            <a:rPr lang="en-GB" sz="1050" kern="100" dirty="0">
              <a:solidFill>
                <a:schemeClr val="bg1"/>
              </a:solidFill>
              <a:effectLst/>
              <a:latin typeface="+mn-lt"/>
              <a:ea typeface="Aptos" panose="020B0004020202020204" pitchFamily="34" charset="0"/>
              <a:cs typeface="Times New Roman" panose="02020603050405020304" pitchFamily="18" charset="0"/>
            </a:rPr>
          </a:br>
          <a:r>
            <a:rPr lang="en-GB" sz="1050" kern="100" dirty="0">
              <a:solidFill>
                <a:schemeClr val="bg1"/>
              </a:solidFill>
              <a:effectLst/>
              <a:latin typeface="+mn-lt"/>
              <a:ea typeface="Aptos" panose="020B0004020202020204" pitchFamily="34" charset="0"/>
              <a:cs typeface="Times New Roman" panose="02020603050405020304" pitchFamily="18" charset="0"/>
            </a:rPr>
            <a:t>- Respond effectively to diverse communication needs.</a:t>
          </a:r>
          <a:br>
            <a:rPr lang="en-GB" sz="1050" kern="100" dirty="0">
              <a:solidFill>
                <a:schemeClr val="bg1"/>
              </a:solidFill>
              <a:effectLst/>
              <a:latin typeface="+mn-lt"/>
              <a:ea typeface="Aptos" panose="020B0004020202020204" pitchFamily="34" charset="0"/>
              <a:cs typeface="Times New Roman" panose="02020603050405020304" pitchFamily="18" charset="0"/>
            </a:rPr>
          </a:br>
          <a:r>
            <a:rPr lang="en-GB" sz="1050" kern="100" dirty="0">
              <a:solidFill>
                <a:schemeClr val="bg1"/>
              </a:solidFill>
              <a:effectLst/>
              <a:latin typeface="+mn-lt"/>
              <a:ea typeface="Aptos" panose="020B0004020202020204" pitchFamily="34" charset="0"/>
              <a:cs typeface="Times New Roman" panose="02020603050405020304" pitchFamily="18" charset="0"/>
            </a:rPr>
            <a:t>- Challenge internal and institutional racism within safeguarding practice. </a:t>
          </a:r>
        </a:p>
        <a:p>
          <a:pPr marL="0" lvl="0" defTabSz="1911350">
            <a:buNone/>
          </a:pPr>
          <a:endParaRPr lang="en-GB" sz="800" dirty="0">
            <a:solidFill>
              <a:schemeClr val="bg1"/>
            </a:solidFill>
            <a:latin typeface="+mn-lt"/>
          </a:endParaRPr>
        </a:p>
      </dgm:t>
    </dgm:pt>
    <dgm:pt modelId="{20F3043F-9CD3-4DBF-9BDA-D2563157F9D6}" type="parTrans" cxnId="{5C730317-9132-4403-A0BB-EA6D8A6868A8}">
      <dgm:prSet/>
      <dgm:spPr/>
      <dgm:t>
        <a:bodyPr/>
        <a:lstStyle/>
        <a:p>
          <a:endParaRPr lang="en-GB"/>
        </a:p>
      </dgm:t>
    </dgm:pt>
    <dgm:pt modelId="{CCB56A2C-012C-4207-98A8-7E7E0BFD45A9}" type="sibTrans" cxnId="{5C730317-9132-4403-A0BB-EA6D8A6868A8}">
      <dgm:prSet/>
      <dgm:spPr/>
      <dgm:t>
        <a:bodyPr/>
        <a:lstStyle/>
        <a:p>
          <a:endParaRPr lang="en-GB"/>
        </a:p>
      </dgm:t>
    </dgm:pt>
    <dgm:pt modelId="{62A8568A-3CDB-400D-8782-9C2377DC9A63}">
      <dgm:prSet phldrT="[Text]" custT="1"/>
      <dgm:spPr/>
      <dgm:t>
        <a:bodyPr/>
        <a:lstStyle/>
        <a:p>
          <a:pPr marL="0" marR="0" lvl="0" indent="0" defTabSz="914400" eaLnBrk="1" fontAlgn="auto" latinLnBrk="0" hangingPunct="1">
            <a:lnSpc>
              <a:spcPct val="100000"/>
            </a:lnSpc>
            <a:spcBef>
              <a:spcPts val="0"/>
            </a:spcBef>
            <a:spcAft>
              <a:spcPts val="0"/>
            </a:spcAft>
            <a:buClrTx/>
            <a:buSzTx/>
            <a:buFontTx/>
            <a:buNone/>
            <a:tabLst/>
            <a:defRPr/>
          </a:pPr>
          <a:r>
            <a:rPr lang="en-GB" sz="800" b="1" u="sng" kern="100" dirty="0">
              <a:solidFill>
                <a:schemeClr val="bg1"/>
              </a:solidFill>
              <a:effectLst/>
              <a:latin typeface="+mn-lt"/>
              <a:ea typeface="Times New Roman" panose="02020603050405020304" pitchFamily="18" charset="0"/>
              <a:cs typeface="Times New Roman" panose="02020603050405020304" pitchFamily="18" charset="0"/>
            </a:rPr>
            <a:t>Children’s Voices and Experiences</a:t>
          </a:r>
          <a:br>
            <a:rPr lang="en-GB" sz="800" b="1" kern="100" dirty="0">
              <a:solidFill>
                <a:schemeClr val="bg1"/>
              </a:solidFill>
              <a:effectLst/>
              <a:latin typeface="+mn-lt"/>
              <a:ea typeface="Times New Roman" panose="02020603050405020304" pitchFamily="18" charset="0"/>
              <a:cs typeface="Times New Roman" panose="02020603050405020304" pitchFamily="18" charset="0"/>
            </a:rPr>
          </a:br>
          <a:r>
            <a:rPr lang="en-GB" sz="800" kern="100" dirty="0">
              <a:solidFill>
                <a:schemeClr val="bg1"/>
              </a:solidFill>
              <a:effectLst/>
              <a:latin typeface="+mn-lt"/>
              <a:ea typeface="Aptos" panose="020B0004020202020204" pitchFamily="34" charset="0"/>
              <a:cs typeface="Times New Roman" panose="02020603050405020304" pitchFamily="18" charset="0"/>
            </a:rPr>
            <a:t>Practitioners should seek and consider the voices and experiences of children, utilizing alternative communication methods when necessary. There are significant barriers to hearing children’s voices, including fear of disclosure and communication difficulties.</a:t>
          </a:r>
        </a:p>
        <a:p>
          <a:pPr marL="0" lvl="0" defTabSz="222250">
            <a:buNone/>
          </a:pPr>
          <a:endParaRPr lang="en-GB" sz="800" dirty="0">
            <a:solidFill>
              <a:schemeClr val="bg1"/>
            </a:solidFill>
            <a:latin typeface="+mn-lt"/>
          </a:endParaRPr>
        </a:p>
      </dgm:t>
    </dgm:pt>
    <dgm:pt modelId="{DCE49FDB-4D26-4CAC-8FA8-51377E4AC95F}" type="parTrans" cxnId="{0A4E8F8C-8772-48B4-98B0-B8DD6FEB2F02}">
      <dgm:prSet/>
      <dgm:spPr/>
      <dgm:t>
        <a:bodyPr/>
        <a:lstStyle/>
        <a:p>
          <a:endParaRPr lang="en-GB"/>
        </a:p>
      </dgm:t>
    </dgm:pt>
    <dgm:pt modelId="{4DC65753-B0FA-40E7-8B3C-CDA16EFE5645}" type="sibTrans" cxnId="{0A4E8F8C-8772-48B4-98B0-B8DD6FEB2F02}">
      <dgm:prSet/>
      <dgm:spPr/>
      <dgm:t>
        <a:bodyPr/>
        <a:lstStyle/>
        <a:p>
          <a:endParaRPr lang="en-GB" sz="800">
            <a:solidFill>
              <a:schemeClr val="bg1"/>
            </a:solidFill>
            <a:latin typeface="+mn-lt"/>
          </a:endParaRPr>
        </a:p>
      </dgm:t>
    </dgm:pt>
    <dgm:pt modelId="{1A468C77-8FB6-4023-82D4-5952F257078F}">
      <dgm:prSet phldrT="[Text]" custT="1"/>
      <dgm:spPr/>
      <dgm:t>
        <a:bodyPr/>
        <a:lstStyle/>
        <a:p>
          <a:pPr marL="0" marR="0" lvl="0" indent="0" defTabSz="914400" eaLnBrk="1" fontAlgn="auto" latinLnBrk="0" hangingPunct="1">
            <a:lnSpc>
              <a:spcPct val="100000"/>
            </a:lnSpc>
            <a:spcBef>
              <a:spcPts val="0"/>
            </a:spcBef>
            <a:spcAft>
              <a:spcPts val="0"/>
            </a:spcAft>
            <a:buClrTx/>
            <a:buSzTx/>
            <a:buFontTx/>
            <a:buNone/>
            <a:tabLst/>
            <a:defRPr/>
          </a:pPr>
          <a:r>
            <a:rPr lang="en-GB" sz="800" b="1" u="sng" kern="100" dirty="0">
              <a:solidFill>
                <a:schemeClr val="bg1"/>
              </a:solidFill>
              <a:effectLst/>
              <a:latin typeface="+mn-lt"/>
              <a:ea typeface="Times New Roman" panose="02020603050405020304" pitchFamily="18" charset="0"/>
              <a:cs typeface="Times New Roman" panose="02020603050405020304" pitchFamily="18" charset="0"/>
            </a:rPr>
            <a:t>Understanding Vulnerabilities and Risks of Harm</a:t>
          </a:r>
          <a:br>
            <a:rPr lang="en-GB" sz="800" b="1" kern="100" dirty="0">
              <a:solidFill>
                <a:schemeClr val="bg1"/>
              </a:solidFill>
              <a:effectLst/>
              <a:latin typeface="+mn-lt"/>
              <a:ea typeface="Times New Roman" panose="02020603050405020304" pitchFamily="18" charset="0"/>
              <a:cs typeface="Times New Roman" panose="02020603050405020304" pitchFamily="18" charset="0"/>
            </a:rPr>
          </a:br>
          <a:r>
            <a:rPr lang="en-GB" sz="800" kern="100" dirty="0">
              <a:solidFill>
                <a:schemeClr val="bg1"/>
              </a:solidFill>
              <a:effectLst/>
              <a:latin typeface="+mn-lt"/>
              <a:ea typeface="Aptos" panose="020B0004020202020204" pitchFamily="34" charset="0"/>
              <a:cs typeface="Times New Roman" panose="02020603050405020304" pitchFamily="18" charset="0"/>
            </a:rPr>
            <a:t>There is a need for a comprehensive understanding of children’s lived experiences and vulnerabilities. Practitioners should avoid viewing incidents in isolation and ensure a holistic understanding of risk factors.</a:t>
          </a:r>
        </a:p>
      </dgm:t>
    </dgm:pt>
    <dgm:pt modelId="{2E9F5B66-AF19-4080-8FEF-BE333E355A20}" type="parTrans" cxnId="{5B112A4D-9C70-4762-B9C2-7311A916A64C}">
      <dgm:prSet/>
      <dgm:spPr/>
      <dgm:t>
        <a:bodyPr/>
        <a:lstStyle/>
        <a:p>
          <a:endParaRPr lang="en-GB"/>
        </a:p>
      </dgm:t>
    </dgm:pt>
    <dgm:pt modelId="{8F264098-016B-4EDD-B0A7-F4387C223CC6}" type="sibTrans" cxnId="{5B112A4D-9C70-4762-B9C2-7311A916A64C}">
      <dgm:prSet/>
      <dgm:spPr/>
      <dgm:t>
        <a:bodyPr/>
        <a:lstStyle/>
        <a:p>
          <a:endParaRPr lang="en-GB" sz="800">
            <a:solidFill>
              <a:schemeClr val="bg1"/>
            </a:solidFill>
            <a:latin typeface="+mn-lt"/>
          </a:endParaRPr>
        </a:p>
      </dgm:t>
    </dgm:pt>
    <dgm:pt modelId="{959E9E03-4C06-4BE9-9B83-DEE32B4464BD}">
      <dgm:prSet phldrT="[Text]" custT="1"/>
      <dgm:spPr/>
      <dgm:t>
        <a:bodyPr/>
        <a:lstStyle/>
        <a:p>
          <a:pPr marL="0" marR="0" lvl="0" indent="0" defTabSz="914400" eaLnBrk="1" fontAlgn="auto" latinLnBrk="0" hangingPunct="1">
            <a:lnSpc>
              <a:spcPct val="100000"/>
            </a:lnSpc>
            <a:spcBef>
              <a:spcPts val="0"/>
            </a:spcBef>
            <a:spcAft>
              <a:spcPts val="0"/>
            </a:spcAft>
            <a:buClrTx/>
            <a:buSzTx/>
            <a:buFontTx/>
            <a:buNone/>
            <a:tabLst/>
            <a:defRPr/>
          </a:pPr>
          <a:r>
            <a:rPr lang="en-GB" sz="800" b="1" u="sng" kern="100" dirty="0" err="1">
              <a:solidFill>
                <a:schemeClr val="bg1"/>
              </a:solidFill>
              <a:effectLst/>
              <a:latin typeface="+mn-lt"/>
              <a:ea typeface="Times New Roman" panose="02020603050405020304" pitchFamily="18" charset="0"/>
              <a:cs typeface="Times New Roman" panose="02020603050405020304" pitchFamily="18" charset="0"/>
            </a:rPr>
            <a:t>Invisibilisation</a:t>
          </a:r>
          <a:br>
            <a:rPr lang="en-GB" sz="800" b="1" kern="100" dirty="0">
              <a:solidFill>
                <a:schemeClr val="bg1"/>
              </a:solidFill>
              <a:latin typeface="+mn-lt"/>
              <a:ea typeface="Times New Roman" panose="02020603050405020304" pitchFamily="18" charset="0"/>
              <a:cs typeface="Times New Roman" panose="02020603050405020304" pitchFamily="18" charset="0"/>
            </a:rPr>
          </a:br>
          <a:r>
            <a:rPr lang="en-GB" sz="800" kern="100" dirty="0">
              <a:solidFill>
                <a:schemeClr val="bg1"/>
              </a:solidFill>
              <a:effectLst/>
              <a:latin typeface="+mn-lt"/>
              <a:ea typeface="Aptos" panose="020B0004020202020204" pitchFamily="34" charset="0"/>
              <a:cs typeface="Times New Roman" panose="02020603050405020304" pitchFamily="18" charset="0"/>
            </a:rPr>
            <a:t>Children’s vulnerabilities are often rendered invisible due to a lack of attention to race, ethnicity, and culture. Practitioners should avoid </a:t>
          </a:r>
          <a:r>
            <a:rPr lang="en-GB" sz="800" kern="100" dirty="0" err="1">
              <a:solidFill>
                <a:schemeClr val="bg1"/>
              </a:solidFill>
              <a:effectLst/>
              <a:latin typeface="+mn-lt"/>
              <a:ea typeface="Aptos" panose="020B0004020202020204" pitchFamily="34" charset="0"/>
              <a:cs typeface="Times New Roman" panose="02020603050405020304" pitchFamily="18" charset="0"/>
            </a:rPr>
            <a:t>invisibilising</a:t>
          </a:r>
          <a:r>
            <a:rPr lang="en-GB" sz="800" kern="100" dirty="0">
              <a:solidFill>
                <a:schemeClr val="bg1"/>
              </a:solidFill>
              <a:effectLst/>
              <a:latin typeface="+mn-lt"/>
              <a:ea typeface="Aptos" panose="020B0004020202020204" pitchFamily="34" charset="0"/>
              <a:cs typeface="Times New Roman" panose="02020603050405020304" pitchFamily="18" charset="0"/>
            </a:rPr>
            <a:t> children and ensure their needs are recognized and addressed.</a:t>
          </a:r>
        </a:p>
        <a:p>
          <a:pPr marL="0" lvl="0" defTabSz="266700">
            <a:buNone/>
          </a:pPr>
          <a:endParaRPr lang="en-GB" sz="800" dirty="0">
            <a:solidFill>
              <a:schemeClr val="bg1"/>
            </a:solidFill>
            <a:latin typeface="+mn-lt"/>
          </a:endParaRPr>
        </a:p>
      </dgm:t>
    </dgm:pt>
    <dgm:pt modelId="{CC5A03B0-D061-4FBC-B020-E236D611E3B4}" type="parTrans" cxnId="{FEC89982-B535-4A2C-AEED-7A56B09FDB90}">
      <dgm:prSet/>
      <dgm:spPr/>
      <dgm:t>
        <a:bodyPr/>
        <a:lstStyle/>
        <a:p>
          <a:endParaRPr lang="en-GB"/>
        </a:p>
      </dgm:t>
    </dgm:pt>
    <dgm:pt modelId="{A12B2C4A-A8E8-434A-9724-452D12412208}" type="sibTrans" cxnId="{FEC89982-B535-4A2C-AEED-7A56B09FDB90}">
      <dgm:prSet/>
      <dgm:spPr/>
      <dgm:t>
        <a:bodyPr/>
        <a:lstStyle/>
        <a:p>
          <a:endParaRPr lang="en-GB" sz="800">
            <a:solidFill>
              <a:schemeClr val="bg1"/>
            </a:solidFill>
            <a:latin typeface="+mn-lt"/>
          </a:endParaRPr>
        </a:p>
      </dgm:t>
    </dgm:pt>
    <dgm:pt modelId="{5C473E92-93A4-4FEF-9BD7-DD7F3E290A93}">
      <dgm:prSet phldrT="[Text]" custT="1"/>
      <dgm:spPr/>
      <dgm:t>
        <a:bodyPr/>
        <a:lstStyle/>
        <a:p>
          <a:pPr marL="0" marR="0" lvl="0" indent="0" defTabSz="914400" eaLnBrk="1" fontAlgn="auto" latinLnBrk="0" hangingPunct="1">
            <a:lnSpc>
              <a:spcPct val="100000"/>
            </a:lnSpc>
            <a:spcBef>
              <a:spcPts val="0"/>
            </a:spcBef>
            <a:spcAft>
              <a:spcPts val="0"/>
            </a:spcAft>
            <a:buClrTx/>
            <a:buSzTx/>
            <a:buFontTx/>
            <a:buNone/>
            <a:tabLst/>
            <a:defRPr/>
          </a:pPr>
          <a:r>
            <a:rPr lang="en-GB" sz="800" b="1" u="sng" kern="100" dirty="0">
              <a:solidFill>
                <a:schemeClr val="bg1"/>
              </a:solidFill>
              <a:effectLst/>
              <a:latin typeface="+mn-lt"/>
              <a:ea typeface="Times New Roman" panose="02020603050405020304" pitchFamily="18" charset="0"/>
              <a:cs typeface="Times New Roman" panose="02020603050405020304" pitchFamily="18" charset="0"/>
            </a:rPr>
            <a:t>A Silence on Racism and Racial Bias</a:t>
          </a:r>
          <a:br>
            <a:rPr lang="en-GB" sz="800" b="1" kern="100" dirty="0">
              <a:solidFill>
                <a:schemeClr val="bg1"/>
              </a:solidFill>
              <a:effectLst/>
              <a:latin typeface="+mn-lt"/>
              <a:ea typeface="Times New Roman" panose="02020603050405020304" pitchFamily="18" charset="0"/>
              <a:cs typeface="Times New Roman" panose="02020603050405020304" pitchFamily="18" charset="0"/>
            </a:rPr>
          </a:br>
          <a:r>
            <a:rPr lang="en-GB" sz="800" kern="100" dirty="0">
              <a:solidFill>
                <a:schemeClr val="bg1"/>
              </a:solidFill>
              <a:latin typeface="+mn-lt"/>
              <a:ea typeface="Aptos" panose="020B0004020202020204" pitchFamily="34" charset="0"/>
              <a:cs typeface="Times New Roman" panose="02020603050405020304" pitchFamily="18" charset="0"/>
            </a:rPr>
            <a:t>T</a:t>
          </a:r>
          <a:r>
            <a:rPr lang="en-GB" sz="800" kern="100" dirty="0">
              <a:solidFill>
                <a:schemeClr val="bg1"/>
              </a:solidFill>
              <a:effectLst/>
              <a:latin typeface="+mn-lt"/>
              <a:ea typeface="Aptos" panose="020B0004020202020204" pitchFamily="34" charset="0"/>
              <a:cs typeface="Times New Roman" panose="02020603050405020304" pitchFamily="18" charset="0"/>
            </a:rPr>
            <a:t>he report identifies a notable silence on racism and racial bias in practice and reviews. There is a need for practitioners to recognize and name racism when it occurs.</a:t>
          </a:r>
        </a:p>
      </dgm:t>
    </dgm:pt>
    <dgm:pt modelId="{A4E7AAF5-D812-403D-B0C1-AE7B9A9C5B1A}" type="parTrans" cxnId="{FC79B367-DCA7-4036-BF2B-03DA1757FAC1}">
      <dgm:prSet/>
      <dgm:spPr/>
      <dgm:t>
        <a:bodyPr/>
        <a:lstStyle/>
        <a:p>
          <a:endParaRPr lang="en-GB"/>
        </a:p>
      </dgm:t>
    </dgm:pt>
    <dgm:pt modelId="{6E3F8924-E9A4-47F6-A6F1-52E7C7172E65}" type="sibTrans" cxnId="{FC79B367-DCA7-4036-BF2B-03DA1757FAC1}">
      <dgm:prSet/>
      <dgm:spPr/>
      <dgm:t>
        <a:bodyPr/>
        <a:lstStyle/>
        <a:p>
          <a:endParaRPr lang="en-GB" sz="800">
            <a:solidFill>
              <a:schemeClr val="bg1"/>
            </a:solidFill>
            <a:latin typeface="+mn-lt"/>
          </a:endParaRPr>
        </a:p>
      </dgm:t>
    </dgm:pt>
    <dgm:pt modelId="{CEA49C39-ECFC-4C9E-94DE-6783BF4B2581}">
      <dgm:prSet custT="1"/>
      <dgm:spPr/>
      <dgm:t>
        <a:bodyPr/>
        <a:lstStyle/>
        <a:p>
          <a:pPr marL="0" marR="0" lvl="0" indent="0" defTabSz="914400" eaLnBrk="1" fontAlgn="auto" latinLnBrk="0" hangingPunct="1">
            <a:lnSpc>
              <a:spcPct val="100000"/>
            </a:lnSpc>
            <a:spcBef>
              <a:spcPts val="0"/>
            </a:spcBef>
            <a:spcAft>
              <a:spcPts val="0"/>
            </a:spcAft>
            <a:buClrTx/>
            <a:buSzTx/>
            <a:buFontTx/>
            <a:buNone/>
            <a:tabLst/>
            <a:defRPr/>
          </a:pPr>
          <a:r>
            <a:rPr lang="en-GB" sz="800" b="1" u="sng" kern="100" dirty="0">
              <a:solidFill>
                <a:schemeClr val="bg1"/>
              </a:solidFill>
              <a:effectLst/>
              <a:latin typeface="+mn-lt"/>
              <a:ea typeface="Times New Roman" panose="02020603050405020304" pitchFamily="18" charset="0"/>
              <a:cs typeface="Times New Roman" panose="02020603050405020304" pitchFamily="18" charset="0"/>
            </a:rPr>
            <a:t>Recognition of Race, Ethnicity, and Culture</a:t>
          </a:r>
          <a:br>
            <a:rPr lang="en-GB" sz="800" b="1" kern="100" dirty="0">
              <a:solidFill>
                <a:schemeClr val="bg1"/>
              </a:solidFill>
              <a:effectLst/>
              <a:latin typeface="+mn-lt"/>
              <a:ea typeface="Times New Roman" panose="02020603050405020304" pitchFamily="18" charset="0"/>
              <a:cs typeface="Times New Roman" panose="02020603050405020304" pitchFamily="18" charset="0"/>
            </a:rPr>
          </a:br>
          <a:r>
            <a:rPr lang="en-GB" sz="800" kern="100" dirty="0">
              <a:solidFill>
                <a:schemeClr val="bg1"/>
              </a:solidFill>
              <a:effectLst/>
              <a:latin typeface="+mn-lt"/>
              <a:ea typeface="Aptos" panose="020B0004020202020204" pitchFamily="34" charset="0"/>
              <a:cs typeface="Times New Roman" panose="02020603050405020304" pitchFamily="18" charset="0"/>
            </a:rPr>
            <a:t>The report indicates that race, ethnicity, and culture should be explicitly recognized by practitioners. There is a need for a deeper understanding of how these factors impact practice responses to Black, Asian, and Mixed Heritage children and families.</a:t>
          </a:r>
        </a:p>
      </dgm:t>
    </dgm:pt>
    <dgm:pt modelId="{AEE46408-5F96-4AAE-AB7B-FB6939626E0D}" type="parTrans" cxnId="{A8972FAC-6252-4D8B-99CE-94EF1C1D2B88}">
      <dgm:prSet/>
      <dgm:spPr/>
      <dgm:t>
        <a:bodyPr/>
        <a:lstStyle/>
        <a:p>
          <a:endParaRPr lang="en-GB"/>
        </a:p>
      </dgm:t>
    </dgm:pt>
    <dgm:pt modelId="{A0A2EEFC-7EA2-426F-A194-F64CB5E33EF6}" type="sibTrans" cxnId="{A8972FAC-6252-4D8B-99CE-94EF1C1D2B88}">
      <dgm:prSet/>
      <dgm:spPr/>
      <dgm:t>
        <a:bodyPr/>
        <a:lstStyle/>
        <a:p>
          <a:endParaRPr lang="en-GB" sz="800">
            <a:solidFill>
              <a:schemeClr val="bg1"/>
            </a:solidFill>
            <a:latin typeface="+mn-lt"/>
          </a:endParaRPr>
        </a:p>
      </dgm:t>
    </dgm:pt>
    <dgm:pt modelId="{ADC4B130-2BE4-40B8-8218-CE217D86520A}">
      <dgm:prSet custT="1"/>
      <dgm:spPr/>
      <dgm:t>
        <a:bodyPr/>
        <a:lstStyle/>
        <a:p>
          <a:pPr marL="0" marR="0" lvl="0" indent="0" defTabSz="914400" eaLnBrk="1" fontAlgn="auto" latinLnBrk="0" hangingPunct="1">
            <a:lnSpc>
              <a:spcPct val="100000"/>
            </a:lnSpc>
            <a:spcBef>
              <a:spcPts val="0"/>
            </a:spcBef>
            <a:spcAft>
              <a:spcPts val="0"/>
            </a:spcAft>
            <a:buClrTx/>
            <a:buSzTx/>
            <a:buFontTx/>
            <a:buNone/>
            <a:tabLst/>
            <a:defRPr/>
          </a:pPr>
          <a:r>
            <a:rPr lang="en-GB" sz="800" b="1" u="sng" kern="100" dirty="0">
              <a:solidFill>
                <a:schemeClr val="bg1"/>
              </a:solidFill>
              <a:effectLst/>
              <a:latin typeface="+mn-lt"/>
              <a:ea typeface="Times New Roman" panose="02020603050405020304" pitchFamily="18" charset="0"/>
              <a:cs typeface="Times New Roman" panose="02020603050405020304" pitchFamily="18" charset="0"/>
            </a:rPr>
            <a:t>Recognition of Service Engagement Barriers</a:t>
          </a:r>
          <a:br>
            <a:rPr lang="en-GB" sz="800" b="1" kern="100" dirty="0">
              <a:solidFill>
                <a:schemeClr val="bg1"/>
              </a:solidFill>
              <a:effectLst/>
              <a:latin typeface="+mn-lt"/>
              <a:ea typeface="Times New Roman" panose="02020603050405020304" pitchFamily="18" charset="0"/>
              <a:cs typeface="Times New Roman" panose="02020603050405020304" pitchFamily="18" charset="0"/>
            </a:rPr>
          </a:br>
          <a:r>
            <a:rPr lang="en-GB" sz="800" kern="100" dirty="0">
              <a:solidFill>
                <a:schemeClr val="bg1"/>
              </a:solidFill>
              <a:effectLst/>
              <a:latin typeface="+mn-lt"/>
              <a:ea typeface="Aptos" panose="020B0004020202020204" pitchFamily="34" charset="0"/>
              <a:cs typeface="Times New Roman" panose="02020603050405020304" pitchFamily="18" charset="0"/>
            </a:rPr>
            <a:t>Service barriers experienced by children and families, such as racialized trauma and language barriers, should be acknowledged. Practitioners need to navigate these barriers effectively and avoid biases in their responses.</a:t>
          </a:r>
        </a:p>
      </dgm:t>
    </dgm:pt>
    <dgm:pt modelId="{798994A1-653D-43AA-B685-53A7BA57517F}" type="parTrans" cxnId="{0007A3AF-DCDD-4E7F-927D-17B6157A85F2}">
      <dgm:prSet/>
      <dgm:spPr/>
      <dgm:t>
        <a:bodyPr/>
        <a:lstStyle/>
        <a:p>
          <a:endParaRPr lang="en-GB"/>
        </a:p>
      </dgm:t>
    </dgm:pt>
    <dgm:pt modelId="{EDB84676-918A-461F-9149-6CB19A9D4DD1}" type="sibTrans" cxnId="{0007A3AF-DCDD-4E7F-927D-17B6157A85F2}">
      <dgm:prSet/>
      <dgm:spPr/>
      <dgm:t>
        <a:bodyPr/>
        <a:lstStyle/>
        <a:p>
          <a:endParaRPr lang="en-GB" sz="800">
            <a:solidFill>
              <a:schemeClr val="bg1"/>
            </a:solidFill>
            <a:latin typeface="+mn-lt"/>
          </a:endParaRPr>
        </a:p>
      </dgm:t>
    </dgm:pt>
    <dgm:pt modelId="{776BB01F-231B-4B7D-8688-00646028800B}">
      <dgm:prSet custT="1"/>
      <dgm:spPr/>
      <dgm:t>
        <a:bodyPr/>
        <a:lstStyle/>
        <a:p>
          <a:pPr marL="0" marR="0" lvl="0" indent="0" defTabSz="914400" eaLnBrk="1" fontAlgn="auto" latinLnBrk="0" hangingPunct="1">
            <a:lnSpc>
              <a:spcPct val="100000"/>
            </a:lnSpc>
            <a:spcBef>
              <a:spcPts val="0"/>
            </a:spcBef>
            <a:spcAft>
              <a:spcPts val="0"/>
            </a:spcAft>
            <a:buClrTx/>
            <a:buSzTx/>
            <a:buFontTx/>
            <a:buNone/>
            <a:tabLst/>
            <a:defRPr/>
          </a:pPr>
          <a:r>
            <a:rPr lang="en-GB" sz="800" b="1" u="sng" kern="100" dirty="0">
              <a:solidFill>
                <a:schemeClr val="bg1"/>
              </a:solidFill>
              <a:effectLst/>
              <a:latin typeface="+mn-lt"/>
              <a:ea typeface="Times New Roman" panose="02020603050405020304" pitchFamily="18" charset="0"/>
              <a:cs typeface="Times New Roman" panose="02020603050405020304" pitchFamily="18" charset="0"/>
            </a:rPr>
            <a:t>Intersectional Perspectives</a:t>
          </a:r>
          <a:br>
            <a:rPr lang="en-GB" sz="800" b="1" kern="100" dirty="0">
              <a:solidFill>
                <a:schemeClr val="bg1"/>
              </a:solidFill>
              <a:effectLst/>
              <a:latin typeface="+mn-lt"/>
              <a:ea typeface="Times New Roman" panose="02020603050405020304" pitchFamily="18" charset="0"/>
              <a:cs typeface="Times New Roman" panose="02020603050405020304" pitchFamily="18" charset="0"/>
            </a:rPr>
          </a:br>
          <a:r>
            <a:rPr lang="en-GB" sz="800" kern="100" dirty="0">
              <a:solidFill>
                <a:schemeClr val="bg1"/>
              </a:solidFill>
              <a:effectLst/>
              <a:latin typeface="+mn-lt"/>
              <a:ea typeface="Aptos" panose="020B0004020202020204" pitchFamily="34" charset="0"/>
              <a:cs typeface="Times New Roman" panose="02020603050405020304" pitchFamily="18" charset="0"/>
            </a:rPr>
            <a:t>The analysis highlights the importance of intersectional approaches to better address the safeguarding needs of children and families. Practitioners need to consider the overlapping identities of children related to race, gender, poverty, and class.</a:t>
          </a:r>
        </a:p>
      </dgm:t>
    </dgm:pt>
    <dgm:pt modelId="{E09D2DD5-5230-4BF1-B4AF-0114FDCAD4C2}" type="parTrans" cxnId="{0E03E3C7-953B-4F95-8203-31BD170347AF}">
      <dgm:prSet/>
      <dgm:spPr/>
      <dgm:t>
        <a:bodyPr/>
        <a:lstStyle/>
        <a:p>
          <a:endParaRPr lang="en-GB"/>
        </a:p>
      </dgm:t>
    </dgm:pt>
    <dgm:pt modelId="{2D226AE6-3D80-4CD0-BAF3-D008C01FEBE6}" type="sibTrans" cxnId="{0E03E3C7-953B-4F95-8203-31BD170347AF}">
      <dgm:prSet/>
      <dgm:spPr/>
      <dgm:t>
        <a:bodyPr/>
        <a:lstStyle/>
        <a:p>
          <a:endParaRPr lang="en-GB" sz="800">
            <a:solidFill>
              <a:schemeClr val="bg1"/>
            </a:solidFill>
            <a:latin typeface="+mn-lt"/>
          </a:endParaRPr>
        </a:p>
      </dgm:t>
    </dgm:pt>
    <dgm:pt modelId="{3307EE20-E6EC-430C-9594-AE5162D61544}">
      <dgm:prSet custT="1"/>
      <dgm:spPr/>
      <dgm:t>
        <a:bodyPr/>
        <a:lstStyle/>
        <a:p>
          <a:pPr marL="0" marR="0" lvl="0" indent="0" defTabSz="914400" eaLnBrk="1" fontAlgn="auto" latinLnBrk="0" hangingPunct="1">
            <a:lnSpc>
              <a:spcPct val="100000"/>
            </a:lnSpc>
            <a:spcBef>
              <a:spcPts val="0"/>
            </a:spcBef>
            <a:spcAft>
              <a:spcPts val="0"/>
            </a:spcAft>
            <a:buClrTx/>
            <a:buSzTx/>
            <a:buFontTx/>
            <a:buNone/>
            <a:tabLst/>
            <a:defRPr/>
          </a:pPr>
          <a:r>
            <a:rPr lang="en-GB" sz="800" b="1" u="sng" kern="100" dirty="0">
              <a:solidFill>
                <a:schemeClr val="bg1"/>
              </a:solidFill>
              <a:effectLst/>
              <a:latin typeface="+mn-lt"/>
              <a:ea typeface="Times New Roman" panose="02020603050405020304" pitchFamily="18" charset="0"/>
              <a:cs typeface="Times New Roman" panose="02020603050405020304" pitchFamily="18" charset="0"/>
            </a:rPr>
            <a:t>Role of Faith and Religion</a:t>
          </a:r>
          <a:br>
            <a:rPr lang="en-GB" sz="800" b="1" kern="100" dirty="0">
              <a:solidFill>
                <a:schemeClr val="bg1"/>
              </a:solidFill>
              <a:effectLst/>
              <a:latin typeface="+mn-lt"/>
              <a:ea typeface="Times New Roman" panose="02020603050405020304" pitchFamily="18" charset="0"/>
              <a:cs typeface="Times New Roman" panose="02020603050405020304" pitchFamily="18" charset="0"/>
            </a:rPr>
          </a:br>
          <a:r>
            <a:rPr lang="en-GB" sz="800" kern="100" dirty="0">
              <a:solidFill>
                <a:schemeClr val="bg1"/>
              </a:solidFill>
              <a:effectLst/>
              <a:latin typeface="+mn-lt"/>
              <a:ea typeface="Aptos" panose="020B0004020202020204" pitchFamily="34" charset="0"/>
              <a:cs typeface="Times New Roman" panose="02020603050405020304" pitchFamily="18" charset="0"/>
            </a:rPr>
            <a:t>Practitioners should acknowledge the role of faith and religion in the lives of children and families. There is an underdeveloped understanding of potentially harmful practices related to beliefs.</a:t>
          </a:r>
        </a:p>
      </dgm:t>
    </dgm:pt>
    <dgm:pt modelId="{8DD35E7B-3DEE-41A6-B51E-6BC61394EE81}" type="parTrans" cxnId="{DB1167AD-DE94-470D-B14A-97A3E6055A91}">
      <dgm:prSet/>
      <dgm:spPr/>
      <dgm:t>
        <a:bodyPr/>
        <a:lstStyle/>
        <a:p>
          <a:endParaRPr lang="en-GB"/>
        </a:p>
      </dgm:t>
    </dgm:pt>
    <dgm:pt modelId="{EFB369E6-BE42-4DC7-9E7C-A880699F09FF}" type="sibTrans" cxnId="{DB1167AD-DE94-470D-B14A-97A3E6055A91}">
      <dgm:prSet/>
      <dgm:spPr/>
      <dgm:t>
        <a:bodyPr/>
        <a:lstStyle/>
        <a:p>
          <a:endParaRPr lang="en-GB" sz="800">
            <a:solidFill>
              <a:schemeClr val="bg1"/>
            </a:solidFill>
            <a:latin typeface="+mn-lt"/>
          </a:endParaRPr>
        </a:p>
      </dgm:t>
    </dgm:pt>
    <dgm:pt modelId="{76643288-0353-452D-A657-C88F664839F8}" type="pres">
      <dgm:prSet presAssocID="{CBD63CBC-D9E6-46F5-A6F4-52972DB11D07}" presName="Name0" presStyleCnt="0">
        <dgm:presLayoutVars>
          <dgm:chMax val="1"/>
          <dgm:dir/>
          <dgm:animLvl val="ctr"/>
          <dgm:resizeHandles val="exact"/>
        </dgm:presLayoutVars>
      </dgm:prSet>
      <dgm:spPr/>
    </dgm:pt>
    <dgm:pt modelId="{506DF5FF-0882-416D-828E-F2357659EB1B}" type="pres">
      <dgm:prSet presAssocID="{A6D3C58B-1BB1-4A9F-AA22-7D438715DA2D}" presName="centerShape" presStyleLbl="node0" presStyleIdx="0" presStyleCnt="1" custScaleX="162743" custScaleY="164435"/>
      <dgm:spPr/>
    </dgm:pt>
    <dgm:pt modelId="{8683081F-E940-4617-8441-88C9B88799B2}" type="pres">
      <dgm:prSet presAssocID="{62A8568A-3CDB-400D-8782-9C2377DC9A63}" presName="node" presStyleLbl="node1" presStyleIdx="0" presStyleCnt="8" custScaleX="158531" custScaleY="151511">
        <dgm:presLayoutVars>
          <dgm:bulletEnabled val="1"/>
        </dgm:presLayoutVars>
      </dgm:prSet>
      <dgm:spPr/>
    </dgm:pt>
    <dgm:pt modelId="{BEA8E674-3943-4ED7-8A3A-C1073E2C5385}" type="pres">
      <dgm:prSet presAssocID="{62A8568A-3CDB-400D-8782-9C2377DC9A63}" presName="dummy" presStyleCnt="0"/>
      <dgm:spPr/>
    </dgm:pt>
    <dgm:pt modelId="{8AC49131-20C8-4411-97E5-036F78A06EE9}" type="pres">
      <dgm:prSet presAssocID="{4DC65753-B0FA-40E7-8B3C-CDA16EFE5645}" presName="sibTrans" presStyleLbl="sibTrans2D1" presStyleIdx="0" presStyleCnt="8"/>
      <dgm:spPr/>
    </dgm:pt>
    <dgm:pt modelId="{2C3D0E35-1B84-46B7-AAC4-C21B4E9E6D54}" type="pres">
      <dgm:prSet presAssocID="{CEA49C39-ECFC-4C9E-94DE-6783BF4B2581}" presName="node" presStyleLbl="node1" presStyleIdx="1" presStyleCnt="8" custScaleX="156133" custScaleY="148855" custRadScaleRad="100912" custRadScaleInc="9970">
        <dgm:presLayoutVars>
          <dgm:bulletEnabled val="1"/>
        </dgm:presLayoutVars>
      </dgm:prSet>
      <dgm:spPr/>
    </dgm:pt>
    <dgm:pt modelId="{9FE1F6F8-7EE3-41C1-8BED-F73B9D48138F}" type="pres">
      <dgm:prSet presAssocID="{CEA49C39-ECFC-4C9E-94DE-6783BF4B2581}" presName="dummy" presStyleCnt="0"/>
      <dgm:spPr/>
    </dgm:pt>
    <dgm:pt modelId="{2DF2E4CE-AB32-4223-872D-E798015A4836}" type="pres">
      <dgm:prSet presAssocID="{A0A2EEFC-7EA2-426F-A194-F64CB5E33EF6}" presName="sibTrans" presStyleLbl="sibTrans2D1" presStyleIdx="1" presStyleCnt="8"/>
      <dgm:spPr/>
    </dgm:pt>
    <dgm:pt modelId="{0968A593-46B6-418D-A7F7-087F184A1C08}" type="pres">
      <dgm:prSet presAssocID="{ADC4B130-2BE4-40B8-8218-CE217D86520A}" presName="node" presStyleLbl="node1" presStyleIdx="2" presStyleCnt="8" custScaleX="160096" custScaleY="137072">
        <dgm:presLayoutVars>
          <dgm:bulletEnabled val="1"/>
        </dgm:presLayoutVars>
      </dgm:prSet>
      <dgm:spPr/>
    </dgm:pt>
    <dgm:pt modelId="{0A4B8B9F-5C5B-46B9-8DEB-CFBAE0191705}" type="pres">
      <dgm:prSet presAssocID="{ADC4B130-2BE4-40B8-8218-CE217D86520A}" presName="dummy" presStyleCnt="0"/>
      <dgm:spPr/>
    </dgm:pt>
    <dgm:pt modelId="{F4C3B12E-8756-4B87-9B62-5CD271927CA7}" type="pres">
      <dgm:prSet presAssocID="{EDB84676-918A-461F-9149-6CB19A9D4DD1}" presName="sibTrans" presStyleLbl="sibTrans2D1" presStyleIdx="2" presStyleCnt="8"/>
      <dgm:spPr/>
    </dgm:pt>
    <dgm:pt modelId="{CE28DB28-88E5-4949-A1F9-9CFC7E4FF15B}" type="pres">
      <dgm:prSet presAssocID="{776BB01F-231B-4B7D-8688-00646028800B}" presName="node" presStyleLbl="node1" presStyleIdx="3" presStyleCnt="8" custScaleX="143322" custScaleY="135756">
        <dgm:presLayoutVars>
          <dgm:bulletEnabled val="1"/>
        </dgm:presLayoutVars>
      </dgm:prSet>
      <dgm:spPr/>
    </dgm:pt>
    <dgm:pt modelId="{8295E2F5-41B4-471B-93F5-C493F6FC818B}" type="pres">
      <dgm:prSet presAssocID="{776BB01F-231B-4B7D-8688-00646028800B}" presName="dummy" presStyleCnt="0"/>
      <dgm:spPr/>
    </dgm:pt>
    <dgm:pt modelId="{46687395-DE5C-4D90-BCB4-5ED0C63E38F4}" type="pres">
      <dgm:prSet presAssocID="{2D226AE6-3D80-4CD0-BAF3-D008C01FEBE6}" presName="sibTrans" presStyleLbl="sibTrans2D1" presStyleIdx="3" presStyleCnt="8"/>
      <dgm:spPr/>
    </dgm:pt>
    <dgm:pt modelId="{EB4C72E5-0BB0-455A-8E28-349E80940498}" type="pres">
      <dgm:prSet presAssocID="{3307EE20-E6EC-430C-9594-AE5162D61544}" presName="node" presStyleLbl="node1" presStyleIdx="4" presStyleCnt="8" custScaleX="147459" custScaleY="131379">
        <dgm:presLayoutVars>
          <dgm:bulletEnabled val="1"/>
        </dgm:presLayoutVars>
      </dgm:prSet>
      <dgm:spPr/>
    </dgm:pt>
    <dgm:pt modelId="{743858F3-851F-4194-A02F-A5F74F348A43}" type="pres">
      <dgm:prSet presAssocID="{3307EE20-E6EC-430C-9594-AE5162D61544}" presName="dummy" presStyleCnt="0"/>
      <dgm:spPr/>
    </dgm:pt>
    <dgm:pt modelId="{9324C98C-D680-4002-BDD5-3066671D49D6}" type="pres">
      <dgm:prSet presAssocID="{EFB369E6-BE42-4DC7-9E7C-A880699F09FF}" presName="sibTrans" presStyleLbl="sibTrans2D1" presStyleIdx="4" presStyleCnt="8"/>
      <dgm:spPr/>
    </dgm:pt>
    <dgm:pt modelId="{C0FE2C47-39BB-4EAC-85CC-FE5D74901E92}" type="pres">
      <dgm:prSet presAssocID="{1A468C77-8FB6-4023-82D4-5952F257078F}" presName="node" presStyleLbl="node1" presStyleIdx="5" presStyleCnt="8" custScaleX="159989" custScaleY="147588">
        <dgm:presLayoutVars>
          <dgm:bulletEnabled val="1"/>
        </dgm:presLayoutVars>
      </dgm:prSet>
      <dgm:spPr/>
    </dgm:pt>
    <dgm:pt modelId="{EDB3436D-3C55-49A4-B820-71B1E7D5A60F}" type="pres">
      <dgm:prSet presAssocID="{1A468C77-8FB6-4023-82D4-5952F257078F}" presName="dummy" presStyleCnt="0"/>
      <dgm:spPr/>
    </dgm:pt>
    <dgm:pt modelId="{7FD4E733-4D62-4537-8D5A-AC57005D4C9C}" type="pres">
      <dgm:prSet presAssocID="{8F264098-016B-4EDD-B0A7-F4387C223CC6}" presName="sibTrans" presStyleLbl="sibTrans2D1" presStyleIdx="5" presStyleCnt="8"/>
      <dgm:spPr/>
    </dgm:pt>
    <dgm:pt modelId="{4C441784-109D-4FDC-868E-A9194772AFDC}" type="pres">
      <dgm:prSet presAssocID="{959E9E03-4C06-4BE9-9B83-DEE32B4464BD}" presName="node" presStyleLbl="node1" presStyleIdx="6" presStyleCnt="8" custScaleX="135054" custScaleY="134515">
        <dgm:presLayoutVars>
          <dgm:bulletEnabled val="1"/>
        </dgm:presLayoutVars>
      </dgm:prSet>
      <dgm:spPr/>
    </dgm:pt>
    <dgm:pt modelId="{D4D21A34-DADB-4A24-B9FB-72A1887E5B9F}" type="pres">
      <dgm:prSet presAssocID="{959E9E03-4C06-4BE9-9B83-DEE32B4464BD}" presName="dummy" presStyleCnt="0"/>
      <dgm:spPr/>
    </dgm:pt>
    <dgm:pt modelId="{C8176D60-2453-4DA0-A272-DCE9087C14AC}" type="pres">
      <dgm:prSet presAssocID="{A12B2C4A-A8E8-434A-9724-452D12412208}" presName="sibTrans" presStyleLbl="sibTrans2D1" presStyleIdx="6" presStyleCnt="8"/>
      <dgm:spPr/>
    </dgm:pt>
    <dgm:pt modelId="{46E66AF0-2C8B-490E-9CA1-4D26AB77E711}" type="pres">
      <dgm:prSet presAssocID="{5C473E92-93A4-4FEF-9BD7-DD7F3E290A93}" presName="node" presStyleLbl="node1" presStyleIdx="7" presStyleCnt="8" custScaleX="142990" custScaleY="136862">
        <dgm:presLayoutVars>
          <dgm:bulletEnabled val="1"/>
        </dgm:presLayoutVars>
      </dgm:prSet>
      <dgm:spPr/>
    </dgm:pt>
    <dgm:pt modelId="{F782A8DF-E5C0-4DC7-8293-0EE7419F7FB5}" type="pres">
      <dgm:prSet presAssocID="{5C473E92-93A4-4FEF-9BD7-DD7F3E290A93}" presName="dummy" presStyleCnt="0"/>
      <dgm:spPr/>
    </dgm:pt>
    <dgm:pt modelId="{277172A0-E0B4-4870-8C95-9D5CCD794A33}" type="pres">
      <dgm:prSet presAssocID="{6E3F8924-E9A4-47F6-A6F1-52E7C7172E65}" presName="sibTrans" presStyleLbl="sibTrans2D1" presStyleIdx="7" presStyleCnt="8"/>
      <dgm:spPr/>
    </dgm:pt>
  </dgm:ptLst>
  <dgm:cxnLst>
    <dgm:cxn modelId="{A4050100-9D1A-4CC6-952D-C20E86FB6988}" type="presOf" srcId="{3307EE20-E6EC-430C-9594-AE5162D61544}" destId="{EB4C72E5-0BB0-455A-8E28-349E80940498}" srcOrd="0" destOrd="0" presId="urn:microsoft.com/office/officeart/2005/8/layout/radial6"/>
    <dgm:cxn modelId="{19645E12-9FFF-4963-9585-90F68CBAA11D}" type="presOf" srcId="{A12B2C4A-A8E8-434A-9724-452D12412208}" destId="{C8176D60-2453-4DA0-A272-DCE9087C14AC}" srcOrd="0" destOrd="0" presId="urn:microsoft.com/office/officeart/2005/8/layout/radial6"/>
    <dgm:cxn modelId="{5C730317-9132-4403-A0BB-EA6D8A6868A8}" srcId="{CBD63CBC-D9E6-46F5-A6F4-52972DB11D07}" destId="{A6D3C58B-1BB1-4A9F-AA22-7D438715DA2D}" srcOrd="0" destOrd="0" parTransId="{20F3043F-9CD3-4DBF-9BDA-D2563157F9D6}" sibTransId="{CCB56A2C-012C-4207-98A8-7E7E0BFD45A9}"/>
    <dgm:cxn modelId="{99B96319-77D7-4B8C-AAB2-23B1EF181509}" type="presOf" srcId="{776BB01F-231B-4B7D-8688-00646028800B}" destId="{CE28DB28-88E5-4949-A1F9-9CFC7E4FF15B}" srcOrd="0" destOrd="0" presId="urn:microsoft.com/office/officeart/2005/8/layout/radial6"/>
    <dgm:cxn modelId="{3D115020-050F-476A-9DCC-317A1836876D}" type="presOf" srcId="{CEA49C39-ECFC-4C9E-94DE-6783BF4B2581}" destId="{2C3D0E35-1B84-46B7-AAC4-C21B4E9E6D54}" srcOrd="0" destOrd="0" presId="urn:microsoft.com/office/officeart/2005/8/layout/radial6"/>
    <dgm:cxn modelId="{370F1C27-183B-49B9-B4D1-1DD6A899FE57}" type="presOf" srcId="{A0A2EEFC-7EA2-426F-A194-F64CB5E33EF6}" destId="{2DF2E4CE-AB32-4223-872D-E798015A4836}" srcOrd="0" destOrd="0" presId="urn:microsoft.com/office/officeart/2005/8/layout/radial6"/>
    <dgm:cxn modelId="{99DCC262-36B6-4E73-ACF2-61867064EBC3}" type="presOf" srcId="{ADC4B130-2BE4-40B8-8218-CE217D86520A}" destId="{0968A593-46B6-418D-A7F7-087F184A1C08}" srcOrd="0" destOrd="0" presId="urn:microsoft.com/office/officeart/2005/8/layout/radial6"/>
    <dgm:cxn modelId="{FC79B367-DCA7-4036-BF2B-03DA1757FAC1}" srcId="{A6D3C58B-1BB1-4A9F-AA22-7D438715DA2D}" destId="{5C473E92-93A4-4FEF-9BD7-DD7F3E290A93}" srcOrd="7" destOrd="0" parTransId="{A4E7AAF5-D812-403D-B0C1-AE7B9A9C5B1A}" sibTransId="{6E3F8924-E9A4-47F6-A6F1-52E7C7172E65}"/>
    <dgm:cxn modelId="{5B112A4D-9C70-4762-B9C2-7311A916A64C}" srcId="{A6D3C58B-1BB1-4A9F-AA22-7D438715DA2D}" destId="{1A468C77-8FB6-4023-82D4-5952F257078F}" srcOrd="5" destOrd="0" parTransId="{2E9F5B66-AF19-4080-8FEF-BE333E355A20}" sibTransId="{8F264098-016B-4EDD-B0A7-F4387C223CC6}"/>
    <dgm:cxn modelId="{F3056050-CE8A-497C-9337-01B4065CFF43}" type="presOf" srcId="{6E3F8924-E9A4-47F6-A6F1-52E7C7172E65}" destId="{277172A0-E0B4-4870-8C95-9D5CCD794A33}" srcOrd="0" destOrd="0" presId="urn:microsoft.com/office/officeart/2005/8/layout/radial6"/>
    <dgm:cxn modelId="{FB5A4456-6B78-4494-9FF1-80CDCDB75CFA}" type="presOf" srcId="{959E9E03-4C06-4BE9-9B83-DEE32B4464BD}" destId="{4C441784-109D-4FDC-868E-A9194772AFDC}" srcOrd="0" destOrd="0" presId="urn:microsoft.com/office/officeart/2005/8/layout/radial6"/>
    <dgm:cxn modelId="{66241B78-BE4A-4C9D-929E-7B3C53E33D30}" type="presOf" srcId="{62A8568A-3CDB-400D-8782-9C2377DC9A63}" destId="{8683081F-E940-4617-8441-88C9B88799B2}" srcOrd="0" destOrd="0" presId="urn:microsoft.com/office/officeart/2005/8/layout/radial6"/>
    <dgm:cxn modelId="{C3D9767F-3430-4FB4-9A4D-D4599D158AD0}" type="presOf" srcId="{EFB369E6-BE42-4DC7-9E7C-A880699F09FF}" destId="{9324C98C-D680-4002-BDD5-3066671D49D6}" srcOrd="0" destOrd="0" presId="urn:microsoft.com/office/officeart/2005/8/layout/radial6"/>
    <dgm:cxn modelId="{FEC89982-B535-4A2C-AEED-7A56B09FDB90}" srcId="{A6D3C58B-1BB1-4A9F-AA22-7D438715DA2D}" destId="{959E9E03-4C06-4BE9-9B83-DEE32B4464BD}" srcOrd="6" destOrd="0" parTransId="{CC5A03B0-D061-4FBC-B020-E236D611E3B4}" sibTransId="{A12B2C4A-A8E8-434A-9724-452D12412208}"/>
    <dgm:cxn modelId="{0A4E8F8C-8772-48B4-98B0-B8DD6FEB2F02}" srcId="{A6D3C58B-1BB1-4A9F-AA22-7D438715DA2D}" destId="{62A8568A-3CDB-400D-8782-9C2377DC9A63}" srcOrd="0" destOrd="0" parTransId="{DCE49FDB-4D26-4CAC-8FA8-51377E4AC95F}" sibTransId="{4DC65753-B0FA-40E7-8B3C-CDA16EFE5645}"/>
    <dgm:cxn modelId="{5775619D-D39B-41B1-BD8B-2DB28BAA1F1B}" type="presOf" srcId="{8F264098-016B-4EDD-B0A7-F4387C223CC6}" destId="{7FD4E733-4D62-4537-8D5A-AC57005D4C9C}" srcOrd="0" destOrd="0" presId="urn:microsoft.com/office/officeart/2005/8/layout/radial6"/>
    <dgm:cxn modelId="{A8972FAC-6252-4D8B-99CE-94EF1C1D2B88}" srcId="{A6D3C58B-1BB1-4A9F-AA22-7D438715DA2D}" destId="{CEA49C39-ECFC-4C9E-94DE-6783BF4B2581}" srcOrd="1" destOrd="0" parTransId="{AEE46408-5F96-4AAE-AB7B-FB6939626E0D}" sibTransId="{A0A2EEFC-7EA2-426F-A194-F64CB5E33EF6}"/>
    <dgm:cxn modelId="{DB1167AD-DE94-470D-B14A-97A3E6055A91}" srcId="{A6D3C58B-1BB1-4A9F-AA22-7D438715DA2D}" destId="{3307EE20-E6EC-430C-9594-AE5162D61544}" srcOrd="4" destOrd="0" parTransId="{8DD35E7B-3DEE-41A6-B51E-6BC61394EE81}" sibTransId="{EFB369E6-BE42-4DC7-9E7C-A880699F09FF}"/>
    <dgm:cxn modelId="{0007A3AF-DCDD-4E7F-927D-17B6157A85F2}" srcId="{A6D3C58B-1BB1-4A9F-AA22-7D438715DA2D}" destId="{ADC4B130-2BE4-40B8-8218-CE217D86520A}" srcOrd="2" destOrd="0" parTransId="{798994A1-653D-43AA-B685-53A7BA57517F}" sibTransId="{EDB84676-918A-461F-9149-6CB19A9D4DD1}"/>
    <dgm:cxn modelId="{134AC6BA-6B62-4661-A6A2-931E593789D8}" type="presOf" srcId="{CBD63CBC-D9E6-46F5-A6F4-52972DB11D07}" destId="{76643288-0353-452D-A657-C88F664839F8}" srcOrd="0" destOrd="0" presId="urn:microsoft.com/office/officeart/2005/8/layout/radial6"/>
    <dgm:cxn modelId="{0E03E3C7-953B-4F95-8203-31BD170347AF}" srcId="{A6D3C58B-1BB1-4A9F-AA22-7D438715DA2D}" destId="{776BB01F-231B-4B7D-8688-00646028800B}" srcOrd="3" destOrd="0" parTransId="{E09D2DD5-5230-4BF1-B4AF-0114FDCAD4C2}" sibTransId="{2D226AE6-3D80-4CD0-BAF3-D008C01FEBE6}"/>
    <dgm:cxn modelId="{6BA2D6C8-54F4-49D8-BB70-05A297B0B79E}" type="presOf" srcId="{1A468C77-8FB6-4023-82D4-5952F257078F}" destId="{C0FE2C47-39BB-4EAC-85CC-FE5D74901E92}" srcOrd="0" destOrd="0" presId="urn:microsoft.com/office/officeart/2005/8/layout/radial6"/>
    <dgm:cxn modelId="{A5C437D0-3B7F-4F52-83F7-994C3C017A19}" type="presOf" srcId="{4DC65753-B0FA-40E7-8B3C-CDA16EFE5645}" destId="{8AC49131-20C8-4411-97E5-036F78A06EE9}" srcOrd="0" destOrd="0" presId="urn:microsoft.com/office/officeart/2005/8/layout/radial6"/>
    <dgm:cxn modelId="{4CC204E9-23CC-47E5-865C-D1F271301465}" type="presOf" srcId="{EDB84676-918A-461F-9149-6CB19A9D4DD1}" destId="{F4C3B12E-8756-4B87-9B62-5CD271927CA7}" srcOrd="0" destOrd="0" presId="urn:microsoft.com/office/officeart/2005/8/layout/radial6"/>
    <dgm:cxn modelId="{B5FF41F0-0955-4EB5-BC17-5A3DD56DFC8C}" type="presOf" srcId="{A6D3C58B-1BB1-4A9F-AA22-7D438715DA2D}" destId="{506DF5FF-0882-416D-828E-F2357659EB1B}" srcOrd="0" destOrd="0" presId="urn:microsoft.com/office/officeart/2005/8/layout/radial6"/>
    <dgm:cxn modelId="{1B02A4F5-3391-49BE-97BB-5B4FE3DD2F7A}" type="presOf" srcId="{5C473E92-93A4-4FEF-9BD7-DD7F3E290A93}" destId="{46E66AF0-2C8B-490E-9CA1-4D26AB77E711}" srcOrd="0" destOrd="0" presId="urn:microsoft.com/office/officeart/2005/8/layout/radial6"/>
    <dgm:cxn modelId="{4DD6FFF6-58E1-4AEE-92E2-A79AAD3C5AE6}" type="presOf" srcId="{2D226AE6-3D80-4CD0-BAF3-D008C01FEBE6}" destId="{46687395-DE5C-4D90-BCB4-5ED0C63E38F4}" srcOrd="0" destOrd="0" presId="urn:microsoft.com/office/officeart/2005/8/layout/radial6"/>
    <dgm:cxn modelId="{D099E885-B7BA-40BC-A0F4-1D5CCD649616}" type="presParOf" srcId="{76643288-0353-452D-A657-C88F664839F8}" destId="{506DF5FF-0882-416D-828E-F2357659EB1B}" srcOrd="0" destOrd="0" presId="urn:microsoft.com/office/officeart/2005/8/layout/radial6"/>
    <dgm:cxn modelId="{2D20D060-9AC1-4451-8F80-9E92B54A18B5}" type="presParOf" srcId="{76643288-0353-452D-A657-C88F664839F8}" destId="{8683081F-E940-4617-8441-88C9B88799B2}" srcOrd="1" destOrd="0" presId="urn:microsoft.com/office/officeart/2005/8/layout/radial6"/>
    <dgm:cxn modelId="{E15A3C7F-9795-4544-B7BB-37771343E859}" type="presParOf" srcId="{76643288-0353-452D-A657-C88F664839F8}" destId="{BEA8E674-3943-4ED7-8A3A-C1073E2C5385}" srcOrd="2" destOrd="0" presId="urn:microsoft.com/office/officeart/2005/8/layout/radial6"/>
    <dgm:cxn modelId="{E78F24DA-5B92-4DFC-9C6D-CED404BEF3D7}" type="presParOf" srcId="{76643288-0353-452D-A657-C88F664839F8}" destId="{8AC49131-20C8-4411-97E5-036F78A06EE9}" srcOrd="3" destOrd="0" presId="urn:microsoft.com/office/officeart/2005/8/layout/radial6"/>
    <dgm:cxn modelId="{C25F1B52-678F-4C95-A5EC-38CA62670778}" type="presParOf" srcId="{76643288-0353-452D-A657-C88F664839F8}" destId="{2C3D0E35-1B84-46B7-AAC4-C21B4E9E6D54}" srcOrd="4" destOrd="0" presId="urn:microsoft.com/office/officeart/2005/8/layout/radial6"/>
    <dgm:cxn modelId="{DFFA61A8-EACF-493D-8F33-10B4463AC21F}" type="presParOf" srcId="{76643288-0353-452D-A657-C88F664839F8}" destId="{9FE1F6F8-7EE3-41C1-8BED-F73B9D48138F}" srcOrd="5" destOrd="0" presId="urn:microsoft.com/office/officeart/2005/8/layout/radial6"/>
    <dgm:cxn modelId="{AC7BF965-E139-4DBA-B481-E3C5C7624261}" type="presParOf" srcId="{76643288-0353-452D-A657-C88F664839F8}" destId="{2DF2E4CE-AB32-4223-872D-E798015A4836}" srcOrd="6" destOrd="0" presId="urn:microsoft.com/office/officeart/2005/8/layout/radial6"/>
    <dgm:cxn modelId="{E965B968-3885-47C1-9B23-DE81679BB132}" type="presParOf" srcId="{76643288-0353-452D-A657-C88F664839F8}" destId="{0968A593-46B6-418D-A7F7-087F184A1C08}" srcOrd="7" destOrd="0" presId="urn:microsoft.com/office/officeart/2005/8/layout/radial6"/>
    <dgm:cxn modelId="{A60CE497-5FA5-4775-9677-CA81C5DBEE67}" type="presParOf" srcId="{76643288-0353-452D-A657-C88F664839F8}" destId="{0A4B8B9F-5C5B-46B9-8DEB-CFBAE0191705}" srcOrd="8" destOrd="0" presId="urn:microsoft.com/office/officeart/2005/8/layout/radial6"/>
    <dgm:cxn modelId="{2D264078-1C77-4808-8DEF-877DE0396164}" type="presParOf" srcId="{76643288-0353-452D-A657-C88F664839F8}" destId="{F4C3B12E-8756-4B87-9B62-5CD271927CA7}" srcOrd="9" destOrd="0" presId="urn:microsoft.com/office/officeart/2005/8/layout/radial6"/>
    <dgm:cxn modelId="{96D6FF22-119D-4F0C-BEB0-FFC4D27DC5CD}" type="presParOf" srcId="{76643288-0353-452D-A657-C88F664839F8}" destId="{CE28DB28-88E5-4949-A1F9-9CFC7E4FF15B}" srcOrd="10" destOrd="0" presId="urn:microsoft.com/office/officeart/2005/8/layout/radial6"/>
    <dgm:cxn modelId="{BD95DF96-4FA5-485A-8E9F-983F96419F00}" type="presParOf" srcId="{76643288-0353-452D-A657-C88F664839F8}" destId="{8295E2F5-41B4-471B-93F5-C493F6FC818B}" srcOrd="11" destOrd="0" presId="urn:microsoft.com/office/officeart/2005/8/layout/radial6"/>
    <dgm:cxn modelId="{6E626174-6AEE-434D-B57E-DB61A71C3B00}" type="presParOf" srcId="{76643288-0353-452D-A657-C88F664839F8}" destId="{46687395-DE5C-4D90-BCB4-5ED0C63E38F4}" srcOrd="12" destOrd="0" presId="urn:microsoft.com/office/officeart/2005/8/layout/radial6"/>
    <dgm:cxn modelId="{7E50069E-54BD-44DA-A240-1455B25303F5}" type="presParOf" srcId="{76643288-0353-452D-A657-C88F664839F8}" destId="{EB4C72E5-0BB0-455A-8E28-349E80940498}" srcOrd="13" destOrd="0" presId="urn:microsoft.com/office/officeart/2005/8/layout/radial6"/>
    <dgm:cxn modelId="{C5E17126-0F8D-43EA-B7DB-A7989D223497}" type="presParOf" srcId="{76643288-0353-452D-A657-C88F664839F8}" destId="{743858F3-851F-4194-A02F-A5F74F348A43}" srcOrd="14" destOrd="0" presId="urn:microsoft.com/office/officeart/2005/8/layout/radial6"/>
    <dgm:cxn modelId="{47664DFA-541C-490C-849E-3FB246FD9E04}" type="presParOf" srcId="{76643288-0353-452D-A657-C88F664839F8}" destId="{9324C98C-D680-4002-BDD5-3066671D49D6}" srcOrd="15" destOrd="0" presId="urn:microsoft.com/office/officeart/2005/8/layout/radial6"/>
    <dgm:cxn modelId="{92CB2061-EE13-4C49-A5C6-8059465FA33C}" type="presParOf" srcId="{76643288-0353-452D-A657-C88F664839F8}" destId="{C0FE2C47-39BB-4EAC-85CC-FE5D74901E92}" srcOrd="16" destOrd="0" presId="urn:microsoft.com/office/officeart/2005/8/layout/radial6"/>
    <dgm:cxn modelId="{C1F95B07-8C71-4998-AB01-4AE552735ED8}" type="presParOf" srcId="{76643288-0353-452D-A657-C88F664839F8}" destId="{EDB3436D-3C55-49A4-B820-71B1E7D5A60F}" srcOrd="17" destOrd="0" presId="urn:microsoft.com/office/officeart/2005/8/layout/radial6"/>
    <dgm:cxn modelId="{5B8543B5-1AF3-446D-AC12-0F7D01753BA2}" type="presParOf" srcId="{76643288-0353-452D-A657-C88F664839F8}" destId="{7FD4E733-4D62-4537-8D5A-AC57005D4C9C}" srcOrd="18" destOrd="0" presId="urn:microsoft.com/office/officeart/2005/8/layout/radial6"/>
    <dgm:cxn modelId="{E9F72D32-8E44-4469-BB8E-9D886DC3A1D2}" type="presParOf" srcId="{76643288-0353-452D-A657-C88F664839F8}" destId="{4C441784-109D-4FDC-868E-A9194772AFDC}" srcOrd="19" destOrd="0" presId="urn:microsoft.com/office/officeart/2005/8/layout/radial6"/>
    <dgm:cxn modelId="{8CF54546-FE1C-4C29-8E04-D2CC86AF0292}" type="presParOf" srcId="{76643288-0353-452D-A657-C88F664839F8}" destId="{D4D21A34-DADB-4A24-B9FB-72A1887E5B9F}" srcOrd="20" destOrd="0" presId="urn:microsoft.com/office/officeart/2005/8/layout/radial6"/>
    <dgm:cxn modelId="{4D378CF8-A018-4FE2-BBBE-3DE1B3009B50}" type="presParOf" srcId="{76643288-0353-452D-A657-C88F664839F8}" destId="{C8176D60-2453-4DA0-A272-DCE9087C14AC}" srcOrd="21" destOrd="0" presId="urn:microsoft.com/office/officeart/2005/8/layout/radial6"/>
    <dgm:cxn modelId="{2F901542-9B83-44C9-82DD-89F03CB01DF6}" type="presParOf" srcId="{76643288-0353-452D-A657-C88F664839F8}" destId="{46E66AF0-2C8B-490E-9CA1-4D26AB77E711}" srcOrd="22" destOrd="0" presId="urn:microsoft.com/office/officeart/2005/8/layout/radial6"/>
    <dgm:cxn modelId="{EE63740E-7165-44BE-AB99-D4981AE1E8E4}" type="presParOf" srcId="{76643288-0353-452D-A657-C88F664839F8}" destId="{F782A8DF-E5C0-4DC7-8293-0EE7419F7FB5}" srcOrd="23" destOrd="0" presId="urn:microsoft.com/office/officeart/2005/8/layout/radial6"/>
    <dgm:cxn modelId="{9F8DC505-5C57-4D09-BCD8-4EB2C8E81348}" type="presParOf" srcId="{76643288-0353-452D-A657-C88F664839F8}" destId="{277172A0-E0B4-4870-8C95-9D5CCD794A33}" srcOrd="24" destOrd="0" presId="urn:microsoft.com/office/officeart/2005/8/layout/radial6"/>
  </dgm:cxnLst>
  <dgm:bg/>
  <dgm:whole/>
  <dgm:extLst>
    <a:ext uri="http://schemas.microsoft.com/office/drawing/2008/diagram">
      <dsp:dataModelExt xmlns:dsp="http://schemas.microsoft.com/office/drawing/2008/diagram" relId="rId1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77172A0-E0B4-4870-8C95-9D5CCD794A33}">
      <dsp:nvSpPr>
        <dsp:cNvPr id="0" name=""/>
        <dsp:cNvSpPr/>
      </dsp:nvSpPr>
      <dsp:spPr>
        <a:xfrm>
          <a:off x="1050232" y="643469"/>
          <a:ext cx="5228284" cy="5228284"/>
        </a:xfrm>
        <a:prstGeom prst="blockArc">
          <a:avLst>
            <a:gd name="adj1" fmla="val 13500000"/>
            <a:gd name="adj2" fmla="val 16200000"/>
            <a:gd name="adj3" fmla="val 3431"/>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C8176D60-2453-4DA0-A272-DCE9087C14AC}">
      <dsp:nvSpPr>
        <dsp:cNvPr id="0" name=""/>
        <dsp:cNvSpPr/>
      </dsp:nvSpPr>
      <dsp:spPr>
        <a:xfrm>
          <a:off x="1050232" y="643469"/>
          <a:ext cx="5228284" cy="5228284"/>
        </a:xfrm>
        <a:prstGeom prst="blockArc">
          <a:avLst>
            <a:gd name="adj1" fmla="val 10800000"/>
            <a:gd name="adj2" fmla="val 13500000"/>
            <a:gd name="adj3" fmla="val 3431"/>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7FD4E733-4D62-4537-8D5A-AC57005D4C9C}">
      <dsp:nvSpPr>
        <dsp:cNvPr id="0" name=""/>
        <dsp:cNvSpPr/>
      </dsp:nvSpPr>
      <dsp:spPr>
        <a:xfrm>
          <a:off x="1050232" y="643469"/>
          <a:ext cx="5228284" cy="5228284"/>
        </a:xfrm>
        <a:prstGeom prst="blockArc">
          <a:avLst>
            <a:gd name="adj1" fmla="val 8100000"/>
            <a:gd name="adj2" fmla="val 10800000"/>
            <a:gd name="adj3" fmla="val 3431"/>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9324C98C-D680-4002-BDD5-3066671D49D6}">
      <dsp:nvSpPr>
        <dsp:cNvPr id="0" name=""/>
        <dsp:cNvSpPr/>
      </dsp:nvSpPr>
      <dsp:spPr>
        <a:xfrm>
          <a:off x="1050232" y="643469"/>
          <a:ext cx="5228284" cy="5228284"/>
        </a:xfrm>
        <a:prstGeom prst="blockArc">
          <a:avLst>
            <a:gd name="adj1" fmla="val 5400000"/>
            <a:gd name="adj2" fmla="val 8100000"/>
            <a:gd name="adj3" fmla="val 3431"/>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46687395-DE5C-4D90-BCB4-5ED0C63E38F4}">
      <dsp:nvSpPr>
        <dsp:cNvPr id="0" name=""/>
        <dsp:cNvSpPr/>
      </dsp:nvSpPr>
      <dsp:spPr>
        <a:xfrm>
          <a:off x="1050232" y="643469"/>
          <a:ext cx="5228284" cy="5228284"/>
        </a:xfrm>
        <a:prstGeom prst="blockArc">
          <a:avLst>
            <a:gd name="adj1" fmla="val 2700000"/>
            <a:gd name="adj2" fmla="val 5400000"/>
            <a:gd name="adj3" fmla="val 3431"/>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F4C3B12E-8756-4B87-9B62-5CD271927CA7}">
      <dsp:nvSpPr>
        <dsp:cNvPr id="0" name=""/>
        <dsp:cNvSpPr/>
      </dsp:nvSpPr>
      <dsp:spPr>
        <a:xfrm>
          <a:off x="1050232" y="643469"/>
          <a:ext cx="5228284" cy="5228284"/>
        </a:xfrm>
        <a:prstGeom prst="blockArc">
          <a:avLst>
            <a:gd name="adj1" fmla="val 0"/>
            <a:gd name="adj2" fmla="val 2700000"/>
            <a:gd name="adj3" fmla="val 3431"/>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2DF2E4CE-AB32-4223-872D-E798015A4836}">
      <dsp:nvSpPr>
        <dsp:cNvPr id="0" name=""/>
        <dsp:cNvSpPr/>
      </dsp:nvSpPr>
      <dsp:spPr>
        <a:xfrm>
          <a:off x="1050457" y="609498"/>
          <a:ext cx="5228284" cy="5228284"/>
        </a:xfrm>
        <a:prstGeom prst="blockArc">
          <a:avLst>
            <a:gd name="adj1" fmla="val 19022492"/>
            <a:gd name="adj2" fmla="val 45454"/>
            <a:gd name="adj3" fmla="val 3431"/>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8AC49131-20C8-4411-97E5-036F78A06EE9}">
      <dsp:nvSpPr>
        <dsp:cNvPr id="0" name=""/>
        <dsp:cNvSpPr/>
      </dsp:nvSpPr>
      <dsp:spPr>
        <a:xfrm>
          <a:off x="1082476" y="643266"/>
          <a:ext cx="5228284" cy="5228284"/>
        </a:xfrm>
        <a:prstGeom prst="blockArc">
          <a:avLst>
            <a:gd name="adj1" fmla="val 16156856"/>
            <a:gd name="adj2" fmla="val 18960226"/>
            <a:gd name="adj3" fmla="val 3431"/>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506DF5FF-0882-416D-828E-F2357659EB1B}">
      <dsp:nvSpPr>
        <dsp:cNvPr id="0" name=""/>
        <dsp:cNvSpPr/>
      </dsp:nvSpPr>
      <dsp:spPr>
        <a:xfrm>
          <a:off x="2216108" y="1794288"/>
          <a:ext cx="2896532" cy="2926646"/>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marL="0" marR="0" lvl="0" indent="0" algn="ctr" defTabSz="914400" eaLnBrk="1" fontAlgn="auto" latinLnBrk="0" hangingPunct="1">
            <a:lnSpc>
              <a:spcPct val="100000"/>
            </a:lnSpc>
            <a:spcBef>
              <a:spcPts val="0"/>
            </a:spcBef>
            <a:spcAft>
              <a:spcPts val="0"/>
            </a:spcAft>
            <a:buClrTx/>
            <a:buSzTx/>
            <a:buFontTx/>
            <a:buNone/>
            <a:tabLst/>
            <a:defRPr/>
          </a:pPr>
          <a:r>
            <a:rPr lang="en-GB" sz="1050" b="1" u="sng" kern="100" dirty="0">
              <a:solidFill>
                <a:schemeClr val="bg1"/>
              </a:solidFill>
              <a:effectLst/>
              <a:latin typeface="+mn-lt"/>
              <a:ea typeface="Times New Roman" panose="02020603050405020304" pitchFamily="18" charset="0"/>
              <a:cs typeface="Times New Roman" panose="02020603050405020304" pitchFamily="18" charset="0"/>
            </a:rPr>
            <a:t>Recommendations for Safeguarding Practice</a:t>
          </a:r>
          <a:br>
            <a:rPr lang="en-GB" sz="1050" b="1" kern="100" dirty="0">
              <a:solidFill>
                <a:schemeClr val="bg1"/>
              </a:solidFill>
              <a:effectLst/>
              <a:latin typeface="+mn-lt"/>
              <a:ea typeface="Times New Roman" panose="02020603050405020304" pitchFamily="18" charset="0"/>
              <a:cs typeface="Times New Roman" panose="02020603050405020304" pitchFamily="18" charset="0"/>
            </a:rPr>
          </a:br>
          <a:r>
            <a:rPr lang="en-GB" sz="1050" kern="100" dirty="0">
              <a:solidFill>
                <a:schemeClr val="bg1"/>
              </a:solidFill>
              <a:effectLst/>
              <a:latin typeface="+mn-lt"/>
              <a:ea typeface="Aptos" panose="020B0004020202020204" pitchFamily="34" charset="0"/>
              <a:cs typeface="Times New Roman" panose="02020603050405020304" pitchFamily="18" charset="0"/>
            </a:rPr>
            <a:t>- Empower practitioners to have conversations about race and identity.</a:t>
          </a:r>
          <a:br>
            <a:rPr lang="en-GB" sz="1050" kern="100" dirty="0">
              <a:solidFill>
                <a:schemeClr val="bg1"/>
              </a:solidFill>
              <a:effectLst/>
              <a:latin typeface="+mn-lt"/>
              <a:ea typeface="Aptos" panose="020B0004020202020204" pitchFamily="34" charset="0"/>
              <a:cs typeface="Times New Roman" panose="02020603050405020304" pitchFamily="18" charset="0"/>
            </a:rPr>
          </a:br>
          <a:r>
            <a:rPr lang="en-GB" sz="1050" kern="100" dirty="0">
              <a:solidFill>
                <a:schemeClr val="bg1"/>
              </a:solidFill>
              <a:effectLst/>
              <a:latin typeface="+mn-lt"/>
              <a:ea typeface="Aptos" panose="020B0004020202020204" pitchFamily="34" charset="0"/>
              <a:cs typeface="Times New Roman" panose="02020603050405020304" pitchFamily="18" charset="0"/>
            </a:rPr>
            <a:t>- Develop practitioners’ cultural competence and confidence.</a:t>
          </a:r>
          <a:br>
            <a:rPr lang="en-GB" sz="1050" kern="100" dirty="0">
              <a:solidFill>
                <a:schemeClr val="bg1"/>
              </a:solidFill>
              <a:effectLst/>
              <a:latin typeface="+mn-lt"/>
              <a:ea typeface="Aptos" panose="020B0004020202020204" pitchFamily="34" charset="0"/>
              <a:cs typeface="Times New Roman" panose="02020603050405020304" pitchFamily="18" charset="0"/>
            </a:rPr>
          </a:br>
          <a:r>
            <a:rPr lang="en-GB" sz="1050" kern="100" dirty="0">
              <a:solidFill>
                <a:schemeClr val="bg1"/>
              </a:solidFill>
              <a:effectLst/>
              <a:latin typeface="+mn-lt"/>
              <a:ea typeface="Aptos" panose="020B0004020202020204" pitchFamily="34" charset="0"/>
              <a:cs typeface="Times New Roman" panose="02020603050405020304" pitchFamily="18" charset="0"/>
            </a:rPr>
            <a:t>- Ensure practitioners are self-reflective about their biases.</a:t>
          </a:r>
          <a:br>
            <a:rPr lang="en-GB" sz="1050" kern="100" dirty="0">
              <a:solidFill>
                <a:schemeClr val="bg1"/>
              </a:solidFill>
              <a:effectLst/>
              <a:latin typeface="+mn-lt"/>
              <a:ea typeface="Aptos" panose="020B0004020202020204" pitchFamily="34" charset="0"/>
              <a:cs typeface="Times New Roman" panose="02020603050405020304" pitchFamily="18" charset="0"/>
            </a:rPr>
          </a:br>
          <a:r>
            <a:rPr lang="en-GB" sz="1050" kern="100" dirty="0">
              <a:solidFill>
                <a:schemeClr val="bg1"/>
              </a:solidFill>
              <a:effectLst/>
              <a:latin typeface="+mn-lt"/>
              <a:ea typeface="Aptos" panose="020B0004020202020204" pitchFamily="34" charset="0"/>
              <a:cs typeface="Times New Roman" panose="02020603050405020304" pitchFamily="18" charset="0"/>
            </a:rPr>
            <a:t>- Respond effectively to diverse communication needs.</a:t>
          </a:r>
          <a:br>
            <a:rPr lang="en-GB" sz="1050" kern="100" dirty="0">
              <a:solidFill>
                <a:schemeClr val="bg1"/>
              </a:solidFill>
              <a:effectLst/>
              <a:latin typeface="+mn-lt"/>
              <a:ea typeface="Aptos" panose="020B0004020202020204" pitchFamily="34" charset="0"/>
              <a:cs typeface="Times New Roman" panose="02020603050405020304" pitchFamily="18" charset="0"/>
            </a:rPr>
          </a:br>
          <a:r>
            <a:rPr lang="en-GB" sz="1050" kern="100" dirty="0">
              <a:solidFill>
                <a:schemeClr val="bg1"/>
              </a:solidFill>
              <a:effectLst/>
              <a:latin typeface="+mn-lt"/>
              <a:ea typeface="Aptos" panose="020B0004020202020204" pitchFamily="34" charset="0"/>
              <a:cs typeface="Times New Roman" panose="02020603050405020304" pitchFamily="18" charset="0"/>
            </a:rPr>
            <a:t>- Challenge internal and institutional racism within safeguarding practice. </a:t>
          </a:r>
        </a:p>
        <a:p>
          <a:pPr marL="0" lvl="0" algn="ctr" defTabSz="1911350">
            <a:buNone/>
          </a:pPr>
          <a:endParaRPr lang="en-GB" sz="800" dirty="0">
            <a:solidFill>
              <a:schemeClr val="bg1"/>
            </a:solidFill>
            <a:latin typeface="+mn-lt"/>
          </a:endParaRPr>
        </a:p>
      </dsp:txBody>
      <dsp:txXfrm>
        <a:off x="2640295" y="2222885"/>
        <a:ext cx="2048158" cy="2069452"/>
      </dsp:txXfrm>
    </dsp:sp>
    <dsp:sp modelId="{8683081F-E940-4617-8441-88C9B88799B2}">
      <dsp:nvSpPr>
        <dsp:cNvPr id="0" name=""/>
        <dsp:cNvSpPr/>
      </dsp:nvSpPr>
      <dsp:spPr>
        <a:xfrm>
          <a:off x="2676826" y="-255497"/>
          <a:ext cx="1975096" cy="1887635"/>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marR="0" lvl="0" indent="0" algn="ctr" defTabSz="914400" eaLnBrk="1" fontAlgn="auto" latinLnBrk="0" hangingPunct="1">
            <a:lnSpc>
              <a:spcPct val="100000"/>
            </a:lnSpc>
            <a:spcBef>
              <a:spcPts val="0"/>
            </a:spcBef>
            <a:spcAft>
              <a:spcPts val="0"/>
            </a:spcAft>
            <a:buClrTx/>
            <a:buSzTx/>
            <a:buFontTx/>
            <a:buNone/>
            <a:tabLst/>
            <a:defRPr/>
          </a:pPr>
          <a:r>
            <a:rPr lang="en-GB" sz="800" b="1" u="sng" kern="100" dirty="0">
              <a:solidFill>
                <a:schemeClr val="bg1"/>
              </a:solidFill>
              <a:effectLst/>
              <a:latin typeface="+mn-lt"/>
              <a:ea typeface="Times New Roman" panose="02020603050405020304" pitchFamily="18" charset="0"/>
              <a:cs typeface="Times New Roman" panose="02020603050405020304" pitchFamily="18" charset="0"/>
            </a:rPr>
            <a:t>Children’s Voices and Experiences</a:t>
          </a:r>
          <a:br>
            <a:rPr lang="en-GB" sz="800" b="1" kern="100" dirty="0">
              <a:solidFill>
                <a:schemeClr val="bg1"/>
              </a:solidFill>
              <a:effectLst/>
              <a:latin typeface="+mn-lt"/>
              <a:ea typeface="Times New Roman" panose="02020603050405020304" pitchFamily="18" charset="0"/>
              <a:cs typeface="Times New Roman" panose="02020603050405020304" pitchFamily="18" charset="0"/>
            </a:rPr>
          </a:br>
          <a:r>
            <a:rPr lang="en-GB" sz="800" kern="100" dirty="0">
              <a:solidFill>
                <a:schemeClr val="bg1"/>
              </a:solidFill>
              <a:effectLst/>
              <a:latin typeface="+mn-lt"/>
              <a:ea typeface="Aptos" panose="020B0004020202020204" pitchFamily="34" charset="0"/>
              <a:cs typeface="Times New Roman" panose="02020603050405020304" pitchFamily="18" charset="0"/>
            </a:rPr>
            <a:t>Practitioners should seek and consider the voices and experiences of children, utilizing alternative communication methods when necessary. There are significant barriers to hearing children’s voices, including fear of disclosure and communication difficulties.</a:t>
          </a:r>
        </a:p>
        <a:p>
          <a:pPr marL="0" lvl="0" algn="ctr" defTabSz="222250">
            <a:buNone/>
          </a:pPr>
          <a:endParaRPr lang="en-GB" sz="800" dirty="0">
            <a:solidFill>
              <a:schemeClr val="bg1"/>
            </a:solidFill>
            <a:latin typeface="+mn-lt"/>
          </a:endParaRPr>
        </a:p>
      </dsp:txBody>
      <dsp:txXfrm>
        <a:off x="2966072" y="20941"/>
        <a:ext cx="1396604" cy="1334759"/>
      </dsp:txXfrm>
    </dsp:sp>
    <dsp:sp modelId="{2C3D0E35-1B84-46B7-AAC4-C21B4E9E6D54}">
      <dsp:nvSpPr>
        <dsp:cNvPr id="0" name=""/>
        <dsp:cNvSpPr/>
      </dsp:nvSpPr>
      <dsp:spPr>
        <a:xfrm>
          <a:off x="4572318" y="545478"/>
          <a:ext cx="1945220" cy="1854545"/>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marR="0" lvl="0" indent="0" algn="ctr" defTabSz="914400" eaLnBrk="1" fontAlgn="auto" latinLnBrk="0" hangingPunct="1">
            <a:lnSpc>
              <a:spcPct val="100000"/>
            </a:lnSpc>
            <a:spcBef>
              <a:spcPts val="0"/>
            </a:spcBef>
            <a:spcAft>
              <a:spcPts val="0"/>
            </a:spcAft>
            <a:buClrTx/>
            <a:buSzTx/>
            <a:buFontTx/>
            <a:buNone/>
            <a:tabLst/>
            <a:defRPr/>
          </a:pPr>
          <a:r>
            <a:rPr lang="en-GB" sz="800" b="1" u="sng" kern="100" dirty="0">
              <a:solidFill>
                <a:schemeClr val="bg1"/>
              </a:solidFill>
              <a:effectLst/>
              <a:latin typeface="+mn-lt"/>
              <a:ea typeface="Times New Roman" panose="02020603050405020304" pitchFamily="18" charset="0"/>
              <a:cs typeface="Times New Roman" panose="02020603050405020304" pitchFamily="18" charset="0"/>
            </a:rPr>
            <a:t>Recognition of Race, Ethnicity, and Culture</a:t>
          </a:r>
          <a:br>
            <a:rPr lang="en-GB" sz="800" b="1" kern="100" dirty="0">
              <a:solidFill>
                <a:schemeClr val="bg1"/>
              </a:solidFill>
              <a:effectLst/>
              <a:latin typeface="+mn-lt"/>
              <a:ea typeface="Times New Roman" panose="02020603050405020304" pitchFamily="18" charset="0"/>
              <a:cs typeface="Times New Roman" panose="02020603050405020304" pitchFamily="18" charset="0"/>
            </a:rPr>
          </a:br>
          <a:r>
            <a:rPr lang="en-GB" sz="800" kern="100" dirty="0">
              <a:solidFill>
                <a:schemeClr val="bg1"/>
              </a:solidFill>
              <a:effectLst/>
              <a:latin typeface="+mn-lt"/>
              <a:ea typeface="Aptos" panose="020B0004020202020204" pitchFamily="34" charset="0"/>
              <a:cs typeface="Times New Roman" panose="02020603050405020304" pitchFamily="18" charset="0"/>
            </a:rPr>
            <a:t>The report indicates that race, ethnicity, and culture should be explicitly recognized by practitioners. There is a need for a deeper understanding of how these factors impact practice responses to Black, Asian, and Mixed Heritage children and families.</a:t>
          </a:r>
        </a:p>
      </dsp:txBody>
      <dsp:txXfrm>
        <a:off x="4857189" y="817070"/>
        <a:ext cx="1375478" cy="1311361"/>
      </dsp:txXfrm>
    </dsp:sp>
    <dsp:sp modelId="{0968A593-46B6-418D-A7F7-087F184A1C08}">
      <dsp:nvSpPr>
        <dsp:cNvPr id="0" name=""/>
        <dsp:cNvSpPr/>
      </dsp:nvSpPr>
      <dsp:spPr>
        <a:xfrm>
          <a:off x="5236368" y="2403739"/>
          <a:ext cx="1994594" cy="1707744"/>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marR="0" lvl="0" indent="0" algn="ctr" defTabSz="914400" eaLnBrk="1" fontAlgn="auto" latinLnBrk="0" hangingPunct="1">
            <a:lnSpc>
              <a:spcPct val="100000"/>
            </a:lnSpc>
            <a:spcBef>
              <a:spcPts val="0"/>
            </a:spcBef>
            <a:spcAft>
              <a:spcPts val="0"/>
            </a:spcAft>
            <a:buClrTx/>
            <a:buSzTx/>
            <a:buFontTx/>
            <a:buNone/>
            <a:tabLst/>
            <a:defRPr/>
          </a:pPr>
          <a:r>
            <a:rPr lang="en-GB" sz="800" b="1" u="sng" kern="100" dirty="0">
              <a:solidFill>
                <a:schemeClr val="bg1"/>
              </a:solidFill>
              <a:effectLst/>
              <a:latin typeface="+mn-lt"/>
              <a:ea typeface="Times New Roman" panose="02020603050405020304" pitchFamily="18" charset="0"/>
              <a:cs typeface="Times New Roman" panose="02020603050405020304" pitchFamily="18" charset="0"/>
            </a:rPr>
            <a:t>Recognition of Service Engagement Barriers</a:t>
          </a:r>
          <a:br>
            <a:rPr lang="en-GB" sz="800" b="1" kern="100" dirty="0">
              <a:solidFill>
                <a:schemeClr val="bg1"/>
              </a:solidFill>
              <a:effectLst/>
              <a:latin typeface="+mn-lt"/>
              <a:ea typeface="Times New Roman" panose="02020603050405020304" pitchFamily="18" charset="0"/>
              <a:cs typeface="Times New Roman" panose="02020603050405020304" pitchFamily="18" charset="0"/>
            </a:rPr>
          </a:br>
          <a:r>
            <a:rPr lang="en-GB" sz="800" kern="100" dirty="0">
              <a:solidFill>
                <a:schemeClr val="bg1"/>
              </a:solidFill>
              <a:effectLst/>
              <a:latin typeface="+mn-lt"/>
              <a:ea typeface="Aptos" panose="020B0004020202020204" pitchFamily="34" charset="0"/>
              <a:cs typeface="Times New Roman" panose="02020603050405020304" pitchFamily="18" charset="0"/>
            </a:rPr>
            <a:t>Service barriers experienced by children and families, such as racialized trauma and language barriers, should be acknowledged. Practitioners need to navigate these barriers effectively and avoid biases in their responses.</a:t>
          </a:r>
        </a:p>
      </dsp:txBody>
      <dsp:txXfrm>
        <a:off x="5528470" y="2653832"/>
        <a:ext cx="1410390" cy="1207558"/>
      </dsp:txXfrm>
    </dsp:sp>
    <dsp:sp modelId="{CE28DB28-88E5-4949-A1F9-9CFC7E4FF15B}">
      <dsp:nvSpPr>
        <dsp:cNvPr id="0" name=""/>
        <dsp:cNvSpPr/>
      </dsp:nvSpPr>
      <dsp:spPr>
        <a:xfrm>
          <a:off x="4588331" y="4228699"/>
          <a:ext cx="1785611" cy="1691348"/>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marR="0" lvl="0" indent="0" algn="ctr" defTabSz="914400" eaLnBrk="1" fontAlgn="auto" latinLnBrk="0" hangingPunct="1">
            <a:lnSpc>
              <a:spcPct val="100000"/>
            </a:lnSpc>
            <a:spcBef>
              <a:spcPts val="0"/>
            </a:spcBef>
            <a:spcAft>
              <a:spcPts val="0"/>
            </a:spcAft>
            <a:buClrTx/>
            <a:buSzTx/>
            <a:buFontTx/>
            <a:buNone/>
            <a:tabLst/>
            <a:defRPr/>
          </a:pPr>
          <a:r>
            <a:rPr lang="en-GB" sz="800" b="1" u="sng" kern="100" dirty="0">
              <a:solidFill>
                <a:schemeClr val="bg1"/>
              </a:solidFill>
              <a:effectLst/>
              <a:latin typeface="+mn-lt"/>
              <a:ea typeface="Times New Roman" panose="02020603050405020304" pitchFamily="18" charset="0"/>
              <a:cs typeface="Times New Roman" panose="02020603050405020304" pitchFamily="18" charset="0"/>
            </a:rPr>
            <a:t>Intersectional Perspectives</a:t>
          </a:r>
          <a:br>
            <a:rPr lang="en-GB" sz="800" b="1" kern="100" dirty="0">
              <a:solidFill>
                <a:schemeClr val="bg1"/>
              </a:solidFill>
              <a:effectLst/>
              <a:latin typeface="+mn-lt"/>
              <a:ea typeface="Times New Roman" panose="02020603050405020304" pitchFamily="18" charset="0"/>
              <a:cs typeface="Times New Roman" panose="02020603050405020304" pitchFamily="18" charset="0"/>
            </a:rPr>
          </a:br>
          <a:r>
            <a:rPr lang="en-GB" sz="800" kern="100" dirty="0">
              <a:solidFill>
                <a:schemeClr val="bg1"/>
              </a:solidFill>
              <a:effectLst/>
              <a:latin typeface="+mn-lt"/>
              <a:ea typeface="Aptos" panose="020B0004020202020204" pitchFamily="34" charset="0"/>
              <a:cs typeface="Times New Roman" panose="02020603050405020304" pitchFamily="18" charset="0"/>
            </a:rPr>
            <a:t>The analysis highlights the importance of intersectional approaches to better address the safeguarding needs of children and families. Practitioners need to consider the overlapping identities of children related to race, gender, poverty, and class.</a:t>
          </a:r>
        </a:p>
      </dsp:txBody>
      <dsp:txXfrm>
        <a:off x="4849828" y="4476391"/>
        <a:ext cx="1262617" cy="1195964"/>
      </dsp:txXfrm>
    </dsp:sp>
    <dsp:sp modelId="{EB4C72E5-0BB0-455A-8E28-349E80940498}">
      <dsp:nvSpPr>
        <dsp:cNvPr id="0" name=""/>
        <dsp:cNvSpPr/>
      </dsp:nvSpPr>
      <dsp:spPr>
        <a:xfrm>
          <a:off x="2745798" y="5008493"/>
          <a:ext cx="1837153" cy="1636816"/>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marR="0" lvl="0" indent="0" algn="ctr" defTabSz="914400" eaLnBrk="1" fontAlgn="auto" latinLnBrk="0" hangingPunct="1">
            <a:lnSpc>
              <a:spcPct val="100000"/>
            </a:lnSpc>
            <a:spcBef>
              <a:spcPts val="0"/>
            </a:spcBef>
            <a:spcAft>
              <a:spcPts val="0"/>
            </a:spcAft>
            <a:buClrTx/>
            <a:buSzTx/>
            <a:buFontTx/>
            <a:buNone/>
            <a:tabLst/>
            <a:defRPr/>
          </a:pPr>
          <a:r>
            <a:rPr lang="en-GB" sz="800" b="1" u="sng" kern="100" dirty="0">
              <a:solidFill>
                <a:schemeClr val="bg1"/>
              </a:solidFill>
              <a:effectLst/>
              <a:latin typeface="+mn-lt"/>
              <a:ea typeface="Times New Roman" panose="02020603050405020304" pitchFamily="18" charset="0"/>
              <a:cs typeface="Times New Roman" panose="02020603050405020304" pitchFamily="18" charset="0"/>
            </a:rPr>
            <a:t>Role of Faith and Religion</a:t>
          </a:r>
          <a:br>
            <a:rPr lang="en-GB" sz="800" b="1" kern="100" dirty="0">
              <a:solidFill>
                <a:schemeClr val="bg1"/>
              </a:solidFill>
              <a:effectLst/>
              <a:latin typeface="+mn-lt"/>
              <a:ea typeface="Times New Roman" panose="02020603050405020304" pitchFamily="18" charset="0"/>
              <a:cs typeface="Times New Roman" panose="02020603050405020304" pitchFamily="18" charset="0"/>
            </a:rPr>
          </a:br>
          <a:r>
            <a:rPr lang="en-GB" sz="800" kern="100" dirty="0">
              <a:solidFill>
                <a:schemeClr val="bg1"/>
              </a:solidFill>
              <a:effectLst/>
              <a:latin typeface="+mn-lt"/>
              <a:ea typeface="Aptos" panose="020B0004020202020204" pitchFamily="34" charset="0"/>
              <a:cs typeface="Times New Roman" panose="02020603050405020304" pitchFamily="18" charset="0"/>
            </a:rPr>
            <a:t>Practitioners should acknowledge the role of faith and religion in the lives of children and families. There is an underdeveloped understanding of potentially harmful practices related to beliefs.</a:t>
          </a:r>
        </a:p>
      </dsp:txBody>
      <dsp:txXfrm>
        <a:off x="3014843" y="5248199"/>
        <a:ext cx="1299063" cy="1157404"/>
      </dsp:txXfrm>
    </dsp:sp>
    <dsp:sp modelId="{C0FE2C47-39BB-4EAC-85CC-FE5D74901E92}">
      <dsp:nvSpPr>
        <dsp:cNvPr id="0" name=""/>
        <dsp:cNvSpPr/>
      </dsp:nvSpPr>
      <dsp:spPr>
        <a:xfrm>
          <a:off x="850981" y="4154994"/>
          <a:ext cx="1993261" cy="183876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marR="0" lvl="0" indent="0" algn="ctr" defTabSz="914400" eaLnBrk="1" fontAlgn="auto" latinLnBrk="0" hangingPunct="1">
            <a:lnSpc>
              <a:spcPct val="100000"/>
            </a:lnSpc>
            <a:spcBef>
              <a:spcPts val="0"/>
            </a:spcBef>
            <a:spcAft>
              <a:spcPts val="0"/>
            </a:spcAft>
            <a:buClrTx/>
            <a:buSzTx/>
            <a:buFontTx/>
            <a:buNone/>
            <a:tabLst/>
            <a:defRPr/>
          </a:pPr>
          <a:r>
            <a:rPr lang="en-GB" sz="800" b="1" u="sng" kern="100" dirty="0">
              <a:solidFill>
                <a:schemeClr val="bg1"/>
              </a:solidFill>
              <a:effectLst/>
              <a:latin typeface="+mn-lt"/>
              <a:ea typeface="Times New Roman" panose="02020603050405020304" pitchFamily="18" charset="0"/>
              <a:cs typeface="Times New Roman" panose="02020603050405020304" pitchFamily="18" charset="0"/>
            </a:rPr>
            <a:t>Understanding Vulnerabilities and Risks of Harm</a:t>
          </a:r>
          <a:br>
            <a:rPr lang="en-GB" sz="800" b="1" kern="100" dirty="0">
              <a:solidFill>
                <a:schemeClr val="bg1"/>
              </a:solidFill>
              <a:effectLst/>
              <a:latin typeface="+mn-lt"/>
              <a:ea typeface="Times New Roman" panose="02020603050405020304" pitchFamily="18" charset="0"/>
              <a:cs typeface="Times New Roman" panose="02020603050405020304" pitchFamily="18" charset="0"/>
            </a:rPr>
          </a:br>
          <a:r>
            <a:rPr lang="en-GB" sz="800" kern="100" dirty="0">
              <a:solidFill>
                <a:schemeClr val="bg1"/>
              </a:solidFill>
              <a:effectLst/>
              <a:latin typeface="+mn-lt"/>
              <a:ea typeface="Aptos" panose="020B0004020202020204" pitchFamily="34" charset="0"/>
              <a:cs typeface="Times New Roman" panose="02020603050405020304" pitchFamily="18" charset="0"/>
            </a:rPr>
            <a:t>There is a need for a comprehensive understanding of children’s lived experiences and vulnerabilities. Practitioners should avoid viewing incidents in isolation and ensure a holistic understanding of risk factors.</a:t>
          </a:r>
        </a:p>
      </dsp:txBody>
      <dsp:txXfrm>
        <a:off x="1142887" y="4424274"/>
        <a:ext cx="1409449" cy="1300200"/>
      </dsp:txXfrm>
    </dsp:sp>
    <dsp:sp modelId="{4C441784-109D-4FDC-868E-A9194772AFDC}">
      <dsp:nvSpPr>
        <dsp:cNvPr id="0" name=""/>
        <dsp:cNvSpPr/>
      </dsp:nvSpPr>
      <dsp:spPr>
        <a:xfrm>
          <a:off x="253782" y="2419667"/>
          <a:ext cx="1682602" cy="1675887"/>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marR="0" lvl="0" indent="0" algn="ctr" defTabSz="914400" eaLnBrk="1" fontAlgn="auto" latinLnBrk="0" hangingPunct="1">
            <a:lnSpc>
              <a:spcPct val="100000"/>
            </a:lnSpc>
            <a:spcBef>
              <a:spcPts val="0"/>
            </a:spcBef>
            <a:spcAft>
              <a:spcPts val="0"/>
            </a:spcAft>
            <a:buClrTx/>
            <a:buSzTx/>
            <a:buFontTx/>
            <a:buNone/>
            <a:tabLst/>
            <a:defRPr/>
          </a:pPr>
          <a:r>
            <a:rPr lang="en-GB" sz="800" b="1" u="sng" kern="100" dirty="0" err="1">
              <a:solidFill>
                <a:schemeClr val="bg1"/>
              </a:solidFill>
              <a:effectLst/>
              <a:latin typeface="+mn-lt"/>
              <a:ea typeface="Times New Roman" panose="02020603050405020304" pitchFamily="18" charset="0"/>
              <a:cs typeface="Times New Roman" panose="02020603050405020304" pitchFamily="18" charset="0"/>
            </a:rPr>
            <a:t>Invisibilisation</a:t>
          </a:r>
          <a:br>
            <a:rPr lang="en-GB" sz="800" b="1" kern="100" dirty="0">
              <a:solidFill>
                <a:schemeClr val="bg1"/>
              </a:solidFill>
              <a:latin typeface="+mn-lt"/>
              <a:ea typeface="Times New Roman" panose="02020603050405020304" pitchFamily="18" charset="0"/>
              <a:cs typeface="Times New Roman" panose="02020603050405020304" pitchFamily="18" charset="0"/>
            </a:rPr>
          </a:br>
          <a:r>
            <a:rPr lang="en-GB" sz="800" kern="100" dirty="0">
              <a:solidFill>
                <a:schemeClr val="bg1"/>
              </a:solidFill>
              <a:effectLst/>
              <a:latin typeface="+mn-lt"/>
              <a:ea typeface="Aptos" panose="020B0004020202020204" pitchFamily="34" charset="0"/>
              <a:cs typeface="Times New Roman" panose="02020603050405020304" pitchFamily="18" charset="0"/>
            </a:rPr>
            <a:t>Children’s vulnerabilities are often rendered invisible due to a lack of attention to race, ethnicity, and culture. Practitioners should avoid </a:t>
          </a:r>
          <a:r>
            <a:rPr lang="en-GB" sz="800" kern="100" dirty="0" err="1">
              <a:solidFill>
                <a:schemeClr val="bg1"/>
              </a:solidFill>
              <a:effectLst/>
              <a:latin typeface="+mn-lt"/>
              <a:ea typeface="Aptos" panose="020B0004020202020204" pitchFamily="34" charset="0"/>
              <a:cs typeface="Times New Roman" panose="02020603050405020304" pitchFamily="18" charset="0"/>
            </a:rPr>
            <a:t>invisibilising</a:t>
          </a:r>
          <a:r>
            <a:rPr lang="en-GB" sz="800" kern="100" dirty="0">
              <a:solidFill>
                <a:schemeClr val="bg1"/>
              </a:solidFill>
              <a:effectLst/>
              <a:latin typeface="+mn-lt"/>
              <a:ea typeface="Aptos" panose="020B0004020202020204" pitchFamily="34" charset="0"/>
              <a:cs typeface="Times New Roman" panose="02020603050405020304" pitchFamily="18" charset="0"/>
            </a:rPr>
            <a:t> children and ensure their needs are recognized and addressed.</a:t>
          </a:r>
        </a:p>
        <a:p>
          <a:pPr marL="0" lvl="0" algn="ctr" defTabSz="266700">
            <a:buNone/>
          </a:pPr>
          <a:endParaRPr lang="en-GB" sz="800" dirty="0">
            <a:solidFill>
              <a:schemeClr val="bg1"/>
            </a:solidFill>
            <a:latin typeface="+mn-lt"/>
          </a:endParaRPr>
        </a:p>
      </dsp:txBody>
      <dsp:txXfrm>
        <a:off x="500193" y="2665095"/>
        <a:ext cx="1189780" cy="1185031"/>
      </dsp:txXfrm>
    </dsp:sp>
    <dsp:sp modelId="{46E66AF0-2C8B-490E-9CA1-4D26AB77E711}">
      <dsp:nvSpPr>
        <dsp:cNvPr id="0" name=""/>
        <dsp:cNvSpPr/>
      </dsp:nvSpPr>
      <dsp:spPr>
        <a:xfrm>
          <a:off x="956874" y="588284"/>
          <a:ext cx="1781474" cy="1705127"/>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marR="0" lvl="0" indent="0" algn="ctr" defTabSz="914400" eaLnBrk="1" fontAlgn="auto" latinLnBrk="0" hangingPunct="1">
            <a:lnSpc>
              <a:spcPct val="100000"/>
            </a:lnSpc>
            <a:spcBef>
              <a:spcPts val="0"/>
            </a:spcBef>
            <a:spcAft>
              <a:spcPts val="0"/>
            </a:spcAft>
            <a:buClrTx/>
            <a:buSzTx/>
            <a:buFontTx/>
            <a:buNone/>
            <a:tabLst/>
            <a:defRPr/>
          </a:pPr>
          <a:r>
            <a:rPr lang="en-GB" sz="800" b="1" u="sng" kern="100" dirty="0">
              <a:solidFill>
                <a:schemeClr val="bg1"/>
              </a:solidFill>
              <a:effectLst/>
              <a:latin typeface="+mn-lt"/>
              <a:ea typeface="Times New Roman" panose="02020603050405020304" pitchFamily="18" charset="0"/>
              <a:cs typeface="Times New Roman" panose="02020603050405020304" pitchFamily="18" charset="0"/>
            </a:rPr>
            <a:t>A Silence on Racism and Racial Bias</a:t>
          </a:r>
          <a:br>
            <a:rPr lang="en-GB" sz="800" b="1" kern="100" dirty="0">
              <a:solidFill>
                <a:schemeClr val="bg1"/>
              </a:solidFill>
              <a:effectLst/>
              <a:latin typeface="+mn-lt"/>
              <a:ea typeface="Times New Roman" panose="02020603050405020304" pitchFamily="18" charset="0"/>
              <a:cs typeface="Times New Roman" panose="02020603050405020304" pitchFamily="18" charset="0"/>
            </a:rPr>
          </a:br>
          <a:r>
            <a:rPr lang="en-GB" sz="800" kern="100" dirty="0">
              <a:solidFill>
                <a:schemeClr val="bg1"/>
              </a:solidFill>
              <a:latin typeface="+mn-lt"/>
              <a:ea typeface="Aptos" panose="020B0004020202020204" pitchFamily="34" charset="0"/>
              <a:cs typeface="Times New Roman" panose="02020603050405020304" pitchFamily="18" charset="0"/>
            </a:rPr>
            <a:t>T</a:t>
          </a:r>
          <a:r>
            <a:rPr lang="en-GB" sz="800" kern="100" dirty="0">
              <a:solidFill>
                <a:schemeClr val="bg1"/>
              </a:solidFill>
              <a:effectLst/>
              <a:latin typeface="+mn-lt"/>
              <a:ea typeface="Aptos" panose="020B0004020202020204" pitchFamily="34" charset="0"/>
              <a:cs typeface="Times New Roman" panose="02020603050405020304" pitchFamily="18" charset="0"/>
            </a:rPr>
            <a:t>he report identifies a notable silence on racism and racial bias in practice and reviews. There is a need for practitioners to recognize and name racism when it occurs.</a:t>
          </a:r>
        </a:p>
      </dsp:txBody>
      <dsp:txXfrm>
        <a:off x="1217765" y="837994"/>
        <a:ext cx="1259692" cy="1205707"/>
      </dsp:txXfrm>
    </dsp:sp>
  </dsp:spTree>
</dsp:drawing>
</file>

<file path=word/diagrams/layout1.xml><?xml version="1.0" encoding="utf-8"?>
<dgm:layoutDef xmlns:dgm="http://schemas.openxmlformats.org/drawingml/2006/diagram" xmlns:a="http://schemas.openxmlformats.org/drawingml/2006/main" uniqueId="urn:microsoft.com/office/officeart/2005/8/layout/radial6">
  <dgm:title val=""/>
  <dgm:desc val=""/>
  <dgm:catLst>
    <dgm:cat type="cycle" pri="9000"/>
    <dgm:cat type="relationship" pri="2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choose name="Name3">
          <dgm:if name="Name4" axis="ch ch" ptType="node node" st="1 1" cnt="1 0" func="cnt" op="lte" val="1">
            <dgm:alg type="cycle">
              <dgm:param type="stAng" val="90"/>
              <dgm:param type="spanAng" val="360"/>
              <dgm:param type="ctrShpMap" val="fNode"/>
            </dgm:alg>
          </dgm:if>
          <dgm:else name="Name5">
            <dgm:alg type="cycle">
              <dgm:param type="stAng" val="0"/>
              <dgm:param type="spanAng" val="360"/>
              <dgm:param type="ctrShpMap" val="fNode"/>
            </dgm:alg>
          </dgm:else>
        </dgm:choose>
      </dgm:if>
      <dgm:else name="Name6">
        <dgm:choose name="Name7">
          <dgm:if name="Name8" axis="ch ch" ptType="node node" st="1 1" cnt="1 0" func="cnt" op="lte" val="1">
            <dgm:alg type="cycle">
              <dgm:param type="stAng" val="-90"/>
              <dgm:param type="spanAng" val="360"/>
              <dgm:param type="ctrShpMap" val="fNode"/>
            </dgm:alg>
          </dgm:if>
          <dgm:else name="Name9">
            <dgm:alg type="cycle">
              <dgm:param type="stAng" val="0"/>
              <dgm:param type="spanAng" val="-360"/>
              <dgm:param type="ctrShpMap" val="fNode"/>
            </dgm:alg>
          </dgm:else>
        </dgm:choose>
      </dgm:else>
    </dgm:choose>
    <dgm:shape xmlns:r="http://schemas.openxmlformats.org/officeDocument/2006/relationships" r:blip="">
      <dgm:adjLst/>
    </dgm:shape>
    <dgm:presOf/>
    <dgm:choose name="Name10">
      <dgm:if name="Name11" func="var" arg="dir" op="equ" val="norm">
        <dgm:choose name="Name12">
          <dgm:if name="Name13"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des" forName="oneNode" refType="primFontSz" refFor="ch" refForName="centerShape" op="lte" fact="0.95"/>
              <dgm:constr type="diam" for="ch" forName="singleconn" refType="diam" op="equ" fact="-1"/>
              <dgm:constr type="h" for="ch" forName="singleconn" refType="w" refFor="ch" refForName="oneComp" fact="0.24"/>
              <dgm:constr type="w" for="ch" forName="dummya" refType="w" refFor="ch" refForName="oneComp" op="equ"/>
              <dgm:constr type="w" for="ch" forName="dummyb" refType="w" refFor="ch" refForName="oneComp" op="equ"/>
              <dgm:constr type="w" for="ch" forName="dummyc" refType="w" refFor="ch" refForName="oneComp" op="equ"/>
            </dgm:constrLst>
          </dgm:if>
          <dgm:else name="Name14">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forName="sibTrans" refType="diam" op="equ"/>
              <dgm:constr type="h" for="ch" forName="sibTrans" refType="w" refFor="ch" refForName="node" fact="0.24"/>
              <dgm:constr type="w" for="ch" forName="dummy" val="1"/>
            </dgm:constrLst>
          </dgm:else>
        </dgm:choose>
      </dgm:if>
      <dgm:else name="Name15">
        <dgm:choose name="Name16">
          <dgm:if name="Name17"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ch" forName="oneNode" refType="primFontSz" refFor="ch" refForName="centerShape" op="lte" fact="0.95"/>
              <dgm:constr type="diam" for="ch" forName="singleconn" refType="diam"/>
              <dgm:constr type="h" for="ch" forName="singleconn" refType="w" refFor="ch" refForName="oneComp" fact="0.24"/>
              <dgm:constr type="diam" for="ch" refType="diam" op="equ"/>
              <dgm:constr type="w" for="ch" forName="dummya" refType="w" refFor="ch" refForName="oneComp" op="equ"/>
              <dgm:constr type="w" for="ch" forName="dummyb" refType="w" refFor="ch" refForName="oneComp" op="equ"/>
              <dgm:constr type="w" for="ch" forName="dummyc" refType="w" refFor="ch" refForName="oneComp" op="equ"/>
            </dgm:constrLst>
          </dgm:if>
          <dgm:else name="Name18">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ptType="sibTrans" refType="diam" fact="-1"/>
              <dgm:constr type="h" for="ch" forName="sibTrans" refType="w" refFor="ch" refForName="node" fact="0.24"/>
              <dgm:constr type="diam" for="ch" refType="diam" op="equ" fact="-1"/>
              <dgm:constr type="w" for="ch" forName="dummy" val="1"/>
            </dgm:constrLst>
          </dgm:else>
        </dgm:choose>
      </dgm:else>
    </dgm:choose>
    <dgm:ruleLst>
      <dgm:rule type="diam" val="INF" fact="NaN" max="NaN"/>
    </dgm:ruleLst>
    <dgm:forEach name="Name19"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20" axis="ch">
        <dgm:forEach name="Name21" axis="self" ptType="node">
          <dgm:choose name="Name22">
            <dgm:if name="Name23" axis="par ch" ptType="node node" func="cnt" op="gt" val="1">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name="dummy">
                <dgm:alg type="sp"/>
                <dgm:shape xmlns:r="http://schemas.openxmlformats.org/officeDocument/2006/relationships" r:blip="">
                  <dgm:adjLst/>
                </dgm:shape>
                <dgm:presOf/>
                <dgm:constrLst>
                  <dgm:constr type="h" refType="w"/>
                </dgm:constrLst>
                <dgm:ruleLst/>
              </dgm:layoutNode>
              <dgm:forEach name="sibTransForEach" axis="followSib" ptType="sibTrans" hideLastTrans="0" cnt="1">
                <dgm:layoutNode name="sibTrans" styleLbl="sibTrans2D1">
                  <dgm:alg type="conn">
                    <dgm:param type="connRout" val="curve"/>
                    <dgm:param type="begPts" val="ctr"/>
                    <dgm:param type="endPts" val="ctr"/>
                    <dgm:param type="begSty" val="noArr"/>
                    <dgm:param type="endSty" val="noArr"/>
                    <dgm:param type="dstNode" val="node"/>
                  </dgm:alg>
                  <dgm:shape xmlns:r="http://schemas.openxmlformats.org/officeDocument/2006/relationships" type="conn" r:blip="" zOrderOff="-999">
                    <dgm:adjLst/>
                  </dgm:shape>
                  <dgm:presOf axis="self"/>
                  <dgm:constrLst>
                    <dgm:constr type="begPad"/>
                    <dgm:constr type="endPad"/>
                  </dgm:constrLst>
                  <dgm:ruleLst/>
                </dgm:layoutNode>
              </dgm:forEach>
            </dgm:if>
            <dgm:if name="Name24" axis="par ch" ptType="node node" func="cnt" op="equ" val="1">
              <dgm:layoutNode name="oneComp">
                <dgm:alg type="composite">
                  <dgm:param type="ar" val="1"/>
                </dgm:alg>
                <dgm:shape xmlns:r="http://schemas.openxmlformats.org/officeDocument/2006/relationships" r:blip="">
                  <dgm:adjLst/>
                </dgm:shape>
                <dgm:presOf/>
                <dgm:constrLst>
                  <dgm:constr type="h" refType="w"/>
                  <dgm:constr type="l" for="ch" forName="dummyConnPt" refType="w" fact="0.5"/>
                  <dgm:constr type="t" for="ch" forName="dummyConnPt" refType="w" fact="0.5"/>
                  <dgm:constr type="l" for="ch" forName="oneNode"/>
                  <dgm:constr type="t" for="ch" forName="oneNode"/>
                  <dgm:constr type="h" for="ch" forName="oneNode" refType="h"/>
                  <dgm:constr type="w" for="ch" forName="oneNode" refType="w"/>
                </dgm:constrLst>
                <dgm:ruleLst/>
                <dgm:layoutNode name="dummyConnPt" styleLbl="node1">
                  <dgm:alg type="sp"/>
                  <dgm:shape xmlns:r="http://schemas.openxmlformats.org/officeDocument/2006/relationships" r:blip="">
                    <dgm:adjLst/>
                  </dgm:shape>
                  <dgm:presOf/>
                  <dgm:constrLst>
                    <dgm:constr type="w" val="1"/>
                    <dgm:constr type="h" val="1"/>
                  </dgm:constrLst>
                  <dgm:ruleLst/>
                </dgm:layoutNode>
                <dgm:layoutNode name="on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dgm:layoutNode name="dummya">
                <dgm:alg type="sp"/>
                <dgm:shape xmlns:r="http://schemas.openxmlformats.org/officeDocument/2006/relationships" r:blip="">
                  <dgm:adjLst/>
                </dgm:shape>
                <dgm:presOf/>
                <dgm:constrLst>
                  <dgm:constr type="h" refType="w"/>
                </dgm:constrLst>
                <dgm:ruleLst/>
              </dgm:layoutNode>
              <dgm:layoutNode name="dummyb">
                <dgm:alg type="sp"/>
                <dgm:shape xmlns:r="http://schemas.openxmlformats.org/officeDocument/2006/relationships" r:blip="">
                  <dgm:adjLst/>
                </dgm:shape>
                <dgm:presOf/>
                <dgm:constrLst>
                  <dgm:constr type="h" refType="w"/>
                </dgm:constrLst>
                <dgm:ruleLst/>
              </dgm:layoutNode>
              <dgm:layoutNode name="dummyc">
                <dgm:alg type="sp"/>
                <dgm:shape xmlns:r="http://schemas.openxmlformats.org/officeDocument/2006/relationships" r:blip="">
                  <dgm:adjLst/>
                </dgm:shape>
                <dgm:presOf/>
                <dgm:constrLst>
                  <dgm:constr type="h" refType="w"/>
                </dgm:constrLst>
                <dgm:ruleLst/>
              </dgm:layoutNode>
              <dgm:forEach name="sibTransForEach1" axis="followSib" ptType="sibTrans" hideLastTrans="0" cnt="1">
                <dgm:layoutNode name="singleconn" styleLbl="sibTrans2D1">
                  <dgm:alg type="conn">
                    <dgm:param type="connRout" val="longCurve"/>
                    <dgm:param type="begPts" val="bCtr"/>
                    <dgm:param type="endPts" val="tCtr"/>
                    <dgm:param type="begSty" val="noArr"/>
                    <dgm:param type="endSty" val="noArr"/>
                    <dgm:param type="srcNode" val="dummyConnPt"/>
                    <dgm:param type="dstNode" val="dummyConnPt"/>
                  </dgm:alg>
                  <dgm:shape xmlns:r="http://schemas.openxmlformats.org/officeDocument/2006/relationships" type="conn" r:blip="" zOrderOff="-999">
                    <dgm:adjLst/>
                  </dgm:shape>
                  <dgm:presOf axis="self"/>
                  <dgm:constrLst>
                    <dgm:constr type="begPad"/>
                    <dgm:constr type="endPad"/>
                  </dgm:constrLst>
                  <dgm:ruleLst/>
                </dgm:layoutNode>
              </dgm:forEach>
            </dgm:if>
            <dgm:else name="Name25"/>
          </dgm:choose>
        </dgm:forEach>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F3A0EC4D664D4EBECF7F056969E554" ma:contentTypeVersion="15" ma:contentTypeDescription="Create a new document." ma:contentTypeScope="" ma:versionID="aedbec33864b3165d4b94c92e64341de">
  <xsd:schema xmlns:xsd="http://www.w3.org/2001/XMLSchema" xmlns:xs="http://www.w3.org/2001/XMLSchema" xmlns:p="http://schemas.microsoft.com/office/2006/metadata/properties" xmlns:ns2="4d536ccb-b14a-4ea0-b1e3-f942d5f494ca" xmlns:ns3="b06d2475-e2f5-484a-b382-727b8dafea61" xmlns:ns4="3c38619e-0fba-4b47-ac3c-19f3b86b5261" targetNamespace="http://schemas.microsoft.com/office/2006/metadata/properties" ma:root="true" ma:fieldsID="3becd44864144465163be34cc7c7258f" ns2:_="" ns3:_="" ns4:_="">
    <xsd:import namespace="4d536ccb-b14a-4ea0-b1e3-f942d5f494ca"/>
    <xsd:import namespace="b06d2475-e2f5-484a-b382-727b8dafea61"/>
    <xsd:import namespace="3c38619e-0fba-4b47-ac3c-19f3b86b526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lcf76f155ced4ddcb4097134ff3c332f" minOccurs="0"/>
                <xsd:element ref="ns4:TaxCatchAll"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536ccb-b14a-4ea0-b1e3-f942d5f494c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06d2475-e2f5-484a-b382-727b8dafea6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2bf2b975-0034-4da6-bed2-ddb9f49c066c"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38619e-0fba-4b47-ac3c-19f3b86b5261"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f31d84bd-9300-4566-87b1-f5964af44305}" ma:internalName="TaxCatchAll" ma:showField="CatchAllData" ma:web="3c38619e-0fba-4b47-ac3c-19f3b86b526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06d2475-e2f5-484a-b382-727b8dafea61">
      <Terms xmlns="http://schemas.microsoft.com/office/infopath/2007/PartnerControls"/>
    </lcf76f155ced4ddcb4097134ff3c332f>
    <TaxCatchAll xmlns="3c38619e-0fba-4b47-ac3c-19f3b86b5261" xsi:nil="true"/>
  </documentManagement>
</p:properties>
</file>

<file path=customXml/itemProps1.xml><?xml version="1.0" encoding="utf-8"?>
<ds:datastoreItem xmlns:ds="http://schemas.openxmlformats.org/officeDocument/2006/customXml" ds:itemID="{4FBD3105-908F-41A5-8362-72A49C69989A}"/>
</file>

<file path=customXml/itemProps2.xml><?xml version="1.0" encoding="utf-8"?>
<ds:datastoreItem xmlns:ds="http://schemas.openxmlformats.org/officeDocument/2006/customXml" ds:itemID="{4BBAD58F-CE9B-4483-A0E2-57A04EF11732}"/>
</file>

<file path=customXml/itemProps3.xml><?xml version="1.0" encoding="utf-8"?>
<ds:datastoreItem xmlns:ds="http://schemas.openxmlformats.org/officeDocument/2006/customXml" ds:itemID="{C3262371-CDD2-44C3-864B-485B15B30FAF}"/>
</file>

<file path=docProps/app.xml><?xml version="1.0" encoding="utf-8"?>
<Properties xmlns="http://schemas.openxmlformats.org/officeDocument/2006/extended-properties" xmlns:vt="http://schemas.openxmlformats.org/officeDocument/2006/docPropsVTypes">
  <Template>Normal</Template>
  <TotalTime>41</TotalTime>
  <Pages>1</Pages>
  <Words>169</Words>
  <Characters>964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Soutter, Kate</dc:creator>
  <cp:keywords/>
  <dc:description/>
  <cp:lastModifiedBy>Soutter, Kate</cp:lastModifiedBy>
  <cp:revision>1</cp:revision>
  <dcterms:created xsi:type="dcterms:W3CDTF">2025-03-14T12:53:00Z</dcterms:created>
  <dcterms:modified xsi:type="dcterms:W3CDTF">2025-03-14T13:46:00Z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586189e3,32f8b63e,12b147f7</vt:lpwstr>
  </property>
  <property fmtid="{D5CDD505-2E9C-101B-9397-08002B2CF9AE}" pid="3" name="ClassificationContentMarkingHeaderFontProps">
    <vt:lpwstr>#0000ff,12,Calibri</vt:lpwstr>
  </property>
  <property fmtid="{D5CDD505-2E9C-101B-9397-08002B2CF9AE}" pid="4" name="ClassificationContentMarkingHeaderText">
    <vt:lpwstr>- Official -</vt:lpwstr>
  </property>
  <property fmtid="{D5CDD505-2E9C-101B-9397-08002B2CF9AE}" pid="5" name="MSIP_Label_e83f8a96-e51b-4334-92a5-11244a58d044_Enabled">
    <vt:lpwstr>true</vt:lpwstr>
  </property>
  <property fmtid="{D5CDD505-2E9C-101B-9397-08002B2CF9AE}" pid="6" name="MSIP_Label_e83f8a96-e51b-4334-92a5-11244a58d044_SetDate">
    <vt:lpwstr>2025-03-14T13:46:13Z</vt:lpwstr>
  </property>
  <property fmtid="{D5CDD505-2E9C-101B-9397-08002B2CF9AE}" pid="7" name="MSIP_Label_e83f8a96-e51b-4334-92a5-11244a58d044_Method">
    <vt:lpwstr>Privileged</vt:lpwstr>
  </property>
  <property fmtid="{D5CDD505-2E9C-101B-9397-08002B2CF9AE}" pid="8" name="MSIP_Label_e83f8a96-e51b-4334-92a5-11244a58d044_Name">
    <vt:lpwstr>Official</vt:lpwstr>
  </property>
  <property fmtid="{D5CDD505-2E9C-101B-9397-08002B2CF9AE}" pid="9" name="MSIP_Label_e83f8a96-e51b-4334-92a5-11244a58d044_SiteId">
    <vt:lpwstr>d6674c51-daa4-4142-8047-15a78bbe9306</vt:lpwstr>
  </property>
  <property fmtid="{D5CDD505-2E9C-101B-9397-08002B2CF9AE}" pid="10" name="MSIP_Label_e83f8a96-e51b-4334-92a5-11244a58d044_ActionId">
    <vt:lpwstr>a3f10199-390a-49ce-ba5f-1cdb28cb8d2d</vt:lpwstr>
  </property>
  <property fmtid="{D5CDD505-2E9C-101B-9397-08002B2CF9AE}" pid="11" name="MSIP_Label_e83f8a96-e51b-4334-92a5-11244a58d044_ContentBits">
    <vt:lpwstr>1</vt:lpwstr>
  </property>
  <property fmtid="{D5CDD505-2E9C-101B-9397-08002B2CF9AE}" pid="12" name="MSIP_Label_e83f8a96-e51b-4334-92a5-11244a58d044_Tag">
    <vt:lpwstr>10, 0, 1, 1</vt:lpwstr>
  </property>
  <property fmtid="{D5CDD505-2E9C-101B-9397-08002B2CF9AE}" pid="13" name="ContentTypeId">
    <vt:lpwstr>0x010100DDF3A0EC4D664D4EBECF7F056969E554</vt:lpwstr>
  </property>
</Properties>
</file>