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EFF7FF"/>
  <w:body>
    <w:p w14:paraId="12161CC0" w14:textId="77777777" w:rsidR="0071688A" w:rsidRDefault="0071688A" w:rsidP="0071688A">
      <w:pPr>
        <w:spacing w:line="276" w:lineRule="auto"/>
        <w:jc w:val="center"/>
        <w:rPr>
          <w:b/>
          <w:color w:val="4C94D8" w:themeColor="text2" w:themeTint="80"/>
          <w:spacing w:val="10"/>
          <w:sz w:val="32"/>
          <w:szCs w:val="32"/>
          <w14:shadow w14:blurRad="63500" w14:dist="50800" w14:dir="13500000" w14:sx="0" w14:sy="0" w14:kx="0" w14:ky="0" w14:algn="none">
            <w14:srgbClr w14:val="000000">
              <w14:alpha w14:val="50000"/>
            </w14:srgbClr>
          </w14:shadow>
          <w14:textOutline w14:w="0" w14:cap="flat" w14:cmpd="sng" w14:algn="ctr">
            <w14:noFill/>
            <w14:prstDash w14:val="solid"/>
            <w14:round/>
          </w14:textOutline>
        </w:rPr>
      </w:pPr>
    </w:p>
    <w:p w14:paraId="2B981E3F" w14:textId="45F2E3B3" w:rsidR="00A90EAB" w:rsidRDefault="00A90EAB" w:rsidP="0071688A">
      <w:pPr>
        <w:spacing w:line="276" w:lineRule="auto"/>
        <w:jc w:val="center"/>
        <w:rPr>
          <w:b/>
          <w:color w:val="4C94D8" w:themeColor="text2" w:themeTint="80"/>
          <w:spacing w:val="10"/>
          <w:sz w:val="32"/>
          <w:szCs w:val="32"/>
          <w14:shadow w14:blurRad="63500" w14:dist="50800" w14:dir="13500000" w14:sx="0" w14:sy="0" w14:kx="0" w14:ky="0" w14:algn="none">
            <w14:srgbClr w14:val="000000">
              <w14:alpha w14:val="50000"/>
            </w14:srgbClr>
          </w14:shadow>
          <w14:textOutline w14:w="0" w14:cap="flat" w14:cmpd="sng" w14:algn="ctr">
            <w14:noFill/>
            <w14:prstDash w14:val="solid"/>
            <w14:round/>
          </w14:textOutline>
        </w:rPr>
      </w:pPr>
      <w:r>
        <w:rPr>
          <w:b/>
          <w:color w:val="4C94D8" w:themeColor="text2" w:themeTint="80"/>
          <w:spacing w:val="10"/>
          <w:sz w:val="32"/>
          <w:szCs w:val="32"/>
          <w14:shadow w14:blurRad="63500" w14:dist="50800" w14:dir="13500000" w14:sx="0" w14:sy="0" w14:kx="0" w14:ky="0" w14:algn="none">
            <w14:srgbClr w14:val="000000">
              <w14:alpha w14:val="50000"/>
            </w14:srgbClr>
          </w14:shadow>
          <w14:textOutline w14:w="0" w14:cap="flat" w14:cmpd="sng" w14:algn="ctr">
            <w14:noFill/>
            <w14:prstDash w14:val="solid"/>
            <w14:round/>
          </w14:textOutline>
        </w:rPr>
        <w:t>Learning brief - for all practitioners working with Children and Families</w:t>
      </w:r>
    </w:p>
    <w:p w14:paraId="34F78BFC" w14:textId="1974A985" w:rsidR="00BA00C8" w:rsidRPr="00A43440" w:rsidRDefault="00BA00C8" w:rsidP="0071688A">
      <w:pPr>
        <w:spacing w:line="276" w:lineRule="auto"/>
        <w:jc w:val="center"/>
        <w:rPr>
          <w:b/>
          <w:color w:val="4C94D8" w:themeColor="text2" w:themeTint="80"/>
          <w:spacing w:val="10"/>
          <w:sz w:val="32"/>
          <w:szCs w:val="32"/>
          <w14:shadow w14:blurRad="63500" w14:dist="50800" w14:dir="13500000" w14:sx="0" w14:sy="0" w14:kx="0" w14:ky="0" w14:algn="none">
            <w14:srgbClr w14:val="000000">
              <w14:alpha w14:val="50000"/>
            </w14:srgbClr>
          </w14:shadow>
          <w14:textOutline w14:w="0" w14:cap="flat" w14:cmpd="sng" w14:algn="ctr">
            <w14:noFill/>
            <w14:prstDash w14:val="solid"/>
            <w14:round/>
          </w14:textOutline>
        </w:rPr>
      </w:pPr>
      <w:r w:rsidRPr="00A43440">
        <w:rPr>
          <w:b/>
          <w:color w:val="4C94D8" w:themeColor="text2" w:themeTint="80"/>
          <w:spacing w:val="10"/>
          <w:sz w:val="32"/>
          <w:szCs w:val="32"/>
          <w14:shadow w14:blurRad="63500" w14:dist="50800" w14:dir="13500000" w14:sx="0" w14:sy="0" w14:kx="0" w14:ky="0" w14:algn="none">
            <w14:srgbClr w14:val="000000">
              <w14:alpha w14:val="50000"/>
            </w14:srgbClr>
          </w14:shadow>
          <w14:textOutline w14:w="0" w14:cap="flat" w14:cmpd="sng" w14:algn="ctr">
            <w14:noFill/>
            <w14:prstDash w14:val="solid"/>
            <w14:round/>
          </w14:textOutline>
        </w:rPr>
        <w:t>Temporary accommodation - what do we need to consider when we are supporting families?</w:t>
      </w:r>
    </w:p>
    <w:p w14:paraId="001DC4B1" w14:textId="224ED12D" w:rsidR="00BA00C8" w:rsidRDefault="00BA00C8" w:rsidP="0071688A">
      <w:pPr>
        <w:spacing w:line="276" w:lineRule="auto"/>
        <w:rPr>
          <w:sz w:val="22"/>
          <w:szCs w:val="22"/>
        </w:rPr>
      </w:pPr>
      <w:r w:rsidRPr="00A43440">
        <w:rPr>
          <w:sz w:val="22"/>
          <w:szCs w:val="22"/>
        </w:rPr>
        <w:t xml:space="preserve">In January, a report was published that reflected the findings of the reviews of deaths of children in England from 2019-2024. The reviews have highlighted the high number of children who have died whilst living in temporary accommodation. </w:t>
      </w:r>
      <w:r w:rsidRPr="00A43440">
        <w:rPr>
          <w:sz w:val="22"/>
          <w:szCs w:val="22"/>
        </w:rPr>
        <w:t>Of the 3,605 child deaths in England, between 1st October 2023 and 30th September 2024, 80 have died while living in temporary accommodation</w:t>
      </w:r>
      <w:r w:rsidRPr="00A43440">
        <w:rPr>
          <w:sz w:val="22"/>
          <w:szCs w:val="22"/>
        </w:rPr>
        <w:t xml:space="preserve">, </w:t>
      </w:r>
      <w:r w:rsidRPr="00A43440">
        <w:rPr>
          <w:sz w:val="22"/>
          <w:szCs w:val="22"/>
        </w:rPr>
        <w:t>accounting for 3% of the total number of child deaths during this period.</w:t>
      </w:r>
    </w:p>
    <w:p w14:paraId="4C8DE685" w14:textId="6FE91C06" w:rsidR="0071688A" w:rsidRPr="0071688A" w:rsidRDefault="0071688A" w:rsidP="0071688A">
      <w:pPr>
        <w:pBdr>
          <w:top w:val="triple" w:sz="4" w:space="1" w:color="auto"/>
          <w:left w:val="triple" w:sz="4" w:space="4" w:color="auto"/>
          <w:bottom w:val="triple" w:sz="4" w:space="1" w:color="auto"/>
          <w:right w:val="triple" w:sz="4" w:space="4" w:color="auto"/>
        </w:pBdr>
        <w:spacing w:line="276" w:lineRule="auto"/>
        <w:jc w:val="center"/>
        <w:rPr>
          <w:b/>
          <w:bCs/>
          <w:sz w:val="22"/>
          <w:szCs w:val="22"/>
        </w:rPr>
      </w:pPr>
      <w:r w:rsidRPr="0071688A">
        <w:rPr>
          <w:b/>
          <w:bCs/>
          <w:sz w:val="22"/>
          <w:szCs w:val="22"/>
        </w:rPr>
        <w:t xml:space="preserve">In a </w:t>
      </w:r>
      <w:proofErr w:type="gramStart"/>
      <w:r w:rsidRPr="0071688A">
        <w:rPr>
          <w:b/>
          <w:bCs/>
          <w:sz w:val="22"/>
          <w:szCs w:val="22"/>
        </w:rPr>
        <w:t>one year</w:t>
      </w:r>
      <w:proofErr w:type="gramEnd"/>
      <w:r w:rsidRPr="0071688A">
        <w:rPr>
          <w:b/>
          <w:bCs/>
          <w:sz w:val="22"/>
          <w:szCs w:val="22"/>
        </w:rPr>
        <w:t xml:space="preserve"> period - 3,605 children died in England - 80 of those children lived in temporary accommodation</w:t>
      </w:r>
    </w:p>
    <w:p w14:paraId="2E185408" w14:textId="38FFCBE2" w:rsidR="00497F46" w:rsidRDefault="00BA00C8" w:rsidP="0071688A">
      <w:pPr>
        <w:spacing w:line="276" w:lineRule="auto"/>
        <w:rPr>
          <w:sz w:val="22"/>
          <w:szCs w:val="22"/>
        </w:rPr>
      </w:pPr>
      <w:r w:rsidRPr="00A43440">
        <w:rPr>
          <w:sz w:val="22"/>
          <w:szCs w:val="22"/>
        </w:rPr>
        <w:t>Further to this, when children's deaths have been reviews at Child Death Overview Panels (CDOP), be</w:t>
      </w:r>
      <w:r w:rsidRPr="00A43440">
        <w:rPr>
          <w:sz w:val="22"/>
          <w:szCs w:val="22"/>
        </w:rPr>
        <w:t>tween 1st April 2019 to 31st March 2024, 74 children have died with temporary accommodation as a contributing factor to their vulnerability, ill-health, or death. Of these 74 children, 58 were under the age of 1.</w:t>
      </w:r>
    </w:p>
    <w:p w14:paraId="7EBC1011" w14:textId="0F51889F" w:rsidR="0071688A" w:rsidRPr="0071688A" w:rsidRDefault="0071688A" w:rsidP="0071688A">
      <w:pPr>
        <w:pBdr>
          <w:top w:val="triple" w:sz="4" w:space="1" w:color="auto"/>
          <w:left w:val="triple" w:sz="4" w:space="4" w:color="auto"/>
          <w:bottom w:val="triple" w:sz="4" w:space="1" w:color="auto"/>
          <w:right w:val="triple" w:sz="4" w:space="4" w:color="auto"/>
        </w:pBdr>
        <w:spacing w:line="276" w:lineRule="auto"/>
        <w:jc w:val="center"/>
        <w:rPr>
          <w:b/>
          <w:bCs/>
          <w:sz w:val="22"/>
          <w:szCs w:val="22"/>
        </w:rPr>
      </w:pPr>
      <w:r w:rsidRPr="0071688A">
        <w:rPr>
          <w:b/>
          <w:bCs/>
          <w:sz w:val="22"/>
          <w:szCs w:val="22"/>
        </w:rPr>
        <w:t>Between 2019 and 2024 - reviews of children's death have identified that for 74 children - temporary housing was a contributing factor in their death. 58 of these children were under the age of 1</w:t>
      </w:r>
    </w:p>
    <w:p w14:paraId="0C6F0C24" w14:textId="32EB9221" w:rsidR="00497F46" w:rsidRPr="00A43440" w:rsidRDefault="00497F46" w:rsidP="0071688A">
      <w:pPr>
        <w:spacing w:line="276" w:lineRule="auto"/>
        <w:rPr>
          <w:sz w:val="22"/>
          <w:szCs w:val="22"/>
        </w:rPr>
      </w:pPr>
      <w:r w:rsidRPr="00A43440">
        <w:rPr>
          <w:sz w:val="22"/>
          <w:szCs w:val="22"/>
        </w:rPr>
        <w:t xml:space="preserve">See full report </w:t>
      </w:r>
      <w:hyperlink r:id="rId7" w:history="1">
        <w:r w:rsidRPr="00A43440">
          <w:rPr>
            <w:rStyle w:val="Hyperlink"/>
            <w:sz w:val="22"/>
            <w:szCs w:val="22"/>
          </w:rPr>
          <w:t>Child Deaths in Temporary Accommodation</w:t>
        </w:r>
      </w:hyperlink>
    </w:p>
    <w:p w14:paraId="0B574E19" w14:textId="6691EFA3" w:rsidR="00497F46" w:rsidRPr="00A43440" w:rsidRDefault="00497F46" w:rsidP="0071688A">
      <w:pPr>
        <w:spacing w:line="276" w:lineRule="auto"/>
        <w:rPr>
          <w:sz w:val="22"/>
          <w:szCs w:val="22"/>
        </w:rPr>
      </w:pPr>
      <w:r w:rsidRPr="00A43440">
        <w:rPr>
          <w:sz w:val="22"/>
          <w:szCs w:val="22"/>
        </w:rPr>
        <w:t>An increasing reliance on unsuitable temporary accommodation and the chaos of homelessness and poverty are significant contributing factors towards an increased vulnerability to mortality. Child deaths are more likely to occur when homelessness is combined with environmental influences including overcrowding, mould and a lack of safer sleep options, for instance, cots and Moses baskets.</w:t>
      </w:r>
    </w:p>
    <w:p w14:paraId="1C189D93" w14:textId="18E9FF6A" w:rsidR="00497F46" w:rsidRPr="00A43440" w:rsidRDefault="00497F46" w:rsidP="0071688A">
      <w:pPr>
        <w:spacing w:line="276" w:lineRule="auto"/>
        <w:rPr>
          <w:sz w:val="22"/>
          <w:szCs w:val="22"/>
        </w:rPr>
      </w:pPr>
      <w:r w:rsidRPr="00A43440">
        <w:rPr>
          <w:sz w:val="22"/>
          <w:szCs w:val="22"/>
        </w:rPr>
        <w:t>There is a disproportionate number of children from deprived areas represented in the figures, with 72% of deaths affecting families living in the 1st and 2nd deprivation quintiles. Children from the BAME community are disproportionately represented in the data, with 38% of deaths coming from within non-white families, despite making up only 27% of the population.</w:t>
      </w:r>
    </w:p>
    <w:p w14:paraId="0F4DF861" w14:textId="77777777" w:rsidR="0071688A" w:rsidRDefault="0071688A" w:rsidP="0071688A">
      <w:pPr>
        <w:spacing w:line="276" w:lineRule="auto"/>
        <w:rPr>
          <w:sz w:val="22"/>
          <w:szCs w:val="22"/>
        </w:rPr>
      </w:pPr>
    </w:p>
    <w:p w14:paraId="1D1C2CF2" w14:textId="77777777" w:rsidR="0071688A" w:rsidRDefault="0071688A" w:rsidP="0071688A">
      <w:pPr>
        <w:spacing w:line="276" w:lineRule="auto"/>
        <w:rPr>
          <w:sz w:val="22"/>
          <w:szCs w:val="22"/>
        </w:rPr>
      </w:pPr>
    </w:p>
    <w:p w14:paraId="3E4C3C6E" w14:textId="77777777" w:rsidR="0071688A" w:rsidRDefault="0071688A" w:rsidP="0071688A">
      <w:pPr>
        <w:spacing w:line="276" w:lineRule="auto"/>
        <w:rPr>
          <w:sz w:val="22"/>
          <w:szCs w:val="22"/>
        </w:rPr>
      </w:pPr>
    </w:p>
    <w:p w14:paraId="432BA314" w14:textId="77777777" w:rsidR="0071688A" w:rsidRDefault="0071688A" w:rsidP="0071688A">
      <w:pPr>
        <w:spacing w:line="276" w:lineRule="auto"/>
        <w:rPr>
          <w:sz w:val="22"/>
          <w:szCs w:val="22"/>
        </w:rPr>
      </w:pPr>
    </w:p>
    <w:p w14:paraId="5CBC60CE" w14:textId="77777777" w:rsidR="0071688A" w:rsidRDefault="0071688A" w:rsidP="0071688A">
      <w:pPr>
        <w:spacing w:line="276" w:lineRule="auto"/>
        <w:rPr>
          <w:sz w:val="22"/>
          <w:szCs w:val="22"/>
        </w:rPr>
      </w:pPr>
    </w:p>
    <w:p w14:paraId="7CC657FF" w14:textId="77777777" w:rsidR="0071688A" w:rsidRDefault="0071688A" w:rsidP="0071688A">
      <w:pPr>
        <w:spacing w:line="276" w:lineRule="auto"/>
        <w:rPr>
          <w:sz w:val="22"/>
          <w:szCs w:val="22"/>
        </w:rPr>
      </w:pPr>
    </w:p>
    <w:p w14:paraId="63AA4EE8" w14:textId="77777777" w:rsidR="0071688A" w:rsidRDefault="0071688A" w:rsidP="0071688A">
      <w:pPr>
        <w:spacing w:line="276" w:lineRule="auto"/>
        <w:rPr>
          <w:sz w:val="22"/>
          <w:szCs w:val="22"/>
        </w:rPr>
      </w:pPr>
    </w:p>
    <w:p w14:paraId="3BFC70FA" w14:textId="77777777" w:rsidR="0071688A" w:rsidRDefault="0071688A" w:rsidP="0071688A">
      <w:pPr>
        <w:spacing w:line="276" w:lineRule="auto"/>
        <w:rPr>
          <w:sz w:val="22"/>
          <w:szCs w:val="22"/>
        </w:rPr>
      </w:pPr>
    </w:p>
    <w:p w14:paraId="25D6706C" w14:textId="77777777" w:rsidR="0071688A" w:rsidRDefault="0071688A" w:rsidP="0071688A">
      <w:pPr>
        <w:spacing w:line="276" w:lineRule="auto"/>
        <w:rPr>
          <w:sz w:val="22"/>
          <w:szCs w:val="22"/>
        </w:rPr>
      </w:pPr>
    </w:p>
    <w:p w14:paraId="66B2DAF2" w14:textId="700297C5" w:rsidR="00A90EAB" w:rsidRPr="003A79BD" w:rsidRDefault="00A6263E" w:rsidP="0071688A">
      <w:pPr>
        <w:spacing w:line="276" w:lineRule="auto"/>
        <w:jc w:val="center"/>
        <w:rPr>
          <w:b/>
          <w:bCs/>
        </w:rPr>
      </w:pPr>
      <w:r w:rsidRPr="003A79BD">
        <w:rPr>
          <w:b/>
          <w:bCs/>
        </w:rPr>
        <w:t>When we are supporting children and families living in temporary accommodation</w:t>
      </w:r>
      <w:r w:rsidR="00A90EAB" w:rsidRPr="003A79BD">
        <w:rPr>
          <w:b/>
          <w:bCs/>
        </w:rPr>
        <w:t xml:space="preserve"> - we need to consider the wider impact and implications for our children and their experiences.</w:t>
      </w:r>
    </w:p>
    <w:p w14:paraId="6B64FCFC" w14:textId="18C26D16" w:rsidR="00A6263E" w:rsidRPr="00A90EAB" w:rsidRDefault="00A6263E" w:rsidP="0071688A">
      <w:pPr>
        <w:spacing w:line="276" w:lineRule="auto"/>
        <w:rPr>
          <w:b/>
          <w:bCs/>
          <w:sz w:val="22"/>
          <w:szCs w:val="22"/>
          <w:u w:val="single"/>
        </w:rPr>
      </w:pPr>
      <w:r w:rsidRPr="00A90EAB">
        <w:rPr>
          <w:b/>
          <w:bCs/>
          <w:sz w:val="22"/>
          <w:szCs w:val="22"/>
          <w:u w:val="single"/>
        </w:rPr>
        <w:t xml:space="preserve">Housing deprivation impacts on family health and wellbeing </w:t>
      </w:r>
      <w:r w:rsidR="003A79BD">
        <w:rPr>
          <w:b/>
          <w:bCs/>
          <w:sz w:val="22"/>
          <w:szCs w:val="22"/>
          <w:u w:val="single"/>
        </w:rPr>
        <w:br/>
      </w:r>
    </w:p>
    <w:p w14:paraId="669AF042" w14:textId="21FCF739" w:rsidR="00A6263E" w:rsidRDefault="00A6263E" w:rsidP="0071688A">
      <w:pPr>
        <w:pStyle w:val="ListParagraph"/>
        <w:numPr>
          <w:ilvl w:val="0"/>
          <w:numId w:val="1"/>
        </w:numPr>
        <w:spacing w:line="276" w:lineRule="auto"/>
        <w:rPr>
          <w:sz w:val="22"/>
          <w:szCs w:val="22"/>
        </w:rPr>
      </w:pPr>
      <w:r w:rsidRPr="00A90EAB">
        <w:rPr>
          <w:b/>
          <w:bCs/>
          <w:sz w:val="22"/>
          <w:szCs w:val="22"/>
        </w:rPr>
        <w:t>Evidence shows that inadequate housing conditions adversely affect mental health (in particular, anxiety and depression) and physical health (increasing the likelihood of accidents, infections and respiratory conditions)</w:t>
      </w:r>
      <w:r w:rsidRPr="00A90EAB">
        <w:rPr>
          <w:sz w:val="22"/>
          <w:szCs w:val="22"/>
        </w:rPr>
        <w:t xml:space="preserve"> of both adults and children, although children are at a greater risk from poor housing conditions such as mould exposure (Croft et al., 2021; Human Rights Watch, 2022). </w:t>
      </w:r>
    </w:p>
    <w:p w14:paraId="53A50D27" w14:textId="77777777" w:rsidR="0071688A" w:rsidRPr="00A90EAB" w:rsidRDefault="0071688A" w:rsidP="0071688A">
      <w:pPr>
        <w:pStyle w:val="ListParagraph"/>
        <w:spacing w:line="276" w:lineRule="auto"/>
        <w:rPr>
          <w:sz w:val="22"/>
          <w:szCs w:val="22"/>
        </w:rPr>
      </w:pPr>
    </w:p>
    <w:p w14:paraId="644D90D7" w14:textId="29EC3C0A" w:rsidR="0071688A" w:rsidRPr="003A79BD" w:rsidRDefault="00A6263E" w:rsidP="0071688A">
      <w:pPr>
        <w:pStyle w:val="ListParagraph"/>
        <w:numPr>
          <w:ilvl w:val="0"/>
          <w:numId w:val="1"/>
        </w:numPr>
        <w:spacing w:line="276" w:lineRule="auto"/>
        <w:rPr>
          <w:sz w:val="22"/>
          <w:szCs w:val="22"/>
        </w:rPr>
      </w:pPr>
      <w:r w:rsidRPr="00A90EAB">
        <w:rPr>
          <w:b/>
          <w:bCs/>
          <w:sz w:val="22"/>
          <w:szCs w:val="22"/>
        </w:rPr>
        <w:t>Poor housing impacts negatively on children’s cognitive and emotional health and development, sleep, education and (indirectly) family relationships</w:t>
      </w:r>
      <w:r w:rsidRPr="00A90EAB">
        <w:rPr>
          <w:sz w:val="22"/>
          <w:szCs w:val="22"/>
        </w:rPr>
        <w:t xml:space="preserve"> (</w:t>
      </w:r>
      <w:proofErr w:type="spellStart"/>
      <w:r w:rsidRPr="00A90EAB">
        <w:rPr>
          <w:sz w:val="22"/>
          <w:szCs w:val="22"/>
        </w:rPr>
        <w:t>Murran</w:t>
      </w:r>
      <w:proofErr w:type="spellEnd"/>
      <w:r w:rsidRPr="00A90EAB">
        <w:rPr>
          <w:sz w:val="22"/>
          <w:szCs w:val="22"/>
        </w:rPr>
        <w:t xml:space="preserve"> &amp; Brady, 2022; Cross et al., 2021; Cross, 2020; Kull et al., 2019; Bradley et al., 2018).</w:t>
      </w:r>
      <w:r w:rsidR="003A79BD">
        <w:rPr>
          <w:sz w:val="22"/>
          <w:szCs w:val="22"/>
        </w:rPr>
        <w:br/>
      </w:r>
    </w:p>
    <w:p w14:paraId="07355072" w14:textId="66C8130A" w:rsidR="00A6263E" w:rsidRPr="00A90EAB" w:rsidRDefault="00A6263E" w:rsidP="0071688A">
      <w:pPr>
        <w:pStyle w:val="ListParagraph"/>
        <w:numPr>
          <w:ilvl w:val="0"/>
          <w:numId w:val="1"/>
        </w:numPr>
        <w:spacing w:line="276" w:lineRule="auto"/>
        <w:rPr>
          <w:sz w:val="22"/>
          <w:szCs w:val="22"/>
        </w:rPr>
      </w:pPr>
      <w:r w:rsidRPr="00A90EAB">
        <w:rPr>
          <w:b/>
          <w:bCs/>
          <w:sz w:val="22"/>
          <w:szCs w:val="22"/>
        </w:rPr>
        <w:t>Families</w:t>
      </w:r>
      <w:r w:rsidRPr="00A90EAB">
        <w:rPr>
          <w:sz w:val="22"/>
          <w:szCs w:val="22"/>
        </w:rPr>
        <w:t xml:space="preserve"> </w:t>
      </w:r>
      <w:r w:rsidRPr="00A90EAB">
        <w:rPr>
          <w:b/>
          <w:bCs/>
          <w:sz w:val="22"/>
          <w:szCs w:val="22"/>
        </w:rPr>
        <w:t>who are homeless are regularly placed in temporary accommodation. This is often poor quality, giving rise to the health impacts</w:t>
      </w:r>
      <w:r w:rsidRPr="00A90EAB">
        <w:rPr>
          <w:sz w:val="22"/>
          <w:szCs w:val="22"/>
        </w:rPr>
        <w:t xml:space="preserve"> noted above. Space is also heavily restricted, with family members (of different ages and sexes) often sharing one room without access to appropriate facilities. This environment presents fewer opportunities for children to play (safely), for families to maintain routines, for healthy parent–child interactions, and for parental self-care. Temporary accommodation can also pose safeguarding risks, including from other tenants (Sen et al., 2022a; Children’s Rights Alliance for England [CRAE] et al., 2018). </w:t>
      </w:r>
      <w:r w:rsidR="003A79BD">
        <w:rPr>
          <w:sz w:val="22"/>
          <w:szCs w:val="22"/>
        </w:rPr>
        <w:br/>
      </w:r>
    </w:p>
    <w:p w14:paraId="6D3500E4" w14:textId="248F4472" w:rsidR="00A6263E" w:rsidRPr="00A90EAB" w:rsidRDefault="00A6263E" w:rsidP="0071688A">
      <w:pPr>
        <w:pStyle w:val="ListParagraph"/>
        <w:numPr>
          <w:ilvl w:val="0"/>
          <w:numId w:val="1"/>
        </w:numPr>
        <w:spacing w:line="276" w:lineRule="auto"/>
        <w:rPr>
          <w:sz w:val="22"/>
          <w:szCs w:val="22"/>
        </w:rPr>
      </w:pPr>
      <w:r w:rsidRPr="00A90EAB">
        <w:rPr>
          <w:b/>
          <w:bCs/>
          <w:sz w:val="22"/>
          <w:szCs w:val="22"/>
        </w:rPr>
        <w:t>Feelings of shame, stigmatisation and emotional exhaustion are prevalent among families who are homeless</w:t>
      </w:r>
      <w:r w:rsidRPr="00A90EAB">
        <w:rPr>
          <w:sz w:val="22"/>
          <w:szCs w:val="22"/>
        </w:rPr>
        <w:t xml:space="preserve"> (</w:t>
      </w:r>
      <w:proofErr w:type="spellStart"/>
      <w:r w:rsidRPr="00A90EAB">
        <w:rPr>
          <w:sz w:val="22"/>
          <w:szCs w:val="22"/>
        </w:rPr>
        <w:t>Bimpson</w:t>
      </w:r>
      <w:proofErr w:type="spellEnd"/>
      <w:r w:rsidRPr="00A90EAB">
        <w:rPr>
          <w:sz w:val="22"/>
          <w:szCs w:val="22"/>
        </w:rPr>
        <w:t xml:space="preserve"> et al., 2022). The trauma of losing their home, together with uncertainty about future living arrangements, can have a significant impact on parents’ psychosocial wellbeing and emotional health (Shelter, 2015).</w:t>
      </w:r>
      <w:r w:rsidR="003A79BD">
        <w:rPr>
          <w:sz w:val="22"/>
          <w:szCs w:val="22"/>
        </w:rPr>
        <w:br/>
      </w:r>
    </w:p>
    <w:p w14:paraId="17DB5AA3" w14:textId="27418CC7" w:rsidR="00A6263E" w:rsidRPr="00A90EAB" w:rsidRDefault="00A6263E" w:rsidP="0071688A">
      <w:pPr>
        <w:pStyle w:val="ListParagraph"/>
        <w:numPr>
          <w:ilvl w:val="0"/>
          <w:numId w:val="1"/>
        </w:numPr>
        <w:spacing w:line="276" w:lineRule="auto"/>
        <w:rPr>
          <w:sz w:val="22"/>
          <w:szCs w:val="22"/>
        </w:rPr>
      </w:pPr>
      <w:r w:rsidRPr="00A90EAB">
        <w:rPr>
          <w:b/>
          <w:bCs/>
          <w:sz w:val="22"/>
          <w:szCs w:val="22"/>
        </w:rPr>
        <w:t>Homelessness can isolate families from vital support</w:t>
      </w:r>
      <w:r w:rsidRPr="00A90EAB">
        <w:rPr>
          <w:b/>
          <w:bCs/>
          <w:sz w:val="22"/>
          <w:szCs w:val="22"/>
        </w:rPr>
        <w:t>.</w:t>
      </w:r>
      <w:r w:rsidRPr="00A90EAB">
        <w:rPr>
          <w:sz w:val="22"/>
          <w:szCs w:val="22"/>
        </w:rPr>
        <w:t xml:space="preserve"> </w:t>
      </w:r>
      <w:r w:rsidRPr="00A90EAB">
        <w:rPr>
          <w:sz w:val="22"/>
          <w:szCs w:val="22"/>
        </w:rPr>
        <w:t>Temporary accommodation is rarely located in the same area as a family’s former home, which results in geographical displacement from core emotional, practical and community supports that are essential for family wellbeing (</w:t>
      </w:r>
      <w:proofErr w:type="spellStart"/>
      <w:r w:rsidRPr="00A90EAB">
        <w:rPr>
          <w:sz w:val="22"/>
          <w:szCs w:val="22"/>
        </w:rPr>
        <w:t>Murran</w:t>
      </w:r>
      <w:proofErr w:type="spellEnd"/>
      <w:r w:rsidRPr="00A90EAB">
        <w:rPr>
          <w:sz w:val="22"/>
          <w:szCs w:val="22"/>
        </w:rPr>
        <w:t xml:space="preserve"> &amp; Brady, 2022; Bradley et al., 2018). </w:t>
      </w:r>
      <w:r w:rsidR="003A79BD">
        <w:rPr>
          <w:sz w:val="22"/>
          <w:szCs w:val="22"/>
        </w:rPr>
        <w:br/>
      </w:r>
    </w:p>
    <w:p w14:paraId="4880B736" w14:textId="5D32F15A" w:rsidR="00A43440" w:rsidRPr="00A90EAB" w:rsidRDefault="00A43440" w:rsidP="0071688A">
      <w:pPr>
        <w:pStyle w:val="ListParagraph"/>
        <w:numPr>
          <w:ilvl w:val="0"/>
          <w:numId w:val="1"/>
        </w:numPr>
        <w:spacing w:line="276" w:lineRule="auto"/>
        <w:rPr>
          <w:sz w:val="22"/>
          <w:szCs w:val="22"/>
        </w:rPr>
      </w:pPr>
      <w:r w:rsidRPr="00A90EAB">
        <w:rPr>
          <w:b/>
          <w:bCs/>
          <w:sz w:val="22"/>
          <w:szCs w:val="22"/>
        </w:rPr>
        <w:t>Limited engagement with housing problems in social care, and inattention to social care issues amongst housing professionals, can result in detrimental outcomes</w:t>
      </w:r>
      <w:r w:rsidRPr="00A90EAB">
        <w:rPr>
          <w:sz w:val="22"/>
          <w:szCs w:val="22"/>
        </w:rPr>
        <w:t xml:space="preserve"> There is a complex relationship between poverty (including housing needs), parenting and neglect. However, studies have found that social workers may not recognise the impact of material circumstances – for example, families who are homeless lacking the resources to meet their children’s basic material needs (Bywaters et al., 2022; Gupta et al., 2018). In fact, Healy (2020) suggests that professionals can 'misrecognise' families’ caring capabilities and support needs, which can have implications for whether they receive supportive, or more intrusive, child protection interventions.</w:t>
      </w:r>
      <w:r w:rsidRPr="00A90EAB">
        <w:rPr>
          <w:sz w:val="22"/>
          <w:szCs w:val="22"/>
        </w:rPr>
        <w:t xml:space="preserve"> For further information relating to this - Research in Practice have resources for practice </w:t>
      </w:r>
      <w:hyperlink r:id="rId8" w:history="1">
        <w:r w:rsidRPr="00A90EAB">
          <w:rPr>
            <w:rStyle w:val="Hyperlink"/>
            <w:sz w:val="22"/>
            <w:szCs w:val="22"/>
          </w:rPr>
          <w:t>Poverty Aware Practice with Children and Families</w:t>
        </w:r>
      </w:hyperlink>
      <w:r w:rsidRPr="00A90EAB">
        <w:rPr>
          <w:sz w:val="22"/>
          <w:szCs w:val="22"/>
        </w:rPr>
        <w:t xml:space="preserve"> and </w:t>
      </w:r>
      <w:hyperlink r:id="rId9" w:history="1">
        <w:r w:rsidRPr="00A90EAB">
          <w:rPr>
            <w:rStyle w:val="Hyperlink"/>
            <w:sz w:val="22"/>
            <w:szCs w:val="22"/>
          </w:rPr>
          <w:t>Neglect in the Context of Poverty and Austerity</w:t>
        </w:r>
      </w:hyperlink>
      <w:r w:rsidRPr="00A90EAB">
        <w:rPr>
          <w:sz w:val="22"/>
          <w:szCs w:val="22"/>
        </w:rPr>
        <w:t xml:space="preserve">  </w:t>
      </w:r>
    </w:p>
    <w:sectPr w:rsidR="00A43440" w:rsidRPr="00A90EAB" w:rsidSect="003A79BD">
      <w:headerReference w:type="even" r:id="rId10"/>
      <w:headerReference w:type="default" r:id="rId11"/>
      <w:headerReference w:type="first" r:id="rId12"/>
      <w:pgSz w:w="11906" w:h="16838"/>
      <w:pgMar w:top="1440" w:right="707" w:bottom="1440" w:left="709"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3C14A5" w14:textId="77777777" w:rsidR="000817C2" w:rsidRDefault="000817C2" w:rsidP="00A43440">
      <w:pPr>
        <w:spacing w:after="0" w:line="240" w:lineRule="auto"/>
      </w:pPr>
      <w:r>
        <w:separator/>
      </w:r>
    </w:p>
  </w:endnote>
  <w:endnote w:type="continuationSeparator" w:id="0">
    <w:p w14:paraId="2CBB2385" w14:textId="77777777" w:rsidR="000817C2" w:rsidRDefault="000817C2" w:rsidP="00A434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ebdings">
    <w:panose1 w:val="05030102010509060703"/>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B93F61" w14:textId="77777777" w:rsidR="000817C2" w:rsidRDefault="000817C2" w:rsidP="00A43440">
      <w:pPr>
        <w:spacing w:after="0" w:line="240" w:lineRule="auto"/>
      </w:pPr>
      <w:r>
        <w:separator/>
      </w:r>
    </w:p>
  </w:footnote>
  <w:footnote w:type="continuationSeparator" w:id="0">
    <w:p w14:paraId="3DD32B2B" w14:textId="77777777" w:rsidR="000817C2" w:rsidRDefault="000817C2" w:rsidP="00A4344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2A9AA1" w14:textId="602528D0" w:rsidR="0071688A" w:rsidRDefault="0071688A">
    <w:pPr>
      <w:pStyle w:val="Header"/>
    </w:pPr>
    <w:r>
      <w:rPr>
        <w:noProof/>
      </w:rPr>
      <mc:AlternateContent>
        <mc:Choice Requires="wps">
          <w:drawing>
            <wp:anchor distT="0" distB="0" distL="0" distR="0" simplePos="0" relativeHeight="251659264" behindDoc="0" locked="0" layoutInCell="1" allowOverlap="1" wp14:anchorId="0C9BA9BA" wp14:editId="2AF48B5A">
              <wp:simplePos x="635" y="635"/>
              <wp:positionH relativeFrom="page">
                <wp:align>center</wp:align>
              </wp:positionH>
              <wp:positionV relativeFrom="page">
                <wp:align>top</wp:align>
              </wp:positionV>
              <wp:extent cx="593725" cy="405765"/>
              <wp:effectExtent l="0" t="0" r="15875" b="13335"/>
              <wp:wrapNone/>
              <wp:docPr id="566601806" name="Text Box 2" descr="- Official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93725" cy="405765"/>
                      </a:xfrm>
                      <a:prstGeom prst="rect">
                        <a:avLst/>
                      </a:prstGeom>
                      <a:noFill/>
                      <a:ln>
                        <a:noFill/>
                      </a:ln>
                    </wps:spPr>
                    <wps:txbx>
                      <w:txbxContent>
                        <w:p w14:paraId="5A42E342" w14:textId="53153244" w:rsidR="0071688A" w:rsidRPr="0071688A" w:rsidRDefault="0071688A" w:rsidP="0071688A">
                          <w:pPr>
                            <w:spacing w:after="0"/>
                            <w:rPr>
                              <w:rFonts w:ascii="Calibri" w:eastAsia="Calibri" w:hAnsi="Calibri" w:cs="Calibri"/>
                              <w:noProof/>
                              <w:color w:val="0000FF"/>
                            </w:rPr>
                          </w:pPr>
                          <w:r w:rsidRPr="0071688A">
                            <w:rPr>
                              <w:rFonts w:ascii="Calibri" w:eastAsia="Calibri" w:hAnsi="Calibri" w:cs="Calibri"/>
                              <w:noProof/>
                              <w:color w:val="0000FF"/>
                            </w:rPr>
                            <w:t>- Official -</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C9BA9BA" id="_x0000_t202" coordsize="21600,21600" o:spt="202" path="m,l,21600r21600,l21600,xe">
              <v:stroke joinstyle="miter"/>
              <v:path gradientshapeok="t" o:connecttype="rect"/>
            </v:shapetype>
            <v:shape id="Text Box 2" o:spid="_x0000_s1026" type="#_x0000_t202" alt="- Official -" style="position:absolute;margin-left:0;margin-top:0;width:46.75pt;height:31.9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" filled="f" stroked="f">
              <v:fill o:detectmouseclick="t"/>
              <v:textbox style="mso-fit-shape-to-text:t" inset="0,15pt,0,0">
                <w:txbxContent>
                  <w:p w14:paraId="5A42E342" w14:textId="53153244" w:rsidR="0071688A" w:rsidRPr="0071688A" w:rsidRDefault="0071688A" w:rsidP="0071688A">
                    <w:pPr>
                      <w:spacing w:after="0"/>
                      <w:rPr>
                        <w:rFonts w:ascii="Calibri" w:eastAsia="Calibri" w:hAnsi="Calibri" w:cs="Calibri"/>
                        <w:noProof/>
                        <w:color w:val="0000FF"/>
                      </w:rPr>
                    </w:pPr>
                    <w:r w:rsidRPr="0071688A">
                      <w:rPr>
                        <w:rFonts w:ascii="Calibri" w:eastAsia="Calibri" w:hAnsi="Calibri" w:cs="Calibri"/>
                        <w:noProof/>
                        <w:color w:val="0000FF"/>
                      </w:rPr>
                      <w:t>- Official -</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FE8CAF" w14:textId="5142B20D" w:rsidR="00A43440" w:rsidRDefault="0071688A" w:rsidP="00A43440">
    <w:pPr>
      <w:pStyle w:val="Header"/>
      <w:jc w:val="right"/>
    </w:pPr>
    <w:r>
      <w:rPr>
        <w:rFonts w:cstheme="minorHAnsi"/>
        <w:b/>
        <w:noProof/>
      </w:rPr>
      <mc:AlternateContent>
        <mc:Choice Requires="wps">
          <w:drawing>
            <wp:anchor distT="0" distB="0" distL="0" distR="0" simplePos="0" relativeHeight="251660288" behindDoc="0" locked="0" layoutInCell="1" allowOverlap="1" wp14:anchorId="06B57D76" wp14:editId="4786DEC6">
              <wp:simplePos x="361950" y="184150"/>
              <wp:positionH relativeFrom="page">
                <wp:align>center</wp:align>
              </wp:positionH>
              <wp:positionV relativeFrom="page">
                <wp:align>top</wp:align>
              </wp:positionV>
              <wp:extent cx="593725" cy="405765"/>
              <wp:effectExtent l="0" t="0" r="15875" b="13335"/>
              <wp:wrapNone/>
              <wp:docPr id="313260008" name="Text Box 3" descr="- Official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93725" cy="405765"/>
                      </a:xfrm>
                      <a:prstGeom prst="rect">
                        <a:avLst/>
                      </a:prstGeom>
                      <a:noFill/>
                      <a:ln>
                        <a:noFill/>
                      </a:ln>
                    </wps:spPr>
                    <wps:txbx>
                      <w:txbxContent>
                        <w:p w14:paraId="22E6DB81" w14:textId="0D7F9E89" w:rsidR="0071688A" w:rsidRPr="0071688A" w:rsidRDefault="0071688A" w:rsidP="0071688A">
                          <w:pPr>
                            <w:spacing w:after="0"/>
                            <w:rPr>
                              <w:rFonts w:ascii="Calibri" w:eastAsia="Calibri" w:hAnsi="Calibri" w:cs="Calibri"/>
                              <w:noProof/>
                              <w:color w:val="0000FF"/>
                            </w:rPr>
                          </w:pPr>
                          <w:r w:rsidRPr="0071688A">
                            <w:rPr>
                              <w:rFonts w:ascii="Calibri" w:eastAsia="Calibri" w:hAnsi="Calibri" w:cs="Calibri"/>
                              <w:noProof/>
                              <w:color w:val="0000FF"/>
                            </w:rPr>
                            <w:t>- Official -</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6B57D76" id="_x0000_t202" coordsize="21600,21600" o:spt="202" path="m,l,21600r21600,l21600,xe">
              <v:stroke joinstyle="miter"/>
              <v:path gradientshapeok="t" o:connecttype="rect"/>
            </v:shapetype>
            <v:shape id="Text Box 3" o:spid="_x0000_s1027" type="#_x0000_t202" alt="- Official -" style="position:absolute;left:0;text-align:left;margin-left:0;margin-top:0;width:46.75pt;height:31.95pt;z-index:25166028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" filled="f" stroked="f">
              <v:fill o:detectmouseclick="t"/>
              <v:textbox style="mso-fit-shape-to-text:t" inset="0,15pt,0,0">
                <w:txbxContent>
                  <w:p w14:paraId="22E6DB81" w14:textId="0D7F9E89" w:rsidR="0071688A" w:rsidRPr="0071688A" w:rsidRDefault="0071688A" w:rsidP="0071688A">
                    <w:pPr>
                      <w:spacing w:after="0"/>
                      <w:rPr>
                        <w:rFonts w:ascii="Calibri" w:eastAsia="Calibri" w:hAnsi="Calibri" w:cs="Calibri"/>
                        <w:noProof/>
                        <w:color w:val="0000FF"/>
                      </w:rPr>
                    </w:pPr>
                    <w:r w:rsidRPr="0071688A">
                      <w:rPr>
                        <w:rFonts w:ascii="Calibri" w:eastAsia="Calibri" w:hAnsi="Calibri" w:cs="Calibri"/>
                        <w:noProof/>
                        <w:color w:val="0000FF"/>
                      </w:rPr>
                      <w:t>- Official -</w:t>
                    </w:r>
                  </w:p>
                </w:txbxContent>
              </v:textbox>
              <w10:wrap anchorx="page" anchory="page"/>
            </v:shape>
          </w:pict>
        </mc:Fallback>
      </mc:AlternateContent>
    </w:r>
    <w:r w:rsidR="00A43440" w:rsidRPr="00DE499F">
      <w:rPr>
        <w:rFonts w:cstheme="minorHAnsi"/>
        <w:b/>
        <w:noProof/>
      </w:rPr>
      <w:drawing>
        <wp:inline distT="0" distB="0" distL="0" distR="0" wp14:anchorId="4E0B6573" wp14:editId="263FCE30">
          <wp:extent cx="1935057" cy="687184"/>
          <wp:effectExtent l="0" t="0" r="8255" b="0"/>
          <wp:docPr id="1544680058" name="Picture 154468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42456" cy="689811"/>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2D95BB" w14:textId="678DF3D5" w:rsidR="0071688A" w:rsidRDefault="0071688A">
    <w:pPr>
      <w:pStyle w:val="Header"/>
    </w:pPr>
    <w:r>
      <w:rPr>
        <w:noProof/>
      </w:rPr>
      <mc:AlternateContent>
        <mc:Choice Requires="wps">
          <w:drawing>
            <wp:anchor distT="0" distB="0" distL="0" distR="0" simplePos="0" relativeHeight="251658240" behindDoc="0" locked="0" layoutInCell="1" allowOverlap="1" wp14:anchorId="4BD01728" wp14:editId="5D807B9B">
              <wp:simplePos x="635" y="635"/>
              <wp:positionH relativeFrom="page">
                <wp:align>center</wp:align>
              </wp:positionH>
              <wp:positionV relativeFrom="page">
                <wp:align>top</wp:align>
              </wp:positionV>
              <wp:extent cx="593725" cy="405765"/>
              <wp:effectExtent l="0" t="0" r="15875" b="13335"/>
              <wp:wrapNone/>
              <wp:docPr id="871040563" name="Text Box 1" descr="- Official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93725" cy="405765"/>
                      </a:xfrm>
                      <a:prstGeom prst="rect">
                        <a:avLst/>
                      </a:prstGeom>
                      <a:noFill/>
                      <a:ln>
                        <a:noFill/>
                      </a:ln>
                    </wps:spPr>
                    <wps:txbx>
                      <w:txbxContent>
                        <w:p w14:paraId="6E76F64C" w14:textId="64D3A44A" w:rsidR="0071688A" w:rsidRPr="0071688A" w:rsidRDefault="0071688A" w:rsidP="0071688A">
                          <w:pPr>
                            <w:spacing w:after="0"/>
                            <w:rPr>
                              <w:rFonts w:ascii="Calibri" w:eastAsia="Calibri" w:hAnsi="Calibri" w:cs="Calibri"/>
                              <w:noProof/>
                              <w:color w:val="0000FF"/>
                            </w:rPr>
                          </w:pPr>
                          <w:r w:rsidRPr="0071688A">
                            <w:rPr>
                              <w:rFonts w:ascii="Calibri" w:eastAsia="Calibri" w:hAnsi="Calibri" w:cs="Calibri"/>
                              <w:noProof/>
                              <w:color w:val="0000FF"/>
                            </w:rPr>
                            <w:t>- Official -</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BD01728" id="_x0000_t202" coordsize="21600,21600" o:spt="202" path="m,l,21600r21600,l21600,xe">
              <v:stroke joinstyle="miter"/>
              <v:path gradientshapeok="t" o:connecttype="rect"/>
            </v:shapetype>
            <v:shape id="Text Box 1" o:spid="_x0000_s1028" type="#_x0000_t202" alt="- Official -" style="position:absolute;margin-left:0;margin-top:0;width:46.75pt;height:31.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" filled="f" stroked="f">
              <v:fill o:detectmouseclick="t"/>
              <v:textbox style="mso-fit-shape-to-text:t" inset="0,15pt,0,0">
                <w:txbxContent>
                  <w:p w14:paraId="6E76F64C" w14:textId="64D3A44A" w:rsidR="0071688A" w:rsidRPr="0071688A" w:rsidRDefault="0071688A" w:rsidP="0071688A">
                    <w:pPr>
                      <w:spacing w:after="0"/>
                      <w:rPr>
                        <w:rFonts w:ascii="Calibri" w:eastAsia="Calibri" w:hAnsi="Calibri" w:cs="Calibri"/>
                        <w:noProof/>
                        <w:color w:val="0000FF"/>
                      </w:rPr>
                    </w:pPr>
                    <w:r w:rsidRPr="0071688A">
                      <w:rPr>
                        <w:rFonts w:ascii="Calibri" w:eastAsia="Calibri" w:hAnsi="Calibri" w:cs="Calibri"/>
                        <w:noProof/>
                        <w:color w:val="0000FF"/>
                      </w:rPr>
                      <w:t>- Official -</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573979"/>
    <w:multiLevelType w:val="hybridMultilevel"/>
    <w:tmpl w:val="067E776A"/>
    <w:lvl w:ilvl="0" w:tplc="6986DA56">
      <w:start w:val="1"/>
      <w:numFmt w:val="bullet"/>
      <w:lvlText w:val=""/>
      <w:lvlJc w:val="left"/>
      <w:pPr>
        <w:ind w:left="720" w:hanging="360"/>
      </w:pPr>
      <w:rPr>
        <w:rFonts w:ascii="Webdings" w:hAnsi="Web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598351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hdrShapeDefaults>
    <o:shapedefaults v:ext="edit" spidmax="2050">
      <o:colormru v:ext="edit" colors="#eff7f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7F46"/>
    <w:rsid w:val="000817C2"/>
    <w:rsid w:val="002754A0"/>
    <w:rsid w:val="003A79BD"/>
    <w:rsid w:val="00497F46"/>
    <w:rsid w:val="0071688A"/>
    <w:rsid w:val="00A43440"/>
    <w:rsid w:val="00A6263E"/>
    <w:rsid w:val="00A90EAB"/>
    <w:rsid w:val="00BA00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eff7ff"/>
    </o:shapedefaults>
    <o:shapelayout v:ext="edit">
      <o:idmap v:ext="edit" data="2"/>
    </o:shapelayout>
  </w:shapeDefaults>
  <w:decimalSymbol w:val="."/>
  <w:listSeparator w:val=","/>
  <w14:docId w14:val="4DC11A29"/>
  <w15:chartTrackingRefBased/>
  <w15:docId w15:val="{55282466-7F62-46E5-BF03-5C7DD4381B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97F4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97F4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97F4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97F4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97F4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97F4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97F4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97F4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97F4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97F4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97F4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97F4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97F4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97F4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97F4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97F4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97F4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97F46"/>
    <w:rPr>
      <w:rFonts w:eastAsiaTheme="majorEastAsia" w:cstheme="majorBidi"/>
      <w:color w:val="272727" w:themeColor="text1" w:themeTint="D8"/>
    </w:rPr>
  </w:style>
  <w:style w:type="paragraph" w:styleId="Title">
    <w:name w:val="Title"/>
    <w:basedOn w:val="Normal"/>
    <w:next w:val="Normal"/>
    <w:link w:val="TitleChar"/>
    <w:uiPriority w:val="10"/>
    <w:qFormat/>
    <w:rsid w:val="00497F4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97F4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97F4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97F4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97F46"/>
    <w:pPr>
      <w:spacing w:before="160"/>
      <w:jc w:val="center"/>
    </w:pPr>
    <w:rPr>
      <w:i/>
      <w:iCs/>
      <w:color w:val="404040" w:themeColor="text1" w:themeTint="BF"/>
    </w:rPr>
  </w:style>
  <w:style w:type="character" w:customStyle="1" w:styleId="QuoteChar">
    <w:name w:val="Quote Char"/>
    <w:basedOn w:val="DefaultParagraphFont"/>
    <w:link w:val="Quote"/>
    <w:uiPriority w:val="29"/>
    <w:rsid w:val="00497F46"/>
    <w:rPr>
      <w:i/>
      <w:iCs/>
      <w:color w:val="404040" w:themeColor="text1" w:themeTint="BF"/>
    </w:rPr>
  </w:style>
  <w:style w:type="paragraph" w:styleId="ListParagraph">
    <w:name w:val="List Paragraph"/>
    <w:basedOn w:val="Normal"/>
    <w:uiPriority w:val="34"/>
    <w:qFormat/>
    <w:rsid w:val="00497F46"/>
    <w:pPr>
      <w:ind w:left="720"/>
      <w:contextualSpacing/>
    </w:pPr>
  </w:style>
  <w:style w:type="character" w:styleId="IntenseEmphasis">
    <w:name w:val="Intense Emphasis"/>
    <w:basedOn w:val="DefaultParagraphFont"/>
    <w:uiPriority w:val="21"/>
    <w:qFormat/>
    <w:rsid w:val="00497F46"/>
    <w:rPr>
      <w:i/>
      <w:iCs/>
      <w:color w:val="0F4761" w:themeColor="accent1" w:themeShade="BF"/>
    </w:rPr>
  </w:style>
  <w:style w:type="paragraph" w:styleId="IntenseQuote">
    <w:name w:val="Intense Quote"/>
    <w:basedOn w:val="Normal"/>
    <w:next w:val="Normal"/>
    <w:link w:val="IntenseQuoteChar"/>
    <w:uiPriority w:val="30"/>
    <w:qFormat/>
    <w:rsid w:val="00497F4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97F46"/>
    <w:rPr>
      <w:i/>
      <w:iCs/>
      <w:color w:val="0F4761" w:themeColor="accent1" w:themeShade="BF"/>
    </w:rPr>
  </w:style>
  <w:style w:type="character" w:styleId="IntenseReference">
    <w:name w:val="Intense Reference"/>
    <w:basedOn w:val="DefaultParagraphFont"/>
    <w:uiPriority w:val="32"/>
    <w:qFormat/>
    <w:rsid w:val="00497F46"/>
    <w:rPr>
      <w:b/>
      <w:bCs/>
      <w:smallCaps/>
      <w:color w:val="0F4761" w:themeColor="accent1" w:themeShade="BF"/>
      <w:spacing w:val="5"/>
    </w:rPr>
  </w:style>
  <w:style w:type="character" w:styleId="Hyperlink">
    <w:name w:val="Hyperlink"/>
    <w:basedOn w:val="DefaultParagraphFont"/>
    <w:uiPriority w:val="99"/>
    <w:unhideWhenUsed/>
    <w:rsid w:val="00497F46"/>
    <w:rPr>
      <w:color w:val="467886" w:themeColor="hyperlink"/>
      <w:u w:val="single"/>
    </w:rPr>
  </w:style>
  <w:style w:type="character" w:styleId="UnresolvedMention">
    <w:name w:val="Unresolved Mention"/>
    <w:basedOn w:val="DefaultParagraphFont"/>
    <w:uiPriority w:val="99"/>
    <w:semiHidden/>
    <w:unhideWhenUsed/>
    <w:rsid w:val="00497F46"/>
    <w:rPr>
      <w:color w:val="605E5C"/>
      <w:shd w:val="clear" w:color="auto" w:fill="E1DFDD"/>
    </w:rPr>
  </w:style>
  <w:style w:type="paragraph" w:styleId="Header">
    <w:name w:val="header"/>
    <w:basedOn w:val="Normal"/>
    <w:link w:val="HeaderChar"/>
    <w:uiPriority w:val="99"/>
    <w:unhideWhenUsed/>
    <w:rsid w:val="00A43440"/>
    <w:pPr>
      <w:tabs>
        <w:tab w:val="center" w:pos="4513"/>
        <w:tab w:val="right" w:pos="9026"/>
      </w:tabs>
      <w:spacing w:after="0" w:line="240" w:lineRule="auto"/>
    </w:pPr>
  </w:style>
  <w:style w:type="character" w:customStyle="1" w:styleId="HeaderChar">
    <w:name w:val="Header Char"/>
    <w:basedOn w:val="DefaultParagraphFont"/>
    <w:link w:val="Header"/>
    <w:uiPriority w:val="99"/>
    <w:rsid w:val="00A43440"/>
  </w:style>
  <w:style w:type="paragraph" w:styleId="Footer">
    <w:name w:val="footer"/>
    <w:basedOn w:val="Normal"/>
    <w:link w:val="FooterChar"/>
    <w:uiPriority w:val="99"/>
    <w:unhideWhenUsed/>
    <w:rsid w:val="00A43440"/>
    <w:pPr>
      <w:tabs>
        <w:tab w:val="center" w:pos="4513"/>
        <w:tab w:val="right" w:pos="9026"/>
      </w:tabs>
      <w:spacing w:after="0" w:line="240" w:lineRule="auto"/>
    </w:pPr>
  </w:style>
  <w:style w:type="character" w:customStyle="1" w:styleId="FooterChar">
    <w:name w:val="Footer Char"/>
    <w:basedOn w:val="DefaultParagraphFont"/>
    <w:link w:val="Footer"/>
    <w:uiPriority w:val="99"/>
    <w:rsid w:val="00A4344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esearchinpractice.org.uk/children/content-pages/podcasts/poverty-aware-practice-with-children-and-familie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files.localgov.co.uk/child.pdf" TargetMode="Externa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researchinpractice.org.uk/children/publications/2019/may/neglect-in-the-context-of-poverty-and-austerity-frontline-briefing-2019/" TargetMode="Externa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F3A0EC4D664D4EBECF7F056969E554" ma:contentTypeVersion="15" ma:contentTypeDescription="Create a new document." ma:contentTypeScope="" ma:versionID="aedbec33864b3165d4b94c92e64341de">
  <xsd:schema xmlns:xsd="http://www.w3.org/2001/XMLSchema" xmlns:xs="http://www.w3.org/2001/XMLSchema" xmlns:p="http://schemas.microsoft.com/office/2006/metadata/properties" xmlns:ns2="4d536ccb-b14a-4ea0-b1e3-f942d5f494ca" xmlns:ns3="b06d2475-e2f5-484a-b382-727b8dafea61" xmlns:ns4="3c38619e-0fba-4b47-ac3c-19f3b86b5261" targetNamespace="http://schemas.microsoft.com/office/2006/metadata/properties" ma:root="true" ma:fieldsID="3becd44864144465163be34cc7c7258f" ns2:_="" ns3:_="" ns4:_="">
    <xsd:import namespace="4d536ccb-b14a-4ea0-b1e3-f942d5f494ca"/>
    <xsd:import namespace="b06d2475-e2f5-484a-b382-727b8dafea61"/>
    <xsd:import namespace="3c38619e-0fba-4b47-ac3c-19f3b86b526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lcf76f155ced4ddcb4097134ff3c332f" minOccurs="0"/>
                <xsd:element ref="ns4:TaxCatchAll"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536ccb-b14a-4ea0-b1e3-f942d5f494c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06d2475-e2f5-484a-b382-727b8dafea6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2bf2b975-0034-4da6-bed2-ddb9f49c066c"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38619e-0fba-4b47-ac3c-19f3b86b5261"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f31d84bd-9300-4566-87b1-f5964af44305}" ma:internalName="TaxCatchAll" ma:showField="CatchAllData" ma:web="3c38619e-0fba-4b47-ac3c-19f3b86b526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06d2475-e2f5-484a-b382-727b8dafea61">
      <Terms xmlns="http://schemas.microsoft.com/office/infopath/2007/PartnerControls"/>
    </lcf76f155ced4ddcb4097134ff3c332f>
    <TaxCatchAll xmlns="3c38619e-0fba-4b47-ac3c-19f3b86b5261" xsi:nil="true"/>
  </documentManagement>
</p:properties>
</file>

<file path=customXml/itemProps1.xml><?xml version="1.0" encoding="utf-8"?>
<ds:datastoreItem xmlns:ds="http://schemas.openxmlformats.org/officeDocument/2006/customXml" ds:itemID="{9E213E44-DB84-46D4-B0EC-4B641F7BEBA1}"/>
</file>

<file path=customXml/itemProps2.xml><?xml version="1.0" encoding="utf-8"?>
<ds:datastoreItem xmlns:ds="http://schemas.openxmlformats.org/officeDocument/2006/customXml" ds:itemID="{D600F297-C000-404A-A99F-8F6E5A92298A}"/>
</file>

<file path=customXml/itemProps3.xml><?xml version="1.0" encoding="utf-8"?>
<ds:datastoreItem xmlns:ds="http://schemas.openxmlformats.org/officeDocument/2006/customXml" ds:itemID="{50E89ACE-FE85-423F-847F-F7960C9B7E9E}"/>
</file>

<file path=docProps/app.xml><?xml version="1.0" encoding="utf-8"?>
<Properties xmlns="http://schemas.openxmlformats.org/officeDocument/2006/extended-properties" xmlns:vt="http://schemas.openxmlformats.org/officeDocument/2006/docPropsVTypes">
  <Template>Normal</Template>
  <TotalTime>80</TotalTime>
  <Pages>2</Pages>
  <Words>824</Words>
  <Characters>4702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Soutter, Kate</dc:creator>
  <cp:keywords/>
  <dc:description/>
  <cp:lastModifiedBy>Soutter, Kate</cp:lastModifiedBy>
  <cp:revision>2</cp:revision>
  <dcterms:created xsi:type="dcterms:W3CDTF">2025-02-11T07:53:00Z</dcterms:created>
  <dcterms:modified xsi:type="dcterms:W3CDTF">2025-02-11T16:54:00Z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33eb0633,21c5a84e,12abf7e8</vt:lpwstr>
  </property>
  <property fmtid="{D5CDD505-2E9C-101B-9397-08002B2CF9AE}" pid="3" name="ClassificationContentMarkingHeaderFontProps">
    <vt:lpwstr>#0000ff,12,Calibri</vt:lpwstr>
  </property>
  <property fmtid="{D5CDD505-2E9C-101B-9397-08002B2CF9AE}" pid="4" name="ClassificationContentMarkingHeaderText">
    <vt:lpwstr>- Official -</vt:lpwstr>
  </property>
  <property fmtid="{D5CDD505-2E9C-101B-9397-08002B2CF9AE}" pid="5" name="MSIP_Label_e83f8a96-e51b-4334-92a5-11244a58d044_Enabled">
    <vt:lpwstr>true</vt:lpwstr>
  </property>
  <property fmtid="{D5CDD505-2E9C-101B-9397-08002B2CF9AE}" pid="6" name="MSIP_Label_e83f8a96-e51b-4334-92a5-11244a58d044_SetDate">
    <vt:lpwstr>2025-02-11T16:53:14Z</vt:lpwstr>
  </property>
  <property fmtid="{D5CDD505-2E9C-101B-9397-08002B2CF9AE}" pid="7" name="MSIP_Label_e83f8a96-e51b-4334-92a5-11244a58d044_Method">
    <vt:lpwstr>Privileged</vt:lpwstr>
  </property>
  <property fmtid="{D5CDD505-2E9C-101B-9397-08002B2CF9AE}" pid="8" name="MSIP_Label_e83f8a96-e51b-4334-92a5-11244a58d044_Name">
    <vt:lpwstr>Official</vt:lpwstr>
  </property>
  <property fmtid="{D5CDD505-2E9C-101B-9397-08002B2CF9AE}" pid="9" name="MSIP_Label_e83f8a96-e51b-4334-92a5-11244a58d044_SiteId">
    <vt:lpwstr>d6674c51-daa4-4142-8047-15a78bbe9306</vt:lpwstr>
  </property>
  <property fmtid="{D5CDD505-2E9C-101B-9397-08002B2CF9AE}" pid="10" name="MSIP_Label_e83f8a96-e51b-4334-92a5-11244a58d044_ActionId">
    <vt:lpwstr>5b1409b5-345d-403c-af2e-cda5f67e9d35</vt:lpwstr>
  </property>
  <property fmtid="{D5CDD505-2E9C-101B-9397-08002B2CF9AE}" pid="11" name="MSIP_Label_e83f8a96-e51b-4334-92a5-11244a58d044_ContentBits">
    <vt:lpwstr>1</vt:lpwstr>
  </property>
  <property fmtid="{D5CDD505-2E9C-101B-9397-08002B2CF9AE}" pid="12" name="ContentTypeId">
    <vt:lpwstr>0x010100DDF3A0EC4D664D4EBECF7F056969E554</vt:lpwstr>
  </property>
</Properties>
</file>