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7A" w:rsidRPr="00CD237A" w:rsidRDefault="00422C7A" w:rsidP="00CD237A">
      <w:pPr>
        <w:pStyle w:val="NoSpacing"/>
        <w:jc w:val="center"/>
      </w:pPr>
      <w:bookmarkStart w:id="0" w:name="_GoBack"/>
      <w:bookmarkEnd w:id="0"/>
      <w:r>
        <w:t>Core Group Meeting</w:t>
      </w:r>
      <w:r w:rsidR="00CD237A" w:rsidRPr="00CD237A">
        <w:t xml:space="preserve"> Checklist</w:t>
      </w:r>
    </w:p>
    <w:p w:rsidR="00444CFC" w:rsidRPr="00CD237A" w:rsidRDefault="004E42D5" w:rsidP="00A8274D">
      <w:pPr>
        <w:pStyle w:val="NoSpacing"/>
        <w:jc w:val="center"/>
        <w:rPr>
          <w:b w:val="0"/>
        </w:rPr>
      </w:pPr>
      <w:r>
        <w:rPr>
          <w:b w:val="0"/>
        </w:rPr>
        <w:t>To Be Completed a</w:t>
      </w:r>
      <w:r w:rsidR="00422C7A">
        <w:rPr>
          <w:b w:val="0"/>
        </w:rPr>
        <w:t>t Every Core Group Meeting</w:t>
      </w:r>
    </w:p>
    <w:p w:rsidR="00CD237A" w:rsidRPr="00CD237A" w:rsidRDefault="00CD237A" w:rsidP="00CD237A">
      <w:pPr>
        <w:pStyle w:val="NoSpacing"/>
        <w:jc w:val="center"/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72"/>
        <w:gridCol w:w="770"/>
      </w:tblGrid>
      <w:tr w:rsidR="004E42D5" w:rsidTr="00615FE7">
        <w:tc>
          <w:tcPr>
            <w:tcW w:w="8472" w:type="dxa"/>
            <w:shd w:val="clear" w:color="auto" w:fill="C2D69B" w:themeFill="accent3" w:themeFillTint="99"/>
          </w:tcPr>
          <w:p w:rsidR="004E42D5" w:rsidRPr="00947660" w:rsidRDefault="004E42D5" w:rsidP="00B538F5">
            <w:pPr>
              <w:jc w:val="center"/>
            </w:pPr>
          </w:p>
        </w:tc>
        <w:tc>
          <w:tcPr>
            <w:tcW w:w="770" w:type="dxa"/>
            <w:shd w:val="clear" w:color="auto" w:fill="C2D69B" w:themeFill="accent3" w:themeFillTint="99"/>
          </w:tcPr>
          <w:p w:rsidR="004E42D5" w:rsidRPr="00CD237A" w:rsidRDefault="00E92DF7" w:rsidP="00422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/ N</w:t>
            </w:r>
          </w:p>
        </w:tc>
      </w:tr>
      <w:tr w:rsidR="00AB393D" w:rsidTr="004E42D5">
        <w:tc>
          <w:tcPr>
            <w:tcW w:w="9242" w:type="dxa"/>
            <w:gridSpan w:val="2"/>
            <w:shd w:val="clear" w:color="auto" w:fill="D6E3BC" w:themeFill="accent3" w:themeFillTint="66"/>
          </w:tcPr>
          <w:p w:rsidR="00AB393D" w:rsidRDefault="00AB393D" w:rsidP="005039E7">
            <w:pPr>
              <w:rPr>
                <w:sz w:val="20"/>
                <w:szCs w:val="20"/>
              </w:rPr>
            </w:pPr>
          </w:p>
          <w:p w:rsidR="00D437E9" w:rsidRPr="008160FC" w:rsidRDefault="00D437E9" w:rsidP="00D43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GROUP RESPONSIBILITIES (ALL MEMBERS)</w:t>
            </w:r>
          </w:p>
          <w:p w:rsidR="005039E7" w:rsidRPr="00DE4506" w:rsidRDefault="005039E7" w:rsidP="00D437E9">
            <w:pPr>
              <w:rPr>
                <w:sz w:val="20"/>
                <w:szCs w:val="20"/>
              </w:rPr>
            </w:pPr>
          </w:p>
        </w:tc>
      </w:tr>
      <w:tr w:rsidR="004E42D5" w:rsidTr="00CE3E88">
        <w:tc>
          <w:tcPr>
            <w:tcW w:w="9242" w:type="dxa"/>
            <w:gridSpan w:val="2"/>
          </w:tcPr>
          <w:p w:rsidR="004E42D5" w:rsidRDefault="004E42D5" w:rsidP="00D437E9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b w:val="0"/>
                <w:sz w:val="20"/>
                <w:szCs w:val="20"/>
              </w:rPr>
            </w:pPr>
            <w:r w:rsidRPr="00D437E9">
              <w:rPr>
                <w:b w:val="0"/>
                <w:sz w:val="20"/>
                <w:szCs w:val="20"/>
              </w:rPr>
              <w:t xml:space="preserve">Collecting </w:t>
            </w:r>
            <w:r w:rsidR="001C70A2">
              <w:rPr>
                <w:b w:val="0"/>
                <w:sz w:val="20"/>
                <w:szCs w:val="20"/>
              </w:rPr>
              <w:t xml:space="preserve">and sharing </w:t>
            </w:r>
            <w:r w:rsidRPr="00D437E9">
              <w:rPr>
                <w:b w:val="0"/>
                <w:sz w:val="20"/>
                <w:szCs w:val="20"/>
              </w:rPr>
              <w:t>information to assist the Lead Social Worker</w:t>
            </w:r>
            <w:r w:rsidR="003D16D4">
              <w:rPr>
                <w:b w:val="0"/>
                <w:sz w:val="20"/>
                <w:szCs w:val="20"/>
              </w:rPr>
              <w:t xml:space="preserve"> in compiling and completing </w:t>
            </w:r>
            <w:r w:rsidR="003D16D4" w:rsidRPr="001531C9">
              <w:rPr>
                <w:b w:val="0"/>
                <w:sz w:val="20"/>
                <w:szCs w:val="20"/>
              </w:rPr>
              <w:t>ongoing</w:t>
            </w:r>
            <w:r w:rsidRPr="001531C9">
              <w:rPr>
                <w:b w:val="0"/>
                <w:sz w:val="20"/>
                <w:szCs w:val="20"/>
              </w:rPr>
              <w:t xml:space="preserve"> </w:t>
            </w:r>
            <w:r w:rsidRPr="00D437E9">
              <w:rPr>
                <w:b w:val="0"/>
                <w:sz w:val="20"/>
                <w:szCs w:val="20"/>
              </w:rPr>
              <w:t>Assessment;</w:t>
            </w:r>
          </w:p>
          <w:p w:rsidR="003D16D4" w:rsidRPr="001531C9" w:rsidRDefault="003D16D4" w:rsidP="00D437E9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b w:val="0"/>
                <w:sz w:val="20"/>
                <w:szCs w:val="20"/>
              </w:rPr>
            </w:pPr>
            <w:r w:rsidRPr="001531C9">
              <w:rPr>
                <w:b w:val="0"/>
                <w:sz w:val="20"/>
                <w:szCs w:val="20"/>
              </w:rPr>
              <w:t>To develop the Child Protection Plan – that is well understood my parents/carers</w:t>
            </w:r>
          </w:p>
          <w:p w:rsidR="004E42D5" w:rsidRDefault="004E42D5" w:rsidP="00D437E9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b w:val="0"/>
                <w:sz w:val="20"/>
                <w:szCs w:val="20"/>
              </w:rPr>
            </w:pPr>
            <w:r w:rsidRPr="00D437E9">
              <w:rPr>
                <w:b w:val="0"/>
                <w:sz w:val="20"/>
                <w:szCs w:val="20"/>
              </w:rPr>
              <w:t>Formulation and implementation of the Child Protection Plan as a detailed working tool;</w:t>
            </w:r>
          </w:p>
          <w:p w:rsidR="004E42D5" w:rsidRDefault="004E42D5" w:rsidP="00D437E9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b w:val="0"/>
                <w:sz w:val="20"/>
                <w:szCs w:val="20"/>
              </w:rPr>
            </w:pPr>
            <w:r w:rsidRPr="00D437E9">
              <w:rPr>
                <w:b w:val="0"/>
                <w:sz w:val="20"/>
                <w:szCs w:val="20"/>
              </w:rPr>
              <w:t>Monitoring progress of the plan against specified objectives;</w:t>
            </w:r>
          </w:p>
          <w:p w:rsidR="004E42D5" w:rsidRDefault="004E42D5" w:rsidP="00D437E9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b w:val="0"/>
                <w:sz w:val="20"/>
                <w:szCs w:val="20"/>
              </w:rPr>
            </w:pPr>
            <w:r w:rsidRPr="00D437E9">
              <w:rPr>
                <w:b w:val="0"/>
                <w:sz w:val="20"/>
                <w:szCs w:val="20"/>
              </w:rPr>
              <w:t>Making recommendations to subsequent Review Conferences about the need for and content of any future protection plans;</w:t>
            </w:r>
          </w:p>
          <w:p w:rsidR="004E42D5" w:rsidRPr="00D437E9" w:rsidRDefault="004E42D5" w:rsidP="00D437E9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b w:val="0"/>
                <w:sz w:val="20"/>
                <w:szCs w:val="20"/>
              </w:rPr>
            </w:pPr>
            <w:r w:rsidRPr="00D437E9">
              <w:rPr>
                <w:b w:val="0"/>
                <w:sz w:val="20"/>
                <w:szCs w:val="20"/>
              </w:rPr>
              <w:t>Identifying possible further assessments that are required, and referring to locally available services, and/or to management within partnership agencies for consideration of the core group’s suggestion. Each agency is responsible for taking requests back to their own agency for consideration.</w:t>
            </w:r>
          </w:p>
          <w:p w:rsidR="004E42D5" w:rsidRPr="00DE4506" w:rsidRDefault="004E42D5" w:rsidP="00B538F5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4E42D5" w:rsidTr="00615FE7">
        <w:tc>
          <w:tcPr>
            <w:tcW w:w="8472" w:type="dxa"/>
          </w:tcPr>
          <w:p w:rsidR="004E42D5" w:rsidRDefault="004E42D5" w:rsidP="00D437E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This meeting included parents/ carers, child (if appropriate) and other relevant family members.</w:t>
            </w:r>
            <w:r w:rsidR="00EA4601">
              <w:rPr>
                <w:b w:val="0"/>
                <w:sz w:val="20"/>
                <w:szCs w:val="20"/>
              </w:rPr>
              <w:t xml:space="preserve"> If they did not attend, they were advised that they may contribute to the meeting in writing.</w:t>
            </w:r>
          </w:p>
          <w:p w:rsidR="004E42D5" w:rsidRDefault="004E42D5" w:rsidP="00D437E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70" w:type="dxa"/>
          </w:tcPr>
          <w:p w:rsidR="004E42D5" w:rsidRPr="00DE4506" w:rsidRDefault="004E42D5" w:rsidP="00B538F5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4E42D5" w:rsidTr="00615FE7">
        <w:tc>
          <w:tcPr>
            <w:tcW w:w="8472" w:type="dxa"/>
          </w:tcPr>
          <w:p w:rsidR="004E42D5" w:rsidRDefault="004E42D5" w:rsidP="005039E7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This meeting included professionals and foster carers in direct regular contact with the child.</w:t>
            </w:r>
          </w:p>
          <w:p w:rsidR="004E42D5" w:rsidRDefault="004E42D5" w:rsidP="005039E7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70" w:type="dxa"/>
          </w:tcPr>
          <w:p w:rsidR="004E42D5" w:rsidRPr="00DE4506" w:rsidRDefault="004E42D5" w:rsidP="00B538F5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D437E9" w:rsidTr="004E42D5">
        <w:tc>
          <w:tcPr>
            <w:tcW w:w="9242" w:type="dxa"/>
            <w:gridSpan w:val="2"/>
            <w:shd w:val="clear" w:color="auto" w:fill="D6E3BC" w:themeFill="accent3" w:themeFillTint="66"/>
          </w:tcPr>
          <w:p w:rsidR="00D437E9" w:rsidRDefault="00D437E9" w:rsidP="00B538F5">
            <w:pPr>
              <w:jc w:val="center"/>
              <w:rPr>
                <w:b w:val="0"/>
                <w:sz w:val="20"/>
                <w:szCs w:val="20"/>
              </w:rPr>
            </w:pPr>
          </w:p>
          <w:p w:rsidR="00D437E9" w:rsidRPr="005039E7" w:rsidRDefault="00D437E9" w:rsidP="00D43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CORE GROUP MEETING</w:t>
            </w:r>
          </w:p>
          <w:p w:rsidR="00D437E9" w:rsidRPr="00DE4506" w:rsidRDefault="00D437E9" w:rsidP="00B538F5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4E42D5" w:rsidTr="00615FE7">
        <w:tc>
          <w:tcPr>
            <w:tcW w:w="8472" w:type="dxa"/>
          </w:tcPr>
          <w:p w:rsidR="004E42D5" w:rsidRDefault="004E42D5" w:rsidP="005039E7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This meeting was held within 10 working days of the Initial Conference.</w:t>
            </w:r>
          </w:p>
          <w:p w:rsidR="004E42D5" w:rsidRPr="00444CFC" w:rsidRDefault="004E42D5" w:rsidP="005039E7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70" w:type="dxa"/>
          </w:tcPr>
          <w:p w:rsidR="004E42D5" w:rsidRPr="00DE4506" w:rsidRDefault="004E42D5" w:rsidP="00B538F5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4E42D5" w:rsidTr="00615FE7">
        <w:tc>
          <w:tcPr>
            <w:tcW w:w="8472" w:type="dxa"/>
          </w:tcPr>
          <w:p w:rsidR="004E42D5" w:rsidRDefault="004E42D5" w:rsidP="005039E7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This meeting was chaired by the Lead Social Worker’s Team Manager</w:t>
            </w:r>
            <w:r w:rsidR="00615FE7">
              <w:rPr>
                <w:b w:val="0"/>
                <w:sz w:val="20"/>
                <w:szCs w:val="20"/>
              </w:rPr>
              <w:t>.</w:t>
            </w:r>
          </w:p>
          <w:p w:rsidR="004E42D5" w:rsidRPr="00DE4506" w:rsidRDefault="004E42D5" w:rsidP="005039E7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70" w:type="dxa"/>
          </w:tcPr>
          <w:p w:rsidR="004E42D5" w:rsidRPr="00DE4506" w:rsidRDefault="004E42D5" w:rsidP="00B538F5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A77762" w:rsidTr="00615FE7">
        <w:tc>
          <w:tcPr>
            <w:tcW w:w="8472" w:type="dxa"/>
          </w:tcPr>
          <w:p w:rsidR="00A77762" w:rsidRDefault="00A77762" w:rsidP="005039E7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Professionals identified in the initial Child Protection Plan attended meeting.</w:t>
            </w:r>
          </w:p>
          <w:p w:rsidR="00A77762" w:rsidRDefault="00A77762" w:rsidP="005039E7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762" w:rsidRPr="00DE4506" w:rsidRDefault="00A77762" w:rsidP="00B538F5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5039E7" w:rsidTr="004E42D5">
        <w:tc>
          <w:tcPr>
            <w:tcW w:w="9242" w:type="dxa"/>
            <w:gridSpan w:val="2"/>
            <w:shd w:val="clear" w:color="auto" w:fill="D6E3BC" w:themeFill="accent3" w:themeFillTint="66"/>
          </w:tcPr>
          <w:p w:rsidR="005039E7" w:rsidRDefault="005039E7" w:rsidP="005039E7">
            <w:pPr>
              <w:rPr>
                <w:b w:val="0"/>
                <w:sz w:val="20"/>
                <w:szCs w:val="20"/>
              </w:rPr>
            </w:pPr>
          </w:p>
          <w:p w:rsidR="005039E7" w:rsidRPr="005039E7" w:rsidRDefault="00D437E9" w:rsidP="0050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SUBSEQUENT CORE GROUP MEETING</w:t>
            </w:r>
          </w:p>
          <w:p w:rsidR="005039E7" w:rsidRPr="00DE4506" w:rsidRDefault="005039E7" w:rsidP="005039E7">
            <w:pPr>
              <w:rPr>
                <w:b w:val="0"/>
                <w:sz w:val="20"/>
                <w:szCs w:val="20"/>
              </w:rPr>
            </w:pPr>
          </w:p>
        </w:tc>
      </w:tr>
      <w:tr w:rsidR="004E42D5" w:rsidTr="00615FE7">
        <w:tc>
          <w:tcPr>
            <w:tcW w:w="8472" w:type="dxa"/>
          </w:tcPr>
          <w:p w:rsidR="004E42D5" w:rsidRDefault="004E42D5" w:rsidP="005039E7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This meeting was held no more than 6 </w:t>
            </w:r>
            <w:r w:rsidR="00A77762">
              <w:rPr>
                <w:b w:val="0"/>
                <w:sz w:val="20"/>
                <w:szCs w:val="20"/>
              </w:rPr>
              <w:t>weeks from the last Core Group m</w:t>
            </w:r>
            <w:r>
              <w:rPr>
                <w:b w:val="0"/>
                <w:sz w:val="20"/>
                <w:szCs w:val="20"/>
              </w:rPr>
              <w:t>eeting.</w:t>
            </w:r>
          </w:p>
          <w:p w:rsidR="004E42D5" w:rsidRPr="00DE4506" w:rsidRDefault="004E42D5" w:rsidP="0094766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70" w:type="dxa"/>
          </w:tcPr>
          <w:p w:rsidR="004E42D5" w:rsidRPr="00DE4506" w:rsidRDefault="004E42D5" w:rsidP="00B538F5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4E42D5" w:rsidTr="00615FE7">
        <w:tc>
          <w:tcPr>
            <w:tcW w:w="8472" w:type="dxa"/>
          </w:tcPr>
          <w:p w:rsidR="004E42D5" w:rsidRDefault="004E42D5" w:rsidP="0081217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This meeting was chaired by the Lead Social Worker</w:t>
            </w:r>
            <w:r w:rsidR="00615FE7">
              <w:rPr>
                <w:b w:val="0"/>
                <w:sz w:val="20"/>
                <w:szCs w:val="20"/>
              </w:rPr>
              <w:t>.</w:t>
            </w:r>
          </w:p>
          <w:p w:rsidR="004E42D5" w:rsidRPr="00DE4506" w:rsidRDefault="004E42D5" w:rsidP="0081217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70" w:type="dxa"/>
          </w:tcPr>
          <w:p w:rsidR="004E42D5" w:rsidRPr="00DE4506" w:rsidRDefault="004E42D5" w:rsidP="00B538F5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A77762" w:rsidTr="00615FE7">
        <w:tc>
          <w:tcPr>
            <w:tcW w:w="8472" w:type="dxa"/>
          </w:tcPr>
          <w:p w:rsidR="00A77762" w:rsidRDefault="00A77762" w:rsidP="0081217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Professionals identified in the current Child Protection Plan attended meetings.</w:t>
            </w:r>
          </w:p>
          <w:p w:rsidR="00A77762" w:rsidRDefault="00A77762" w:rsidP="0081217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762" w:rsidRPr="00DE4506" w:rsidRDefault="00A77762" w:rsidP="00B538F5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AB393D" w:rsidTr="004E42D5">
        <w:tc>
          <w:tcPr>
            <w:tcW w:w="9242" w:type="dxa"/>
            <w:gridSpan w:val="2"/>
            <w:shd w:val="clear" w:color="auto" w:fill="D6E3BC" w:themeFill="accent3" w:themeFillTint="66"/>
          </w:tcPr>
          <w:p w:rsidR="00AB393D" w:rsidRDefault="00AB393D" w:rsidP="005039E7">
            <w:pPr>
              <w:rPr>
                <w:b w:val="0"/>
                <w:sz w:val="20"/>
                <w:szCs w:val="20"/>
              </w:rPr>
            </w:pPr>
          </w:p>
          <w:p w:rsidR="004E42D5" w:rsidRPr="004E42D5" w:rsidRDefault="004E42D5" w:rsidP="005039E7">
            <w:pPr>
              <w:rPr>
                <w:sz w:val="20"/>
                <w:szCs w:val="20"/>
              </w:rPr>
            </w:pPr>
            <w:r w:rsidRPr="004E42D5">
              <w:rPr>
                <w:sz w:val="20"/>
                <w:szCs w:val="20"/>
              </w:rPr>
              <w:t>CHILD PROTECTION PLAN</w:t>
            </w:r>
          </w:p>
          <w:p w:rsidR="008160FC" w:rsidRPr="00DE4506" w:rsidRDefault="008160FC" w:rsidP="00D437E9">
            <w:pPr>
              <w:rPr>
                <w:b w:val="0"/>
                <w:sz w:val="20"/>
                <w:szCs w:val="20"/>
              </w:rPr>
            </w:pPr>
          </w:p>
        </w:tc>
      </w:tr>
      <w:tr w:rsidR="00483C1B" w:rsidTr="00615FE7">
        <w:tc>
          <w:tcPr>
            <w:tcW w:w="8472" w:type="dxa"/>
          </w:tcPr>
          <w:p w:rsidR="00483C1B" w:rsidRDefault="00483C1B" w:rsidP="00070BB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The Child Protection Plan was developed as per the Core Group outcomes.</w:t>
            </w:r>
          </w:p>
          <w:p w:rsidR="00483C1B" w:rsidRDefault="00483C1B" w:rsidP="00070BB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70" w:type="dxa"/>
          </w:tcPr>
          <w:p w:rsidR="00483C1B" w:rsidRPr="00DE4506" w:rsidRDefault="00483C1B" w:rsidP="00B538F5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4E42D5" w:rsidTr="00615FE7">
        <w:tc>
          <w:tcPr>
            <w:tcW w:w="8472" w:type="dxa"/>
          </w:tcPr>
          <w:p w:rsidR="004E42D5" w:rsidRDefault="00EA4601" w:rsidP="00070BB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The Objectives identified to meet the child’s needs are developed in a S.M.A.R.T (Specific, Measurable, Achievable, Realistic, Timely) way.</w:t>
            </w:r>
          </w:p>
          <w:p w:rsidR="00EA4601" w:rsidRPr="00070BB9" w:rsidRDefault="00EA4601" w:rsidP="00070BB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70" w:type="dxa"/>
          </w:tcPr>
          <w:p w:rsidR="004E42D5" w:rsidRPr="00DE4506" w:rsidRDefault="004E42D5" w:rsidP="00B538F5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4E42D5" w:rsidTr="00615FE7">
        <w:tc>
          <w:tcPr>
            <w:tcW w:w="8472" w:type="dxa"/>
          </w:tcPr>
          <w:p w:rsidR="004E42D5" w:rsidRDefault="00EA4601" w:rsidP="00483C1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Each item </w:t>
            </w:r>
            <w:r w:rsidR="00483C1B">
              <w:rPr>
                <w:b w:val="0"/>
                <w:sz w:val="20"/>
                <w:szCs w:val="20"/>
              </w:rPr>
              <w:t>of the Child Protection Plan is discussed at Core Group Meetings to ensure the objectives are appropriate for the child’s needs.</w:t>
            </w:r>
          </w:p>
          <w:p w:rsidR="00F610AD" w:rsidRPr="00DE4506" w:rsidRDefault="00F610AD" w:rsidP="00AB393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70" w:type="dxa"/>
          </w:tcPr>
          <w:p w:rsidR="004E42D5" w:rsidRPr="00DE4506" w:rsidRDefault="004E42D5" w:rsidP="00B538F5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4E42D5" w:rsidTr="00615FE7">
        <w:tc>
          <w:tcPr>
            <w:tcW w:w="8472" w:type="dxa"/>
          </w:tcPr>
          <w:p w:rsidR="004E42D5" w:rsidRDefault="00483C1B" w:rsidP="00483C1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Difficulties with the Child Protection Plan (e.g. inability to access child, difficulties implementing the plan or disagreements about the plan) are documented </w:t>
            </w:r>
            <w:r w:rsidR="00A62201">
              <w:rPr>
                <w:b w:val="0"/>
                <w:sz w:val="20"/>
                <w:szCs w:val="20"/>
              </w:rPr>
              <w:t xml:space="preserve">and addressed by the Core Group and best efforts are made to resolve issues within the core group meeting before considering escalation. </w:t>
            </w:r>
          </w:p>
          <w:p w:rsidR="00A77762" w:rsidRPr="00DE4506" w:rsidRDefault="00A77762" w:rsidP="00483C1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70" w:type="dxa"/>
          </w:tcPr>
          <w:p w:rsidR="004E42D5" w:rsidRPr="00DE4506" w:rsidRDefault="004E42D5" w:rsidP="00B538F5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483C1B" w:rsidTr="00615FE7">
        <w:tc>
          <w:tcPr>
            <w:tcW w:w="8472" w:type="dxa"/>
          </w:tcPr>
          <w:p w:rsidR="00483C1B" w:rsidRDefault="00483C1B" w:rsidP="00483C1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The following actions have been considered where difficulties identified impact on the child’s safety:</w:t>
            </w:r>
          </w:p>
          <w:p w:rsidR="00483C1B" w:rsidRPr="00483C1B" w:rsidRDefault="00483C1B" w:rsidP="00483C1B">
            <w:pPr>
              <w:pStyle w:val="ListParagraph"/>
              <w:numPr>
                <w:ilvl w:val="0"/>
                <w:numId w:val="3"/>
              </w:numPr>
              <w:jc w:val="both"/>
              <w:rPr>
                <w:b w:val="0"/>
                <w:sz w:val="20"/>
                <w:szCs w:val="20"/>
              </w:rPr>
            </w:pPr>
            <w:r w:rsidRPr="00483C1B">
              <w:rPr>
                <w:b w:val="0"/>
                <w:sz w:val="20"/>
                <w:szCs w:val="20"/>
              </w:rPr>
              <w:t>A section 47 Enquiry</w:t>
            </w:r>
          </w:p>
          <w:p w:rsidR="00483C1B" w:rsidRPr="00483C1B" w:rsidRDefault="00483C1B" w:rsidP="00483C1B">
            <w:pPr>
              <w:pStyle w:val="ListParagraph"/>
              <w:numPr>
                <w:ilvl w:val="0"/>
                <w:numId w:val="3"/>
              </w:numPr>
              <w:jc w:val="both"/>
              <w:rPr>
                <w:b w:val="0"/>
                <w:sz w:val="20"/>
                <w:szCs w:val="20"/>
              </w:rPr>
            </w:pPr>
            <w:r w:rsidRPr="00483C1B">
              <w:rPr>
                <w:b w:val="0"/>
                <w:sz w:val="20"/>
                <w:szCs w:val="20"/>
              </w:rPr>
              <w:t>Bring Forward Child protection Review</w:t>
            </w:r>
            <w:r>
              <w:rPr>
                <w:b w:val="0"/>
                <w:sz w:val="20"/>
                <w:szCs w:val="20"/>
              </w:rPr>
              <w:t xml:space="preserve"> C</w:t>
            </w:r>
            <w:r w:rsidRPr="00483C1B">
              <w:rPr>
                <w:b w:val="0"/>
                <w:sz w:val="20"/>
                <w:szCs w:val="20"/>
              </w:rPr>
              <w:t>onference</w:t>
            </w:r>
          </w:p>
          <w:p w:rsidR="00483C1B" w:rsidRDefault="00483C1B" w:rsidP="00483C1B">
            <w:pPr>
              <w:pStyle w:val="ListParagraph"/>
              <w:numPr>
                <w:ilvl w:val="0"/>
                <w:numId w:val="3"/>
              </w:num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Immediate L</w:t>
            </w:r>
            <w:r w:rsidRPr="00483C1B">
              <w:rPr>
                <w:b w:val="0"/>
                <w:sz w:val="20"/>
                <w:szCs w:val="20"/>
              </w:rPr>
              <w:t>egal Action</w:t>
            </w:r>
          </w:p>
          <w:p w:rsidR="00A77762" w:rsidRPr="001531C9" w:rsidRDefault="00A77762" w:rsidP="00A77762">
            <w:pPr>
              <w:pStyle w:val="ListParagraph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70" w:type="dxa"/>
          </w:tcPr>
          <w:p w:rsidR="00483C1B" w:rsidRPr="00DE4506" w:rsidRDefault="00483C1B" w:rsidP="00B538F5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483C1B" w:rsidTr="00A77762">
        <w:tc>
          <w:tcPr>
            <w:tcW w:w="8472" w:type="dxa"/>
            <w:tcBorders>
              <w:bottom w:val="single" w:sz="4" w:space="0" w:color="auto"/>
            </w:tcBorders>
          </w:tcPr>
          <w:p w:rsidR="00615FE7" w:rsidRDefault="00615FE7" w:rsidP="00483C1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Any disagreements or concerns between professionals about the p</w:t>
            </w:r>
            <w:r w:rsidR="00224E2F">
              <w:rPr>
                <w:b w:val="0"/>
                <w:sz w:val="20"/>
                <w:szCs w:val="20"/>
              </w:rPr>
              <w:t>lan</w:t>
            </w:r>
            <w:r>
              <w:rPr>
                <w:b w:val="0"/>
                <w:sz w:val="20"/>
                <w:szCs w:val="20"/>
              </w:rPr>
              <w:t xml:space="preserve"> are </w:t>
            </w:r>
            <w:r w:rsidR="00783275">
              <w:rPr>
                <w:b w:val="0"/>
                <w:sz w:val="20"/>
                <w:szCs w:val="20"/>
              </w:rPr>
              <w:t>addressed between</w:t>
            </w:r>
            <w:r w:rsidR="00A62201">
              <w:rPr>
                <w:b w:val="0"/>
                <w:sz w:val="20"/>
                <w:szCs w:val="20"/>
              </w:rPr>
              <w:t xml:space="preserve"> </w:t>
            </w:r>
            <w:r w:rsidR="00224E2F">
              <w:rPr>
                <w:b w:val="0"/>
                <w:sz w:val="20"/>
                <w:szCs w:val="20"/>
              </w:rPr>
              <w:t>l</w:t>
            </w:r>
            <w:r>
              <w:rPr>
                <w:b w:val="0"/>
                <w:sz w:val="20"/>
                <w:szCs w:val="20"/>
              </w:rPr>
              <w:t xml:space="preserve">ine managers </w:t>
            </w:r>
            <w:r w:rsidR="00224E2F">
              <w:rPr>
                <w:b w:val="0"/>
                <w:sz w:val="20"/>
                <w:szCs w:val="20"/>
              </w:rPr>
              <w:t xml:space="preserve">of each agency </w:t>
            </w:r>
            <w:r>
              <w:rPr>
                <w:b w:val="0"/>
                <w:sz w:val="20"/>
                <w:szCs w:val="20"/>
              </w:rPr>
              <w:t>at the first instance</w:t>
            </w:r>
            <w:r w:rsidR="00224E2F">
              <w:rPr>
                <w:b w:val="0"/>
                <w:sz w:val="20"/>
                <w:szCs w:val="20"/>
              </w:rPr>
              <w:t xml:space="preserve">. If issues are not resolved, disputes are referred to </w:t>
            </w:r>
            <w:r>
              <w:rPr>
                <w:b w:val="0"/>
                <w:sz w:val="20"/>
                <w:szCs w:val="20"/>
              </w:rPr>
              <w:t xml:space="preserve">the </w:t>
            </w:r>
            <w:r w:rsidR="00224E2F">
              <w:rPr>
                <w:b w:val="0"/>
                <w:sz w:val="20"/>
                <w:szCs w:val="20"/>
              </w:rPr>
              <w:t>H</w:t>
            </w:r>
            <w:r>
              <w:rPr>
                <w:b w:val="0"/>
                <w:sz w:val="20"/>
                <w:szCs w:val="20"/>
              </w:rPr>
              <w:t xml:space="preserve">eads of </w:t>
            </w:r>
            <w:r w:rsidR="00224E2F">
              <w:rPr>
                <w:b w:val="0"/>
                <w:sz w:val="20"/>
                <w:szCs w:val="20"/>
              </w:rPr>
              <w:t>Service</w:t>
            </w:r>
            <w:r>
              <w:rPr>
                <w:b w:val="0"/>
                <w:sz w:val="20"/>
                <w:szCs w:val="20"/>
              </w:rPr>
              <w:t xml:space="preserve"> for each agency </w:t>
            </w:r>
            <w:r w:rsidR="00224E2F">
              <w:rPr>
                <w:b w:val="0"/>
                <w:sz w:val="20"/>
                <w:szCs w:val="20"/>
              </w:rPr>
              <w:t>involved.</w:t>
            </w:r>
          </w:p>
          <w:p w:rsidR="00615FE7" w:rsidRDefault="00615FE7" w:rsidP="00483C1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483C1B" w:rsidRPr="00DE4506" w:rsidRDefault="00483C1B" w:rsidP="00B538F5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1C70A2" w:rsidTr="00A77762">
        <w:tc>
          <w:tcPr>
            <w:tcW w:w="8472" w:type="dxa"/>
            <w:shd w:val="clear" w:color="auto" w:fill="D6E3BC" w:themeFill="accent3" w:themeFillTint="66"/>
          </w:tcPr>
          <w:p w:rsidR="001C70A2" w:rsidRDefault="001C70A2" w:rsidP="00483C1B">
            <w:pPr>
              <w:jc w:val="both"/>
              <w:rPr>
                <w:b w:val="0"/>
                <w:sz w:val="20"/>
                <w:szCs w:val="20"/>
              </w:rPr>
            </w:pPr>
          </w:p>
          <w:p w:rsidR="001C70A2" w:rsidRPr="001C70A2" w:rsidRDefault="001C70A2" w:rsidP="00483C1B">
            <w:pPr>
              <w:jc w:val="both"/>
              <w:rPr>
                <w:sz w:val="20"/>
                <w:szCs w:val="20"/>
              </w:rPr>
            </w:pPr>
            <w:r w:rsidRPr="001C70A2">
              <w:rPr>
                <w:sz w:val="20"/>
                <w:szCs w:val="20"/>
              </w:rPr>
              <w:t>MINUTES</w:t>
            </w:r>
          </w:p>
          <w:p w:rsidR="001C70A2" w:rsidRDefault="001C70A2" w:rsidP="00483C1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D6E3BC" w:themeFill="accent3" w:themeFillTint="66"/>
          </w:tcPr>
          <w:p w:rsidR="001C70A2" w:rsidRPr="00DE4506" w:rsidRDefault="001C70A2" w:rsidP="00B538F5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1C70A2" w:rsidTr="00615FE7">
        <w:tc>
          <w:tcPr>
            <w:tcW w:w="8472" w:type="dxa"/>
          </w:tcPr>
          <w:p w:rsidR="001C70A2" w:rsidRDefault="00A77762" w:rsidP="00483C1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Minutes from meeting have been circulated</w:t>
            </w:r>
            <w:r w:rsidR="00D639E2">
              <w:rPr>
                <w:b w:val="0"/>
                <w:sz w:val="20"/>
                <w:szCs w:val="20"/>
              </w:rPr>
              <w:t xml:space="preserve"> within 10 working days of the meeting.</w:t>
            </w:r>
          </w:p>
          <w:p w:rsidR="00A77762" w:rsidRDefault="00A77762" w:rsidP="00483C1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70" w:type="dxa"/>
          </w:tcPr>
          <w:p w:rsidR="001C70A2" w:rsidRPr="00DE4506" w:rsidRDefault="001C70A2" w:rsidP="00B538F5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B538F5" w:rsidRDefault="00B538F5" w:rsidP="00CD237A"/>
    <w:sectPr w:rsidR="00B538F5" w:rsidSect="00564B3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6E6" w:rsidRDefault="005466E6" w:rsidP="005466E6">
      <w:pPr>
        <w:spacing w:after="0" w:line="240" w:lineRule="auto"/>
      </w:pPr>
      <w:r>
        <w:separator/>
      </w:r>
    </w:p>
  </w:endnote>
  <w:endnote w:type="continuationSeparator" w:id="0">
    <w:p w:rsidR="005466E6" w:rsidRDefault="005466E6" w:rsidP="0054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E6" w:rsidRDefault="004E42D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b w:val="0"/>
        <w:sz w:val="18"/>
        <w:szCs w:val="18"/>
      </w:rPr>
      <w:t>Core Group Meeting</w:t>
    </w:r>
    <w:r w:rsidR="005466E6" w:rsidRPr="005466E6">
      <w:rPr>
        <w:rFonts w:asciiTheme="majorHAnsi" w:eastAsiaTheme="majorEastAsia" w:hAnsiTheme="majorHAnsi" w:cstheme="majorBidi"/>
        <w:b w:val="0"/>
        <w:sz w:val="18"/>
        <w:szCs w:val="18"/>
      </w:rPr>
      <w:t xml:space="preserve"> Checklist – </w:t>
    </w:r>
    <w:r w:rsidR="00AA6654">
      <w:rPr>
        <w:rFonts w:asciiTheme="majorHAnsi" w:eastAsiaTheme="majorEastAsia" w:hAnsiTheme="majorHAnsi" w:cstheme="majorBidi"/>
        <w:b w:val="0"/>
        <w:sz w:val="18"/>
        <w:szCs w:val="18"/>
      </w:rPr>
      <w:t xml:space="preserve">Final </w:t>
    </w:r>
    <w:r w:rsidR="00783275">
      <w:rPr>
        <w:rFonts w:asciiTheme="majorHAnsi" w:eastAsiaTheme="majorEastAsia" w:hAnsiTheme="majorHAnsi" w:cstheme="majorBidi"/>
        <w:b w:val="0"/>
        <w:sz w:val="18"/>
        <w:szCs w:val="18"/>
      </w:rPr>
      <w:t>January 2017</w:t>
    </w:r>
    <w:r w:rsidR="00835BE2">
      <w:rPr>
        <w:rFonts w:asciiTheme="majorHAnsi" w:eastAsiaTheme="majorEastAsia" w:hAnsiTheme="majorHAnsi" w:cstheme="majorBidi"/>
        <w:b w:val="0"/>
        <w:sz w:val="18"/>
        <w:szCs w:val="18"/>
      </w:rPr>
      <w:t xml:space="preserve"> </w:t>
    </w:r>
    <w:r w:rsidR="005466E6">
      <w:rPr>
        <w:rFonts w:asciiTheme="majorHAnsi" w:eastAsiaTheme="majorEastAsia" w:hAnsiTheme="majorHAnsi" w:cstheme="majorBidi"/>
      </w:rPr>
      <w:ptab w:relativeTo="margin" w:alignment="right" w:leader="none"/>
    </w:r>
    <w:r w:rsidR="005466E6">
      <w:rPr>
        <w:rFonts w:asciiTheme="majorHAnsi" w:eastAsiaTheme="majorEastAsia" w:hAnsiTheme="majorHAnsi" w:cstheme="majorBidi"/>
      </w:rPr>
      <w:t xml:space="preserve">Page </w:t>
    </w:r>
    <w:r w:rsidR="00564B37" w:rsidRPr="00564B37">
      <w:rPr>
        <w:rFonts w:asciiTheme="minorHAnsi" w:eastAsiaTheme="minorEastAsia" w:hAnsiTheme="minorHAnsi" w:cstheme="minorBidi"/>
      </w:rPr>
      <w:fldChar w:fldCharType="begin"/>
    </w:r>
    <w:r w:rsidR="005466E6">
      <w:instrText xml:space="preserve"> PAGE   \* MERGEFORMAT </w:instrText>
    </w:r>
    <w:r w:rsidR="00564B37" w:rsidRPr="00564B37">
      <w:rPr>
        <w:rFonts w:asciiTheme="minorHAnsi" w:eastAsiaTheme="minorEastAsia" w:hAnsiTheme="minorHAnsi" w:cstheme="minorBidi"/>
      </w:rPr>
      <w:fldChar w:fldCharType="separate"/>
    </w:r>
    <w:r w:rsidR="00783275" w:rsidRPr="00783275">
      <w:rPr>
        <w:rFonts w:asciiTheme="majorHAnsi" w:eastAsiaTheme="majorEastAsia" w:hAnsiTheme="majorHAnsi" w:cstheme="majorBidi"/>
        <w:noProof/>
      </w:rPr>
      <w:t>1</w:t>
    </w:r>
    <w:r w:rsidR="00564B37">
      <w:rPr>
        <w:rFonts w:asciiTheme="majorHAnsi" w:eastAsiaTheme="majorEastAsia" w:hAnsiTheme="majorHAnsi" w:cstheme="majorBidi"/>
        <w:noProof/>
      </w:rPr>
      <w:fldChar w:fldCharType="end"/>
    </w:r>
  </w:p>
  <w:p w:rsidR="005466E6" w:rsidRDefault="005466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6E6" w:rsidRDefault="005466E6" w:rsidP="005466E6">
      <w:pPr>
        <w:spacing w:after="0" w:line="240" w:lineRule="auto"/>
      </w:pPr>
      <w:r>
        <w:separator/>
      </w:r>
    </w:p>
  </w:footnote>
  <w:footnote w:type="continuationSeparator" w:id="0">
    <w:p w:rsidR="005466E6" w:rsidRDefault="005466E6" w:rsidP="00546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D5C"/>
    <w:multiLevelType w:val="hybridMultilevel"/>
    <w:tmpl w:val="DECCD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97D77"/>
    <w:multiLevelType w:val="hybridMultilevel"/>
    <w:tmpl w:val="32E49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75AF0"/>
    <w:multiLevelType w:val="hybridMultilevel"/>
    <w:tmpl w:val="C394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8F5"/>
    <w:rsid w:val="00004DBA"/>
    <w:rsid w:val="00070BB9"/>
    <w:rsid w:val="0009711D"/>
    <w:rsid w:val="000F615B"/>
    <w:rsid w:val="001531C9"/>
    <w:rsid w:val="001C70A2"/>
    <w:rsid w:val="0020658F"/>
    <w:rsid w:val="00224E2F"/>
    <w:rsid w:val="00393DC6"/>
    <w:rsid w:val="003D16D4"/>
    <w:rsid w:val="00422C7A"/>
    <w:rsid w:val="00444CFC"/>
    <w:rsid w:val="004733BF"/>
    <w:rsid w:val="00483C1B"/>
    <w:rsid w:val="004E42D5"/>
    <w:rsid w:val="005039E7"/>
    <w:rsid w:val="005466E6"/>
    <w:rsid w:val="00564B37"/>
    <w:rsid w:val="0057482A"/>
    <w:rsid w:val="00615FE7"/>
    <w:rsid w:val="00783275"/>
    <w:rsid w:val="007A75C6"/>
    <w:rsid w:val="00812177"/>
    <w:rsid w:val="008160FC"/>
    <w:rsid w:val="00835BE2"/>
    <w:rsid w:val="0092114E"/>
    <w:rsid w:val="00947660"/>
    <w:rsid w:val="009E1CFC"/>
    <w:rsid w:val="00A62201"/>
    <w:rsid w:val="00A77762"/>
    <w:rsid w:val="00A8274D"/>
    <w:rsid w:val="00AA6654"/>
    <w:rsid w:val="00AB393D"/>
    <w:rsid w:val="00B538F5"/>
    <w:rsid w:val="00CD237A"/>
    <w:rsid w:val="00D437E9"/>
    <w:rsid w:val="00D639E2"/>
    <w:rsid w:val="00DE4506"/>
    <w:rsid w:val="00E92DF7"/>
    <w:rsid w:val="00EA4601"/>
    <w:rsid w:val="00F11691"/>
    <w:rsid w:val="00F6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1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6E6"/>
  </w:style>
  <w:style w:type="paragraph" w:styleId="Footer">
    <w:name w:val="footer"/>
    <w:basedOn w:val="Normal"/>
    <w:link w:val="FooterChar"/>
    <w:uiPriority w:val="99"/>
    <w:unhideWhenUsed/>
    <w:rsid w:val="00546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6E6"/>
  </w:style>
  <w:style w:type="paragraph" w:styleId="BalloonText">
    <w:name w:val="Balloon Text"/>
    <w:basedOn w:val="Normal"/>
    <w:link w:val="BalloonTextChar"/>
    <w:uiPriority w:val="99"/>
    <w:semiHidden/>
    <w:unhideWhenUsed/>
    <w:rsid w:val="0054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23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21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6E6"/>
  </w:style>
  <w:style w:type="paragraph" w:styleId="Footer">
    <w:name w:val="footer"/>
    <w:basedOn w:val="Normal"/>
    <w:link w:val="FooterChar"/>
    <w:uiPriority w:val="99"/>
    <w:unhideWhenUsed/>
    <w:rsid w:val="00546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6E6"/>
  </w:style>
  <w:style w:type="paragraph" w:styleId="BalloonText">
    <w:name w:val="Balloon Text"/>
    <w:basedOn w:val="Normal"/>
    <w:link w:val="BalloonTextChar"/>
    <w:uiPriority w:val="99"/>
    <w:semiHidden/>
    <w:unhideWhenUsed/>
    <w:rsid w:val="0054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23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Johnson</dc:creator>
  <cp:lastModifiedBy>Aimee Spiers</cp:lastModifiedBy>
  <cp:revision>2</cp:revision>
  <cp:lastPrinted>2016-09-22T06:36:00Z</cp:lastPrinted>
  <dcterms:created xsi:type="dcterms:W3CDTF">2017-02-24T09:56:00Z</dcterms:created>
  <dcterms:modified xsi:type="dcterms:W3CDTF">2017-02-24T09:56:00Z</dcterms:modified>
</cp:coreProperties>
</file>