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15877" w:type="dxa"/>
        <w:tblInd w:w="-993" w:type="dxa"/>
        <w:tblLook w:val="04A0" w:firstRow="1" w:lastRow="0" w:firstColumn="1" w:lastColumn="0" w:noHBand="0" w:noVBand="1"/>
      </w:tblPr>
      <w:tblGrid>
        <w:gridCol w:w="284"/>
        <w:gridCol w:w="15593"/>
      </w:tblGrid>
      <w:tr w:rsidR="00E7521C" w:rsidRPr="004562CC" w:rsidTr="000970DF">
        <w:trPr>
          <w:trHeight w:val="1701"/>
        </w:trPr>
        <w:tc>
          <w:tcPr>
            <w:tcW w:w="284" w:type="dxa"/>
            <w:tcBorders>
              <w:top w:val="nil"/>
              <w:left w:val="nil"/>
              <w:bottom w:val="nil"/>
              <w:right w:val="nil"/>
            </w:tcBorders>
          </w:tcPr>
          <w:p w:rsidR="00E7521C" w:rsidRPr="005B5B33" w:rsidRDefault="00E7521C" w:rsidP="005B5B33">
            <w:pPr>
              <w:rPr>
                <w:rFonts w:ascii="Verdana" w:hAnsi="Verdana" w:cs="Arial"/>
                <w:color w:val="FFFFFF" w:themeColor="background1"/>
                <w:sz w:val="20"/>
                <w:szCs w:val="20"/>
              </w:rPr>
            </w:pPr>
          </w:p>
        </w:tc>
        <w:tc>
          <w:tcPr>
            <w:tcW w:w="15593" w:type="dxa"/>
            <w:tcBorders>
              <w:top w:val="nil"/>
              <w:left w:val="nil"/>
              <w:bottom w:val="nil"/>
              <w:right w:val="nil"/>
            </w:tcBorders>
            <w:shd w:val="clear" w:color="auto" w:fill="FEC306" w:themeFill="accent5"/>
          </w:tcPr>
          <w:p w:rsidR="00103F78" w:rsidRPr="003E2803" w:rsidRDefault="00CD6432" w:rsidP="005B5B33">
            <w:pPr>
              <w:rPr>
                <w:rFonts w:asciiTheme="majorHAnsi" w:hAnsiTheme="majorHAnsi" w:cs="Tahoma"/>
                <w:b/>
                <w:i/>
                <w:iCs/>
                <w:u w:val="single"/>
              </w:rPr>
            </w:pPr>
            <w:r w:rsidRPr="003E2803">
              <w:rPr>
                <w:rFonts w:asciiTheme="majorHAnsi" w:hAnsiTheme="majorHAnsi" w:cs="Tahoma"/>
                <w:b/>
                <w:i/>
                <w:iCs/>
                <w:u w:val="single"/>
              </w:rPr>
              <w:t>Child sexual exploitation is a form of child sexual abuse.</w:t>
            </w:r>
          </w:p>
          <w:p w:rsidR="003A0116" w:rsidRPr="003E2803" w:rsidRDefault="00CD6432" w:rsidP="005B5B33">
            <w:pPr>
              <w:rPr>
                <w:rFonts w:asciiTheme="majorHAnsi" w:hAnsiTheme="majorHAnsi" w:cs="Tahoma"/>
                <w:b/>
                <w:i/>
                <w:iCs/>
                <w:u w:val="single"/>
              </w:rPr>
            </w:pPr>
            <w:r w:rsidRPr="003E2803">
              <w:rPr>
                <w:rFonts w:asciiTheme="majorHAnsi" w:hAnsiTheme="majorHAnsi" w:cs="Tahoma"/>
                <w:i/>
                <w:iCs/>
              </w:rPr>
              <w:t xml:space="preserve">It occurs where an individual or group takes advantage of an </w:t>
            </w:r>
            <w:r w:rsidRPr="003E2803">
              <w:rPr>
                <w:rFonts w:asciiTheme="majorHAnsi" w:hAnsiTheme="majorHAnsi" w:cs="Tahoma"/>
                <w:b/>
                <w:i/>
                <w:iCs/>
              </w:rPr>
              <w:t>imbalance of power</w:t>
            </w:r>
            <w:r w:rsidRPr="003E2803">
              <w:rPr>
                <w:rFonts w:asciiTheme="majorHAnsi" w:hAnsiTheme="majorHAnsi" w:cs="Tahoma"/>
                <w:i/>
                <w:iCs/>
              </w:rPr>
              <w:t xml:space="preserve"> to </w:t>
            </w:r>
            <w:r w:rsidRPr="003E2803">
              <w:rPr>
                <w:rFonts w:asciiTheme="majorHAnsi" w:hAnsiTheme="majorHAnsi" w:cs="Tahoma"/>
                <w:b/>
                <w:i/>
                <w:iCs/>
              </w:rPr>
              <w:t>coerce</w:t>
            </w:r>
            <w:r w:rsidRPr="003E2803">
              <w:rPr>
                <w:rFonts w:asciiTheme="majorHAnsi" w:hAnsiTheme="majorHAnsi" w:cs="Tahoma"/>
                <w:i/>
                <w:iCs/>
              </w:rPr>
              <w:t xml:space="preserve">, </w:t>
            </w:r>
            <w:r w:rsidRPr="003E2803">
              <w:rPr>
                <w:rFonts w:asciiTheme="majorHAnsi" w:hAnsiTheme="majorHAnsi" w:cs="Tahoma"/>
                <w:b/>
                <w:i/>
                <w:iCs/>
              </w:rPr>
              <w:t>manipulate</w:t>
            </w:r>
            <w:r w:rsidRPr="003E2803">
              <w:rPr>
                <w:rFonts w:asciiTheme="majorHAnsi" w:hAnsiTheme="majorHAnsi" w:cs="Tahoma"/>
                <w:i/>
                <w:iCs/>
              </w:rPr>
              <w:t xml:space="preserve"> or </w:t>
            </w:r>
            <w:r w:rsidRPr="003E2803">
              <w:rPr>
                <w:rFonts w:asciiTheme="majorHAnsi" w:hAnsiTheme="majorHAnsi" w:cs="Tahoma"/>
                <w:b/>
                <w:i/>
                <w:iCs/>
              </w:rPr>
              <w:t xml:space="preserve">deceive </w:t>
            </w:r>
            <w:r w:rsidRPr="003E2803">
              <w:rPr>
                <w:rFonts w:asciiTheme="majorHAnsi" w:hAnsiTheme="majorHAnsi" w:cs="Tahoma"/>
                <w:i/>
                <w:iCs/>
              </w:rPr>
              <w:t xml:space="preserve">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w:t>
            </w:r>
            <w:r w:rsidR="00103F78" w:rsidRPr="003E2803">
              <w:rPr>
                <w:rFonts w:asciiTheme="majorHAnsi" w:hAnsiTheme="majorHAnsi" w:cs="Tahoma"/>
                <w:i/>
                <w:iCs/>
              </w:rPr>
              <w:t>technology.</w:t>
            </w:r>
            <w:r w:rsidR="007A531D" w:rsidRPr="003E2803">
              <w:rPr>
                <w:rFonts w:asciiTheme="majorHAnsi" w:hAnsiTheme="majorHAnsi" w:cs="Tahoma"/>
                <w:iCs/>
              </w:rPr>
              <w:t xml:space="preserve"> </w:t>
            </w:r>
            <w:r w:rsidR="00103F78" w:rsidRPr="003E2803">
              <w:rPr>
                <w:rFonts w:asciiTheme="majorHAnsi" w:hAnsiTheme="majorHAnsi" w:cs="Tahoma"/>
                <w:iCs/>
              </w:rPr>
              <w:t xml:space="preserve">Child Sexual Exploitation: Definition </w:t>
            </w:r>
            <w:r w:rsidR="00A71665" w:rsidRPr="003E2803">
              <w:rPr>
                <w:rFonts w:asciiTheme="majorHAnsi" w:hAnsiTheme="majorHAnsi" w:cs="Tahoma"/>
                <w:iCs/>
              </w:rPr>
              <w:t>and a Guide for Practitioners, Local Leaders and Decision M</w:t>
            </w:r>
            <w:r w:rsidR="00103F78" w:rsidRPr="003E2803">
              <w:rPr>
                <w:rFonts w:asciiTheme="majorHAnsi" w:hAnsiTheme="majorHAnsi" w:cs="Tahoma"/>
                <w:iCs/>
              </w:rPr>
              <w:t>ak</w:t>
            </w:r>
            <w:r w:rsidR="00A71665" w:rsidRPr="003E2803">
              <w:rPr>
                <w:rFonts w:asciiTheme="majorHAnsi" w:hAnsiTheme="majorHAnsi" w:cs="Tahoma"/>
                <w:iCs/>
              </w:rPr>
              <w:t>ers Working to Protect Children from Sexual E</w:t>
            </w:r>
            <w:r w:rsidR="00103F78" w:rsidRPr="003E2803">
              <w:rPr>
                <w:rFonts w:asciiTheme="majorHAnsi" w:hAnsiTheme="majorHAnsi" w:cs="Tahoma"/>
                <w:iCs/>
              </w:rPr>
              <w:t>xploitation (DFE February 2017)</w:t>
            </w:r>
          </w:p>
          <w:p w:rsidR="00103F78" w:rsidRPr="003E2803" w:rsidRDefault="00103F78" w:rsidP="005B5B33">
            <w:pPr>
              <w:rPr>
                <w:rFonts w:asciiTheme="majorHAnsi" w:hAnsiTheme="majorHAnsi" w:cs="Tahoma"/>
                <w:iCs/>
              </w:rPr>
            </w:pPr>
          </w:p>
        </w:tc>
      </w:tr>
      <w:tr w:rsidR="00E7521C" w:rsidRPr="004562CC" w:rsidTr="003E2803">
        <w:trPr>
          <w:trHeight w:val="1386"/>
        </w:trPr>
        <w:tc>
          <w:tcPr>
            <w:tcW w:w="284" w:type="dxa"/>
            <w:tcBorders>
              <w:top w:val="nil"/>
              <w:left w:val="nil"/>
              <w:bottom w:val="nil"/>
              <w:right w:val="nil"/>
            </w:tcBorders>
          </w:tcPr>
          <w:p w:rsidR="00E7521C" w:rsidRPr="009C5707" w:rsidRDefault="00E7521C" w:rsidP="00B76002">
            <w:pPr>
              <w:rPr>
                <w:rFonts w:asciiTheme="majorHAnsi" w:hAnsiTheme="majorHAnsi"/>
                <w:sz w:val="20"/>
                <w:szCs w:val="20"/>
              </w:rPr>
            </w:pPr>
          </w:p>
        </w:tc>
        <w:tc>
          <w:tcPr>
            <w:tcW w:w="15593" w:type="dxa"/>
            <w:tcBorders>
              <w:top w:val="nil"/>
              <w:left w:val="nil"/>
              <w:bottom w:val="nil"/>
              <w:right w:val="nil"/>
            </w:tcBorders>
            <w:shd w:val="clear" w:color="auto" w:fill="FEDA69" w:themeFill="accent5" w:themeFillTint="99"/>
          </w:tcPr>
          <w:p w:rsidR="00E7521C" w:rsidRPr="003E2803" w:rsidRDefault="00DD6148" w:rsidP="00CD6432">
            <w:pPr>
              <w:rPr>
                <w:rFonts w:asciiTheme="majorHAnsi" w:hAnsiTheme="majorHAnsi" w:cs="Tahoma"/>
                <w:b/>
                <w:iCs/>
              </w:rPr>
            </w:pPr>
            <w:r w:rsidRPr="003E2803">
              <w:rPr>
                <w:rFonts w:asciiTheme="majorHAnsi" w:hAnsiTheme="majorHAnsi" w:cs="Tahoma"/>
                <w:b/>
                <w:iCs/>
              </w:rPr>
              <w:t>If you have specific concerns that a child is at</w:t>
            </w:r>
            <w:r w:rsidR="007A531D" w:rsidRPr="003E2803">
              <w:rPr>
                <w:rFonts w:asciiTheme="majorHAnsi" w:hAnsiTheme="majorHAnsi" w:cs="Tahoma"/>
                <w:b/>
                <w:iCs/>
              </w:rPr>
              <w:t xml:space="preserve"> risk of, being targeted </w:t>
            </w:r>
            <w:r w:rsidRPr="003E2803">
              <w:rPr>
                <w:rFonts w:asciiTheme="majorHAnsi" w:hAnsiTheme="majorHAnsi" w:cs="Tahoma"/>
                <w:b/>
                <w:iCs/>
              </w:rPr>
              <w:t>or heavily entrenched in CSE you should:</w:t>
            </w:r>
          </w:p>
          <w:p w:rsidR="00DD6148" w:rsidRPr="003E2803" w:rsidRDefault="00DD6148" w:rsidP="00DD6148">
            <w:pPr>
              <w:pStyle w:val="ListParagraph"/>
              <w:numPr>
                <w:ilvl w:val="0"/>
                <w:numId w:val="18"/>
              </w:numPr>
              <w:rPr>
                <w:rFonts w:asciiTheme="majorHAnsi" w:hAnsiTheme="majorHAnsi" w:cs="Tahoma"/>
              </w:rPr>
            </w:pPr>
            <w:r w:rsidRPr="003E2803">
              <w:rPr>
                <w:rFonts w:asciiTheme="majorHAnsi" w:hAnsiTheme="majorHAnsi" w:cs="Tahoma"/>
              </w:rPr>
              <w:t>Speak to your Team Manager for advice immediately</w:t>
            </w:r>
          </w:p>
          <w:p w:rsidR="00DD6148" w:rsidRPr="003E2803" w:rsidRDefault="00DD6148" w:rsidP="00DD6148">
            <w:pPr>
              <w:pStyle w:val="ListParagraph"/>
              <w:numPr>
                <w:ilvl w:val="0"/>
                <w:numId w:val="18"/>
              </w:numPr>
              <w:rPr>
                <w:rFonts w:asciiTheme="majorHAnsi" w:hAnsiTheme="majorHAnsi" w:cs="Tahoma"/>
              </w:rPr>
            </w:pPr>
            <w:r w:rsidRPr="003E2803">
              <w:rPr>
                <w:rFonts w:asciiTheme="majorHAnsi" w:hAnsiTheme="majorHAnsi" w:cs="Tahoma"/>
              </w:rPr>
              <w:t>Speak to the child and their p</w:t>
            </w:r>
            <w:r w:rsidR="009C5707" w:rsidRPr="003E2803">
              <w:rPr>
                <w:rFonts w:asciiTheme="majorHAnsi" w:hAnsiTheme="majorHAnsi" w:cs="Tahoma"/>
              </w:rPr>
              <w:t>arents/</w:t>
            </w:r>
            <w:r w:rsidR="00A71665" w:rsidRPr="003E2803">
              <w:rPr>
                <w:rFonts w:asciiTheme="majorHAnsi" w:hAnsiTheme="majorHAnsi" w:cs="Tahoma"/>
              </w:rPr>
              <w:t>carers about your concerns</w:t>
            </w:r>
          </w:p>
          <w:p w:rsidR="00DD6148" w:rsidRPr="003E2803" w:rsidRDefault="00DD6148" w:rsidP="00A71665">
            <w:pPr>
              <w:pStyle w:val="ListParagraph"/>
              <w:numPr>
                <w:ilvl w:val="0"/>
                <w:numId w:val="18"/>
              </w:numPr>
              <w:rPr>
                <w:rFonts w:asciiTheme="majorHAnsi" w:hAnsiTheme="majorHAnsi" w:cs="Tahoma"/>
              </w:rPr>
            </w:pPr>
            <w:r w:rsidRPr="003E2803">
              <w:rPr>
                <w:rFonts w:asciiTheme="majorHAnsi" w:hAnsiTheme="majorHAnsi" w:cs="Tahoma"/>
              </w:rPr>
              <w:t>Complete the NWG assessment</w:t>
            </w:r>
            <w:r w:rsidR="00DE0C72" w:rsidRPr="003E2803">
              <w:rPr>
                <w:rFonts w:asciiTheme="majorHAnsi" w:hAnsiTheme="majorHAnsi" w:cs="Tahoma"/>
              </w:rPr>
              <w:t xml:space="preserve"> with as much detail as </w:t>
            </w:r>
            <w:r w:rsidR="00A76EDE" w:rsidRPr="003E2803">
              <w:rPr>
                <w:rFonts w:asciiTheme="majorHAnsi" w:hAnsiTheme="majorHAnsi" w:cs="Tahoma"/>
              </w:rPr>
              <w:t>possible and</w:t>
            </w:r>
            <w:r w:rsidRPr="003E2803">
              <w:rPr>
                <w:rFonts w:asciiTheme="majorHAnsi" w:hAnsiTheme="majorHAnsi" w:cs="Tahoma"/>
              </w:rPr>
              <w:t xml:space="preserve"> workflow via LCS</w:t>
            </w:r>
            <w:r w:rsidR="00A71665" w:rsidRPr="003E2803">
              <w:rPr>
                <w:rFonts w:asciiTheme="majorHAnsi" w:hAnsiTheme="majorHAnsi" w:cs="Tahoma"/>
              </w:rPr>
              <w:t xml:space="preserve"> or EHM</w:t>
            </w:r>
            <w:r w:rsidRPr="003E2803">
              <w:rPr>
                <w:rFonts w:asciiTheme="majorHAnsi" w:hAnsiTheme="majorHAnsi" w:cs="Tahoma"/>
              </w:rPr>
              <w:t xml:space="preserve"> to the CSE team. </w:t>
            </w:r>
            <w:r w:rsidR="00A71665" w:rsidRPr="003E2803">
              <w:rPr>
                <w:rFonts w:asciiTheme="majorHAnsi" w:hAnsiTheme="majorHAnsi" w:cs="Tahoma"/>
              </w:rPr>
              <w:t>[where possible complete the NWG assessment with the parents and or child]</w:t>
            </w:r>
          </w:p>
          <w:p w:rsidR="00103F78" w:rsidRPr="003E2803" w:rsidRDefault="00103F78" w:rsidP="00103F78">
            <w:pPr>
              <w:pStyle w:val="ListParagraph"/>
              <w:rPr>
                <w:rFonts w:asciiTheme="majorHAnsi" w:hAnsiTheme="majorHAnsi" w:cs="Tahoma"/>
              </w:rPr>
            </w:pPr>
          </w:p>
        </w:tc>
      </w:tr>
      <w:tr w:rsidR="00E7521C" w:rsidRPr="004562CC" w:rsidTr="003E2803">
        <w:trPr>
          <w:trHeight w:val="1154"/>
        </w:trPr>
        <w:tc>
          <w:tcPr>
            <w:tcW w:w="284" w:type="dxa"/>
            <w:tcBorders>
              <w:top w:val="nil"/>
              <w:left w:val="nil"/>
              <w:bottom w:val="nil"/>
              <w:right w:val="nil"/>
            </w:tcBorders>
          </w:tcPr>
          <w:p w:rsidR="00E7521C" w:rsidRPr="004562CC" w:rsidRDefault="00E7521C" w:rsidP="00B76002">
            <w:pPr>
              <w:rPr>
                <w:rFonts w:ascii="Baskerville Old Face" w:hAnsi="Baskerville Old Face"/>
                <w:sz w:val="20"/>
                <w:szCs w:val="20"/>
              </w:rPr>
            </w:pPr>
          </w:p>
        </w:tc>
        <w:tc>
          <w:tcPr>
            <w:tcW w:w="15593" w:type="dxa"/>
            <w:tcBorders>
              <w:top w:val="nil"/>
              <w:left w:val="nil"/>
              <w:bottom w:val="nil"/>
              <w:right w:val="nil"/>
            </w:tcBorders>
            <w:shd w:val="clear" w:color="auto" w:fill="FEE69B" w:themeFill="accent5" w:themeFillTint="66"/>
          </w:tcPr>
          <w:p w:rsidR="00DD6148" w:rsidRPr="003E2803" w:rsidRDefault="00DD6148" w:rsidP="00DD6148">
            <w:pPr>
              <w:rPr>
                <w:rFonts w:asciiTheme="majorHAnsi" w:hAnsiTheme="majorHAnsi" w:cs="Tahoma"/>
                <w:b/>
              </w:rPr>
            </w:pPr>
            <w:r w:rsidRPr="003E2803">
              <w:rPr>
                <w:rFonts w:asciiTheme="majorHAnsi" w:hAnsiTheme="majorHAnsi" w:cs="Tahoma"/>
                <w:b/>
              </w:rPr>
              <w:t>What will happen to the NWG assessment I have completed?</w:t>
            </w:r>
          </w:p>
          <w:p w:rsidR="00DD6148" w:rsidRPr="003E2803" w:rsidRDefault="00A71665" w:rsidP="00DD6148">
            <w:pPr>
              <w:pStyle w:val="ListParagraph"/>
              <w:numPr>
                <w:ilvl w:val="0"/>
                <w:numId w:val="18"/>
              </w:numPr>
              <w:rPr>
                <w:rFonts w:asciiTheme="majorHAnsi" w:hAnsiTheme="majorHAnsi" w:cs="Tahoma"/>
              </w:rPr>
            </w:pPr>
            <w:r w:rsidRPr="003E2803">
              <w:rPr>
                <w:rFonts w:asciiTheme="majorHAnsi" w:hAnsiTheme="majorHAnsi" w:cs="Tahoma"/>
              </w:rPr>
              <w:t xml:space="preserve">The CSE Team Manager </w:t>
            </w:r>
            <w:r w:rsidR="00DD6148" w:rsidRPr="003E2803">
              <w:rPr>
                <w:rFonts w:asciiTheme="majorHAnsi" w:hAnsiTheme="majorHAnsi" w:cs="Tahoma"/>
              </w:rPr>
              <w:t xml:space="preserve">along with the Police CSE Coordinator will review the risk assessment and decide if a MASE is required; you will receive a notification via an LCS </w:t>
            </w:r>
            <w:r w:rsidRPr="003E2803">
              <w:rPr>
                <w:rFonts w:asciiTheme="majorHAnsi" w:hAnsiTheme="majorHAnsi" w:cs="Tahoma"/>
              </w:rPr>
              <w:t xml:space="preserve">or EHM </w:t>
            </w:r>
            <w:r w:rsidR="00DD6148" w:rsidRPr="003E2803">
              <w:rPr>
                <w:rFonts w:asciiTheme="majorHAnsi" w:hAnsiTheme="majorHAnsi" w:cs="Tahoma"/>
              </w:rPr>
              <w:t>case note of the decision of the CSE Team. If a MASE meeting is scheduled, you will receive a calendar invite</w:t>
            </w:r>
          </w:p>
          <w:p w:rsidR="00E7521C" w:rsidRPr="003E2803" w:rsidRDefault="00DD6148" w:rsidP="009C5707">
            <w:pPr>
              <w:pStyle w:val="ListParagraph"/>
              <w:numPr>
                <w:ilvl w:val="0"/>
                <w:numId w:val="18"/>
              </w:numPr>
              <w:rPr>
                <w:rFonts w:asciiTheme="majorHAnsi" w:hAnsiTheme="majorHAnsi" w:cs="Tahoma"/>
              </w:rPr>
            </w:pPr>
            <w:r w:rsidRPr="003E2803">
              <w:rPr>
                <w:rFonts w:asciiTheme="majorHAnsi" w:hAnsiTheme="majorHAnsi" w:cs="Tahoma"/>
              </w:rPr>
              <w:t>As the</w:t>
            </w:r>
            <w:r w:rsidR="00A71665" w:rsidRPr="003E2803">
              <w:rPr>
                <w:rFonts w:asciiTheme="majorHAnsi" w:hAnsiTheme="majorHAnsi" w:cs="Tahoma"/>
              </w:rPr>
              <w:t xml:space="preserve"> Social Worker or L</w:t>
            </w:r>
            <w:r w:rsidRPr="003E2803">
              <w:rPr>
                <w:rFonts w:asciiTheme="majorHAnsi" w:hAnsiTheme="majorHAnsi" w:cs="Tahoma"/>
              </w:rPr>
              <w:t xml:space="preserve">ead </w:t>
            </w:r>
            <w:r w:rsidR="00A71665" w:rsidRPr="003E2803">
              <w:rPr>
                <w:rFonts w:asciiTheme="majorHAnsi" w:hAnsiTheme="majorHAnsi" w:cs="Tahoma"/>
              </w:rPr>
              <w:t>P</w:t>
            </w:r>
            <w:r w:rsidR="009C5707" w:rsidRPr="003E2803">
              <w:rPr>
                <w:rFonts w:asciiTheme="majorHAnsi" w:hAnsiTheme="majorHAnsi" w:cs="Tahoma"/>
              </w:rPr>
              <w:t>rofessional,</w:t>
            </w:r>
            <w:r w:rsidRPr="003E2803">
              <w:rPr>
                <w:rFonts w:asciiTheme="majorHAnsi" w:hAnsiTheme="majorHAnsi" w:cs="Tahoma"/>
              </w:rPr>
              <w:t xml:space="preserve"> you will invite the Child and their family to the MASE meeting and all relevant professionals</w:t>
            </w:r>
            <w:r w:rsidR="00103F78" w:rsidRPr="003E2803">
              <w:rPr>
                <w:rFonts w:asciiTheme="majorHAnsi" w:hAnsiTheme="majorHAnsi" w:cs="Tahoma"/>
              </w:rPr>
              <w:t>.</w:t>
            </w:r>
          </w:p>
        </w:tc>
      </w:tr>
      <w:tr w:rsidR="00E7521C" w:rsidRPr="004562CC" w:rsidTr="007A531D">
        <w:trPr>
          <w:trHeight w:val="2841"/>
        </w:trPr>
        <w:tc>
          <w:tcPr>
            <w:tcW w:w="284" w:type="dxa"/>
            <w:tcBorders>
              <w:top w:val="nil"/>
              <w:left w:val="nil"/>
              <w:bottom w:val="nil"/>
              <w:right w:val="nil"/>
            </w:tcBorders>
          </w:tcPr>
          <w:p w:rsidR="00E7521C" w:rsidRPr="009C5707" w:rsidRDefault="00E7521C" w:rsidP="00FD3EAE">
            <w:pPr>
              <w:ind w:firstLine="42"/>
              <w:rPr>
                <w:rFonts w:asciiTheme="majorHAnsi" w:hAnsiTheme="majorHAnsi"/>
                <w:noProof/>
                <w:lang w:eastAsia="en-GB"/>
              </w:rPr>
            </w:pPr>
          </w:p>
        </w:tc>
        <w:tc>
          <w:tcPr>
            <w:tcW w:w="15593" w:type="dxa"/>
            <w:tcBorders>
              <w:top w:val="nil"/>
              <w:left w:val="nil"/>
              <w:bottom w:val="nil"/>
              <w:right w:val="nil"/>
            </w:tcBorders>
            <w:shd w:val="clear" w:color="auto" w:fill="FEF2CD" w:themeFill="accent5" w:themeFillTint="33"/>
          </w:tcPr>
          <w:p w:rsidR="00E7521C" w:rsidRPr="003E2803" w:rsidRDefault="009C5707" w:rsidP="009C5707">
            <w:pPr>
              <w:rPr>
                <w:rFonts w:asciiTheme="majorHAnsi" w:hAnsiTheme="majorHAnsi" w:cs="Tahoma"/>
                <w:b/>
              </w:rPr>
            </w:pPr>
            <w:r w:rsidRPr="003E2803">
              <w:rPr>
                <w:rFonts w:asciiTheme="majorHAnsi" w:hAnsiTheme="majorHAnsi" w:cs="Tahoma"/>
                <w:b/>
              </w:rPr>
              <w:t>Risk levels</w:t>
            </w:r>
          </w:p>
          <w:p w:rsidR="009C5707" w:rsidRPr="003E2803" w:rsidRDefault="009C5707" w:rsidP="009C5707">
            <w:pPr>
              <w:rPr>
                <w:rFonts w:asciiTheme="majorHAnsi" w:hAnsiTheme="majorHAnsi" w:cs="Tahoma"/>
                <w:b/>
              </w:rPr>
            </w:pPr>
            <w:r w:rsidRPr="003E2803">
              <w:rPr>
                <w:rFonts w:asciiTheme="majorHAnsi" w:hAnsiTheme="majorHAnsi" w:cs="Tahoma"/>
                <w:b/>
              </w:rPr>
              <w:t>Low/At Risk</w:t>
            </w:r>
          </w:p>
          <w:p w:rsidR="009C5707" w:rsidRPr="003E2803" w:rsidRDefault="009C5707" w:rsidP="000970DF">
            <w:pPr>
              <w:pStyle w:val="ListParagraph"/>
              <w:numPr>
                <w:ilvl w:val="0"/>
                <w:numId w:val="19"/>
              </w:numPr>
              <w:jc w:val="both"/>
              <w:rPr>
                <w:rFonts w:asciiTheme="majorHAnsi" w:hAnsiTheme="majorHAnsi" w:cs="Tahoma"/>
              </w:rPr>
            </w:pPr>
            <w:r w:rsidRPr="003E2803">
              <w:rPr>
                <w:rFonts w:asciiTheme="majorHAnsi" w:hAnsiTheme="majorHAnsi" w:cs="Tahoma"/>
              </w:rPr>
              <w:t>A vulnerable child or young person, where there are concerns they are being targeted and groomed and where any vulnerability factors have been identified. However, at this stage there is no evidence of any offences.</w:t>
            </w:r>
          </w:p>
          <w:p w:rsidR="009C5707" w:rsidRPr="003E2803" w:rsidRDefault="009C5707" w:rsidP="000970DF">
            <w:pPr>
              <w:rPr>
                <w:rFonts w:asciiTheme="majorHAnsi" w:hAnsiTheme="majorHAnsi" w:cs="Tahoma"/>
                <w:b/>
              </w:rPr>
            </w:pPr>
            <w:r w:rsidRPr="003E2803">
              <w:rPr>
                <w:rFonts w:asciiTheme="majorHAnsi" w:hAnsiTheme="majorHAnsi" w:cs="Tahoma"/>
                <w:b/>
              </w:rPr>
              <w:t>Medium/Serious</w:t>
            </w:r>
          </w:p>
          <w:p w:rsidR="009C5707" w:rsidRPr="003E2803" w:rsidRDefault="009C5707" w:rsidP="000970DF">
            <w:pPr>
              <w:pStyle w:val="ListParagraph"/>
              <w:numPr>
                <w:ilvl w:val="0"/>
                <w:numId w:val="19"/>
              </w:numPr>
              <w:jc w:val="both"/>
              <w:rPr>
                <w:rFonts w:asciiTheme="majorHAnsi" w:hAnsiTheme="majorHAnsi" w:cs="Tahoma"/>
              </w:rPr>
            </w:pPr>
            <w:r w:rsidRPr="003E2803">
              <w:rPr>
                <w:rFonts w:asciiTheme="majorHAnsi" w:hAnsiTheme="majorHAnsi" w:cs="Tahoma"/>
              </w:rPr>
              <w:t>Evidence a child or young person is being targeted for opportunistic abuse through the exchange of sex for drugs, perceived affection, sense of belonging, accommodation (overnight stays), money and goods etc. The likelihood of coercion and control is significant.</w:t>
            </w:r>
          </w:p>
          <w:p w:rsidR="009C5707" w:rsidRPr="003E2803" w:rsidRDefault="009C5707" w:rsidP="000970DF">
            <w:pPr>
              <w:jc w:val="both"/>
              <w:rPr>
                <w:rFonts w:asciiTheme="majorHAnsi" w:hAnsiTheme="majorHAnsi" w:cs="Tahoma"/>
                <w:b/>
              </w:rPr>
            </w:pPr>
            <w:r w:rsidRPr="003E2803">
              <w:rPr>
                <w:rFonts w:asciiTheme="majorHAnsi" w:hAnsiTheme="majorHAnsi" w:cs="Tahoma"/>
                <w:b/>
              </w:rPr>
              <w:t>High/Significant</w:t>
            </w:r>
          </w:p>
          <w:p w:rsidR="009C5707" w:rsidRPr="003E2803" w:rsidRDefault="009C5707" w:rsidP="000970DF">
            <w:pPr>
              <w:pStyle w:val="ListParagraph"/>
              <w:numPr>
                <w:ilvl w:val="0"/>
                <w:numId w:val="19"/>
              </w:numPr>
              <w:jc w:val="both"/>
              <w:rPr>
                <w:rFonts w:asciiTheme="majorHAnsi" w:hAnsiTheme="majorHAnsi" w:cs="Tahoma"/>
              </w:rPr>
            </w:pPr>
            <w:r w:rsidRPr="003E2803">
              <w:rPr>
                <w:rFonts w:asciiTheme="majorHAnsi" w:hAnsiTheme="majorHAnsi" w:cs="Tahoma"/>
              </w:rPr>
              <w:t xml:space="preserve">A child or young person whose sexual exploitation is habitual, often self-denied and where coercion or control is implicit. </w:t>
            </w:r>
          </w:p>
          <w:p w:rsidR="009C5707" w:rsidRPr="003E2803" w:rsidRDefault="009C5707" w:rsidP="00103F78">
            <w:pPr>
              <w:ind w:left="720"/>
              <w:jc w:val="both"/>
              <w:rPr>
                <w:rFonts w:asciiTheme="majorHAnsi" w:hAnsiTheme="majorHAnsi" w:cs="Tahoma"/>
              </w:rPr>
            </w:pPr>
            <w:r w:rsidRPr="003E2803">
              <w:rPr>
                <w:rFonts w:asciiTheme="majorHAnsi" w:hAnsiTheme="majorHAnsi" w:cs="Tahoma"/>
              </w:rPr>
              <w:t xml:space="preserve">Young people identified at any of the above risk levels level of risk will be provided with a range of services from relevant agencies informed by the specific needs of each individual. </w:t>
            </w:r>
          </w:p>
        </w:tc>
      </w:tr>
      <w:tr w:rsidR="00E7521C" w:rsidRPr="004562CC" w:rsidTr="006C6827">
        <w:trPr>
          <w:trHeight w:val="1557"/>
        </w:trPr>
        <w:tc>
          <w:tcPr>
            <w:tcW w:w="284" w:type="dxa"/>
            <w:tcBorders>
              <w:top w:val="nil"/>
              <w:left w:val="nil"/>
              <w:bottom w:val="nil"/>
              <w:right w:val="nil"/>
            </w:tcBorders>
          </w:tcPr>
          <w:p w:rsidR="00E7521C" w:rsidRPr="004562CC" w:rsidRDefault="004C774E" w:rsidP="00B76002">
            <w:pPr>
              <w:ind w:firstLine="42"/>
              <w:rPr>
                <w:rFonts w:ascii="Baskerville Old Face" w:hAnsi="Baskerville Old Face"/>
                <w:noProof/>
                <w:sz w:val="20"/>
                <w:szCs w:val="20"/>
                <w:lang w:eastAsia="en-GB"/>
              </w:rPr>
            </w:pPr>
            <w:r>
              <w:t xml:space="preserve"> </w:t>
            </w:r>
          </w:p>
        </w:tc>
        <w:tc>
          <w:tcPr>
            <w:tcW w:w="15593" w:type="dxa"/>
            <w:tcBorders>
              <w:top w:val="nil"/>
              <w:left w:val="nil"/>
              <w:bottom w:val="nil"/>
              <w:right w:val="nil"/>
            </w:tcBorders>
            <w:shd w:val="clear" w:color="auto" w:fill="FEE69B" w:themeFill="accent5" w:themeFillTint="66"/>
          </w:tcPr>
          <w:p w:rsidR="009C5707" w:rsidRPr="003E2803" w:rsidRDefault="009C5707" w:rsidP="009C5707">
            <w:pPr>
              <w:ind w:left="360"/>
              <w:rPr>
                <w:rFonts w:asciiTheme="majorHAnsi" w:hAnsiTheme="majorHAnsi" w:cs="Tahoma"/>
                <w:b/>
                <w:u w:val="single"/>
              </w:rPr>
            </w:pPr>
            <w:r w:rsidRPr="003E2803">
              <w:rPr>
                <w:rFonts w:asciiTheme="majorHAnsi" w:hAnsiTheme="majorHAnsi" w:cs="Tahoma"/>
                <w:b/>
                <w:u w:val="single"/>
              </w:rPr>
              <w:t>Questions to ask yourself:</w:t>
            </w:r>
          </w:p>
          <w:p w:rsidR="009C5707" w:rsidRPr="003E2803" w:rsidRDefault="009C5707" w:rsidP="009C5707">
            <w:pPr>
              <w:numPr>
                <w:ilvl w:val="0"/>
                <w:numId w:val="12"/>
              </w:numPr>
              <w:rPr>
                <w:rFonts w:asciiTheme="majorHAnsi" w:hAnsiTheme="majorHAnsi" w:cs="Tahoma"/>
              </w:rPr>
            </w:pPr>
            <w:r w:rsidRPr="003E2803">
              <w:rPr>
                <w:rFonts w:asciiTheme="majorHAnsi" w:hAnsiTheme="majorHAnsi" w:cs="Tahoma"/>
              </w:rPr>
              <w:t>Do you know how to access and complete a CSE screening tool?</w:t>
            </w:r>
          </w:p>
          <w:p w:rsidR="009C5707" w:rsidRPr="003E2803" w:rsidRDefault="009C5707" w:rsidP="009C5707">
            <w:pPr>
              <w:numPr>
                <w:ilvl w:val="0"/>
                <w:numId w:val="12"/>
              </w:numPr>
              <w:rPr>
                <w:rFonts w:asciiTheme="majorHAnsi" w:hAnsiTheme="majorHAnsi" w:cs="Tahoma"/>
              </w:rPr>
            </w:pPr>
            <w:r w:rsidRPr="003E2803">
              <w:rPr>
                <w:rFonts w:asciiTheme="majorHAnsi" w:hAnsiTheme="majorHAnsi" w:cs="Tahoma"/>
              </w:rPr>
              <w:t xml:space="preserve">Do you known how to access </w:t>
            </w:r>
            <w:r w:rsidR="00103F78" w:rsidRPr="003E2803">
              <w:rPr>
                <w:rFonts w:asciiTheme="majorHAnsi" w:hAnsiTheme="majorHAnsi" w:cs="Tahoma"/>
              </w:rPr>
              <w:t xml:space="preserve">and complete </w:t>
            </w:r>
            <w:r w:rsidRPr="003E2803">
              <w:rPr>
                <w:rFonts w:asciiTheme="majorHAnsi" w:hAnsiTheme="majorHAnsi" w:cs="Tahoma"/>
              </w:rPr>
              <w:t>the NWG risk assessment?</w:t>
            </w:r>
          </w:p>
          <w:p w:rsidR="007A531D" w:rsidRPr="003E2803" w:rsidRDefault="007A531D" w:rsidP="009C5707">
            <w:pPr>
              <w:numPr>
                <w:ilvl w:val="0"/>
                <w:numId w:val="12"/>
              </w:numPr>
              <w:rPr>
                <w:rFonts w:asciiTheme="majorHAnsi" w:hAnsiTheme="majorHAnsi" w:cs="Tahoma"/>
              </w:rPr>
            </w:pPr>
            <w:r w:rsidRPr="003E2803">
              <w:rPr>
                <w:rFonts w:asciiTheme="majorHAnsi" w:hAnsiTheme="majorHAnsi" w:cs="Tahoma"/>
              </w:rPr>
              <w:t>Do you know about the CSE workspace?</w:t>
            </w:r>
            <w:bookmarkStart w:id="0" w:name="_GoBack"/>
            <w:bookmarkEnd w:id="0"/>
          </w:p>
          <w:p w:rsidR="009C5707" w:rsidRPr="003E2803" w:rsidRDefault="009C5707" w:rsidP="009C5707">
            <w:pPr>
              <w:numPr>
                <w:ilvl w:val="0"/>
                <w:numId w:val="12"/>
              </w:numPr>
              <w:rPr>
                <w:rFonts w:asciiTheme="majorHAnsi" w:hAnsiTheme="majorHAnsi" w:cs="Tahoma"/>
              </w:rPr>
            </w:pPr>
            <w:r w:rsidRPr="003E2803">
              <w:rPr>
                <w:rFonts w:asciiTheme="majorHAnsi" w:hAnsiTheme="majorHAnsi" w:cs="Tahoma"/>
              </w:rPr>
              <w:t>Do you know what a MASE is?</w:t>
            </w:r>
          </w:p>
          <w:p w:rsidR="000970DF" w:rsidRPr="003E2803" w:rsidRDefault="000970DF" w:rsidP="009C5707">
            <w:pPr>
              <w:numPr>
                <w:ilvl w:val="0"/>
                <w:numId w:val="12"/>
              </w:numPr>
              <w:rPr>
                <w:rFonts w:asciiTheme="majorHAnsi" w:hAnsiTheme="majorHAnsi" w:cs="Tahoma"/>
              </w:rPr>
            </w:pPr>
            <w:r w:rsidRPr="003E2803">
              <w:rPr>
                <w:rFonts w:asciiTheme="majorHAnsi" w:hAnsiTheme="majorHAnsi" w:cs="Tahoma"/>
              </w:rPr>
              <w:t xml:space="preserve">If you have a child where there are CSE concerns have you included the needs and interventions required in your plan for the child e.g. CIN, CP. LAC or TAF </w:t>
            </w:r>
            <w:r w:rsidR="00103F78" w:rsidRPr="003E2803">
              <w:rPr>
                <w:rFonts w:asciiTheme="majorHAnsi" w:hAnsiTheme="majorHAnsi" w:cs="Tahoma"/>
              </w:rPr>
              <w:t>?</w:t>
            </w:r>
          </w:p>
          <w:p w:rsidR="009C5707" w:rsidRPr="003E2803" w:rsidRDefault="009C5707" w:rsidP="009C5707">
            <w:pPr>
              <w:numPr>
                <w:ilvl w:val="0"/>
                <w:numId w:val="12"/>
              </w:numPr>
              <w:rPr>
                <w:rFonts w:asciiTheme="majorHAnsi" w:hAnsiTheme="majorHAnsi" w:cs="Tahoma"/>
              </w:rPr>
            </w:pPr>
            <w:r w:rsidRPr="003E2803">
              <w:rPr>
                <w:rFonts w:asciiTheme="majorHAnsi" w:hAnsiTheme="majorHAnsi" w:cs="Tahoma"/>
              </w:rPr>
              <w:t>Do you know about the National Referral Mechanism (NRM)?</w:t>
            </w:r>
          </w:p>
          <w:p w:rsidR="00E7521C" w:rsidRPr="003E2803" w:rsidRDefault="000970DF" w:rsidP="00103F78">
            <w:pPr>
              <w:numPr>
                <w:ilvl w:val="0"/>
                <w:numId w:val="12"/>
              </w:numPr>
              <w:rPr>
                <w:rFonts w:asciiTheme="majorHAnsi" w:hAnsiTheme="majorHAnsi" w:cs="Tahoma"/>
              </w:rPr>
            </w:pPr>
            <w:r w:rsidRPr="003E2803">
              <w:rPr>
                <w:rFonts w:asciiTheme="majorHAnsi" w:hAnsiTheme="majorHAnsi" w:cs="Tahoma"/>
              </w:rPr>
              <w:t>Do you know what a FIB (Force intelligence Bureau) is and how to submit it to the Police?</w:t>
            </w:r>
          </w:p>
        </w:tc>
      </w:tr>
      <w:tr w:rsidR="00E7521C" w:rsidRPr="004562CC" w:rsidTr="006C6827">
        <w:trPr>
          <w:trHeight w:val="425"/>
        </w:trPr>
        <w:tc>
          <w:tcPr>
            <w:tcW w:w="284" w:type="dxa"/>
            <w:tcBorders>
              <w:top w:val="nil"/>
              <w:left w:val="nil"/>
              <w:bottom w:val="nil"/>
              <w:right w:val="nil"/>
            </w:tcBorders>
            <w:shd w:val="clear" w:color="auto" w:fill="auto"/>
          </w:tcPr>
          <w:p w:rsidR="00E7521C" w:rsidRPr="004562CC" w:rsidRDefault="00E7521C" w:rsidP="004C774E">
            <w:pPr>
              <w:ind w:firstLine="42"/>
              <w:rPr>
                <w:rFonts w:ascii="Baskerville Old Face" w:hAnsi="Baskerville Old Face"/>
                <w:noProof/>
                <w:sz w:val="20"/>
                <w:szCs w:val="20"/>
                <w:lang w:eastAsia="en-GB"/>
              </w:rPr>
            </w:pPr>
          </w:p>
        </w:tc>
        <w:tc>
          <w:tcPr>
            <w:tcW w:w="15593" w:type="dxa"/>
            <w:tcBorders>
              <w:top w:val="nil"/>
              <w:left w:val="nil"/>
              <w:bottom w:val="nil"/>
              <w:right w:val="nil"/>
            </w:tcBorders>
            <w:shd w:val="clear" w:color="auto" w:fill="FEF2CD" w:themeFill="accent5" w:themeFillTint="33"/>
          </w:tcPr>
          <w:p w:rsidR="005B5B33" w:rsidRPr="003E2803" w:rsidRDefault="00A521A6" w:rsidP="006C6827">
            <w:pPr>
              <w:tabs>
                <w:tab w:val="left" w:pos="284"/>
              </w:tabs>
              <w:ind w:right="188"/>
              <w:rPr>
                <w:rFonts w:asciiTheme="majorHAnsi" w:hAnsiTheme="majorHAnsi" w:cs="Tahoma"/>
                <w:b/>
              </w:rPr>
            </w:pPr>
            <w:r w:rsidRPr="003E2803">
              <w:rPr>
                <w:rFonts w:asciiTheme="majorHAnsi" w:hAnsiTheme="majorHAnsi" w:cs="Tahoma"/>
                <w:b/>
              </w:rPr>
              <w:t xml:space="preserve"> </w:t>
            </w:r>
            <w:r w:rsidR="000970DF" w:rsidRPr="003E2803">
              <w:rPr>
                <w:rFonts w:asciiTheme="majorHAnsi" w:hAnsiTheme="majorHAnsi" w:cs="Tahoma"/>
                <w:b/>
              </w:rPr>
              <w:t xml:space="preserve">If the answer is no to any of </w:t>
            </w:r>
            <w:r w:rsidR="00103F78" w:rsidRPr="003E2803">
              <w:rPr>
                <w:rFonts w:asciiTheme="majorHAnsi" w:hAnsiTheme="majorHAnsi" w:cs="Tahoma"/>
                <w:b/>
              </w:rPr>
              <w:t>the above</w:t>
            </w:r>
            <w:r w:rsidR="000970DF" w:rsidRPr="003E2803">
              <w:rPr>
                <w:rFonts w:asciiTheme="majorHAnsi" w:hAnsiTheme="majorHAnsi" w:cs="Tahoma"/>
                <w:b/>
              </w:rPr>
              <w:t xml:space="preserve"> questions, please refer to the following and don’t be afraid to ask:</w:t>
            </w:r>
          </w:p>
          <w:p w:rsidR="000970DF" w:rsidRPr="003E2803" w:rsidRDefault="000970DF" w:rsidP="006C6827">
            <w:pPr>
              <w:pStyle w:val="ListParagraph"/>
              <w:numPr>
                <w:ilvl w:val="0"/>
                <w:numId w:val="19"/>
              </w:numPr>
              <w:tabs>
                <w:tab w:val="left" w:pos="284"/>
              </w:tabs>
              <w:ind w:right="188"/>
              <w:rPr>
                <w:rFonts w:asciiTheme="majorHAnsi" w:hAnsiTheme="majorHAnsi" w:cs="Tahoma"/>
              </w:rPr>
            </w:pPr>
            <w:r w:rsidRPr="003E2803">
              <w:rPr>
                <w:rFonts w:asciiTheme="majorHAnsi" w:hAnsiTheme="majorHAnsi" w:cs="Tahoma"/>
              </w:rPr>
              <w:t>Your Team Manager</w:t>
            </w:r>
            <w:r w:rsidR="00103F78" w:rsidRPr="003E2803">
              <w:rPr>
                <w:rFonts w:asciiTheme="majorHAnsi" w:hAnsiTheme="majorHAnsi" w:cs="Tahoma"/>
              </w:rPr>
              <w:t xml:space="preserve"> or a member</w:t>
            </w:r>
            <w:r w:rsidRPr="003E2803">
              <w:rPr>
                <w:rFonts w:asciiTheme="majorHAnsi" w:hAnsiTheme="majorHAnsi" w:cs="Tahoma"/>
              </w:rPr>
              <w:t xml:space="preserve"> of staff from the CSE team</w:t>
            </w:r>
          </w:p>
          <w:p w:rsidR="000970DF" w:rsidRPr="003E2803" w:rsidRDefault="000970DF" w:rsidP="006C6827">
            <w:pPr>
              <w:pStyle w:val="ListParagraph"/>
              <w:numPr>
                <w:ilvl w:val="0"/>
                <w:numId w:val="19"/>
              </w:numPr>
              <w:tabs>
                <w:tab w:val="left" w:pos="284"/>
              </w:tabs>
              <w:ind w:right="188"/>
              <w:rPr>
                <w:rFonts w:asciiTheme="majorHAnsi" w:hAnsiTheme="majorHAnsi" w:cs="Tahoma"/>
              </w:rPr>
            </w:pPr>
            <w:r w:rsidRPr="003E2803">
              <w:rPr>
                <w:rFonts w:asciiTheme="majorHAnsi" w:hAnsiTheme="majorHAnsi" w:cs="Tahoma"/>
              </w:rPr>
              <w:t>Tri X</w:t>
            </w:r>
          </w:p>
          <w:p w:rsidR="000970DF" w:rsidRPr="003E2803" w:rsidRDefault="000970DF" w:rsidP="006C6827">
            <w:pPr>
              <w:pStyle w:val="ListParagraph"/>
              <w:numPr>
                <w:ilvl w:val="0"/>
                <w:numId w:val="19"/>
              </w:numPr>
              <w:tabs>
                <w:tab w:val="left" w:pos="284"/>
              </w:tabs>
              <w:ind w:right="188"/>
              <w:rPr>
                <w:rFonts w:asciiTheme="majorHAnsi" w:hAnsiTheme="majorHAnsi" w:cs="Tahoma"/>
              </w:rPr>
            </w:pPr>
            <w:r w:rsidRPr="003E2803">
              <w:rPr>
                <w:rFonts w:asciiTheme="majorHAnsi" w:hAnsiTheme="majorHAnsi" w:cs="Tahoma"/>
              </w:rPr>
              <w:t xml:space="preserve">Sandwell Safeguarding Children Board </w:t>
            </w:r>
            <w:r w:rsidR="00103F78" w:rsidRPr="003E2803">
              <w:rPr>
                <w:rFonts w:asciiTheme="majorHAnsi" w:hAnsiTheme="majorHAnsi" w:cs="Tahoma"/>
              </w:rPr>
              <w:t>Website</w:t>
            </w:r>
          </w:p>
        </w:tc>
      </w:tr>
    </w:tbl>
    <w:p w:rsidR="00D26133" w:rsidRPr="00A521A6" w:rsidRDefault="00D26133" w:rsidP="00E7521C">
      <w:pPr>
        <w:rPr>
          <w:sz w:val="28"/>
          <w:szCs w:val="28"/>
        </w:rPr>
      </w:pPr>
    </w:p>
    <w:sectPr w:rsidR="00D26133" w:rsidRPr="00A521A6" w:rsidSect="001302D1">
      <w:headerReference w:type="first" r:id="rId10"/>
      <w:pgSz w:w="16838" w:h="11906" w:orient="landscape"/>
      <w:pgMar w:top="1022" w:right="1440" w:bottom="0" w:left="1440" w:header="14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EB" w:rsidRDefault="008D3AEB" w:rsidP="00980CE2">
      <w:pPr>
        <w:spacing w:after="0" w:line="240" w:lineRule="auto"/>
      </w:pPr>
      <w:r>
        <w:separator/>
      </w:r>
    </w:p>
  </w:endnote>
  <w:endnote w:type="continuationSeparator" w:id="0">
    <w:p w:rsidR="008D3AEB" w:rsidRDefault="008D3AEB" w:rsidP="0098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EB" w:rsidRDefault="008D3AEB" w:rsidP="00980CE2">
      <w:pPr>
        <w:spacing w:after="0" w:line="240" w:lineRule="auto"/>
      </w:pPr>
      <w:r>
        <w:separator/>
      </w:r>
    </w:p>
  </w:footnote>
  <w:footnote w:type="continuationSeparator" w:id="0">
    <w:p w:rsidR="008D3AEB" w:rsidRDefault="008D3AEB" w:rsidP="0098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07" w:rsidRPr="00A71665" w:rsidRDefault="008D3AEB" w:rsidP="00CD6432">
    <w:pPr>
      <w:pStyle w:val="Heading1"/>
      <w:rPr>
        <w:sz w:val="24"/>
        <w:szCs w:val="24"/>
      </w:rPr>
    </w:pPr>
    <w:sdt>
      <w:sdtPr>
        <w:rPr>
          <w:color w:val="FF0000"/>
          <w:sz w:val="24"/>
          <w:szCs w:val="24"/>
          <w:highlight w:val="lightGra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334120594"/>
        <w:docPartObj>
          <w:docPartGallery w:val="Watermarks"/>
          <w:docPartUnique/>
        </w:docPartObj>
      </w:sdtPr>
      <w:sdtEndPr/>
      <w:sdtContent>
        <w:r>
          <w:rPr>
            <w:noProof/>
            <w:color w:val="FF0000"/>
            <w:sz w:val="24"/>
            <w:szCs w:val="24"/>
            <w:highlight w:val="lightGray"/>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C5707" w:rsidRPr="00A71665">
      <w:rPr>
        <w:sz w:val="24"/>
        <w:szCs w:val="24"/>
      </w:rPr>
      <w:t>Child Sexual Exploitation</w:t>
    </w:r>
  </w:p>
  <w:p w:rsidR="00A71665" w:rsidRPr="00A71665" w:rsidRDefault="009C5707" w:rsidP="00CD6432">
    <w:pPr>
      <w:pStyle w:val="Heading1"/>
      <w:rPr>
        <w:sz w:val="20"/>
        <w:szCs w:val="20"/>
      </w:rPr>
    </w:pPr>
    <w:r w:rsidRPr="00A71665">
      <w:rPr>
        <w:sz w:val="20"/>
        <w:szCs w:val="20"/>
      </w:rPr>
      <w:t xml:space="preserve">One Page </w:t>
    </w:r>
    <w:r w:rsidR="00CD6432" w:rsidRPr="00A71665">
      <w:rPr>
        <w:sz w:val="20"/>
        <w:szCs w:val="20"/>
      </w:rPr>
      <w:t xml:space="preserve">Briefing </w:t>
    </w:r>
    <w:r w:rsidR="007A531D" w:rsidRPr="00A71665">
      <w:rPr>
        <w:sz w:val="20"/>
        <w:szCs w:val="20"/>
      </w:rPr>
      <w:t xml:space="preserve">for Social Workers </w:t>
    </w:r>
    <w:r w:rsidR="00A76EDE" w:rsidRPr="00A71665">
      <w:rPr>
        <w:sz w:val="20"/>
        <w:szCs w:val="20"/>
      </w:rPr>
      <w:t xml:space="preserve">and </w:t>
    </w:r>
    <w:r w:rsidRPr="00A71665">
      <w:rPr>
        <w:sz w:val="20"/>
        <w:szCs w:val="20"/>
      </w:rPr>
      <w:t>Lead Professional</w:t>
    </w:r>
    <w:r w:rsidR="007A531D" w:rsidRPr="00A71665">
      <w:rPr>
        <w:sz w:val="20"/>
        <w:szCs w:val="20"/>
      </w:rPr>
      <w:t>s</w:t>
    </w:r>
  </w:p>
  <w:p w:rsidR="00FB2EEF" w:rsidRPr="00A71665" w:rsidRDefault="00A71665" w:rsidP="00CD6432">
    <w:pPr>
      <w:pStyle w:val="Heading1"/>
      <w:rPr>
        <w:b w:val="0"/>
        <w:sz w:val="16"/>
        <w:szCs w:val="16"/>
      </w:rPr>
    </w:pPr>
    <w:r w:rsidRPr="00A71665">
      <w:rPr>
        <w:b w:val="0"/>
        <w:sz w:val="16"/>
        <w:szCs w:val="16"/>
      </w:rPr>
      <w:t>October 2017 MB V.1</w:t>
    </w:r>
    <w:r w:rsidR="007E487D" w:rsidRPr="00A71665">
      <w:rPr>
        <w:b w:val="0"/>
        <w:sz w:val="16"/>
        <w:szCs w:val="16"/>
      </w:rPr>
      <w:tab/>
    </w:r>
    <w:r w:rsidR="007E487D" w:rsidRPr="00A71665">
      <w:rPr>
        <w:b w:val="0"/>
        <w:sz w:val="16"/>
        <w:szCs w:val="16"/>
      </w:rPr>
      <w:tab/>
    </w:r>
    <w:r w:rsidR="007E487D" w:rsidRPr="00A71665">
      <w:rPr>
        <w:b w:val="0"/>
        <w:sz w:val="16"/>
        <w:szCs w:val="16"/>
      </w:rPr>
      <w:tab/>
    </w:r>
    <w:r w:rsidR="007E487D" w:rsidRPr="00A71665">
      <w:rPr>
        <w:b w:val="0"/>
        <w:sz w:val="16"/>
        <w:szCs w:val="16"/>
      </w:rPr>
      <w:tab/>
    </w:r>
    <w:r w:rsidR="007E487D" w:rsidRPr="00A71665">
      <w:rPr>
        <w:b w:val="0"/>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3BD"/>
    <w:multiLevelType w:val="hybridMultilevel"/>
    <w:tmpl w:val="C4A0B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5EB2"/>
    <w:multiLevelType w:val="hybridMultilevel"/>
    <w:tmpl w:val="A09CF0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513265"/>
    <w:multiLevelType w:val="hybridMultilevel"/>
    <w:tmpl w:val="19E6D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DA5999"/>
    <w:multiLevelType w:val="hybridMultilevel"/>
    <w:tmpl w:val="19088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A2B2D"/>
    <w:multiLevelType w:val="hybridMultilevel"/>
    <w:tmpl w:val="19E6D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8F6C73"/>
    <w:multiLevelType w:val="hybridMultilevel"/>
    <w:tmpl w:val="A09CF0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F82010"/>
    <w:multiLevelType w:val="hybridMultilevel"/>
    <w:tmpl w:val="88FA58E2"/>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A6F15"/>
    <w:multiLevelType w:val="hybridMultilevel"/>
    <w:tmpl w:val="A8A65B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5C08C1"/>
    <w:multiLevelType w:val="hybridMultilevel"/>
    <w:tmpl w:val="59FCB2D0"/>
    <w:lvl w:ilvl="0" w:tplc="45181FE0">
      <w:start w:val="1"/>
      <w:numFmt w:val="lowerLetter"/>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943237"/>
    <w:multiLevelType w:val="hybridMultilevel"/>
    <w:tmpl w:val="DF4E609E"/>
    <w:lvl w:ilvl="0" w:tplc="2856CA7A">
      <w:start w:val="1"/>
      <w:numFmt w:val="bullet"/>
      <w:lvlText w:val=""/>
      <w:lvlJc w:val="left"/>
      <w:pPr>
        <w:ind w:left="786" w:hanging="360"/>
      </w:pPr>
      <w:rPr>
        <w:rFonts w:ascii="Symbol" w:hAnsi="Symbol" w:hint="default"/>
        <w:color w:val="auto"/>
        <w:sz w:val="20"/>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C72D17"/>
    <w:multiLevelType w:val="hybridMultilevel"/>
    <w:tmpl w:val="31ACD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4959AF"/>
    <w:multiLevelType w:val="hybridMultilevel"/>
    <w:tmpl w:val="22BCF29E"/>
    <w:lvl w:ilvl="0" w:tplc="26A853A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D55B33"/>
    <w:multiLevelType w:val="hybridMultilevel"/>
    <w:tmpl w:val="09B6F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D850FE2"/>
    <w:multiLevelType w:val="hybridMultilevel"/>
    <w:tmpl w:val="032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367BA"/>
    <w:multiLevelType w:val="hybridMultilevel"/>
    <w:tmpl w:val="CA4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73F81"/>
    <w:multiLevelType w:val="hybridMultilevel"/>
    <w:tmpl w:val="19E6D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CB2243"/>
    <w:multiLevelType w:val="hybridMultilevel"/>
    <w:tmpl w:val="92FA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650FE9"/>
    <w:multiLevelType w:val="hybridMultilevel"/>
    <w:tmpl w:val="010A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8"/>
  </w:num>
  <w:num w:numId="5">
    <w:abstractNumId w:val="16"/>
  </w:num>
  <w:num w:numId="6">
    <w:abstractNumId w:val="11"/>
  </w:num>
  <w:num w:numId="7">
    <w:abstractNumId w:val="6"/>
  </w:num>
  <w:num w:numId="8">
    <w:abstractNumId w:val="3"/>
  </w:num>
  <w:num w:numId="9">
    <w:abstractNumId w:val="7"/>
  </w:num>
  <w:num w:numId="10">
    <w:abstractNumId w:val="5"/>
  </w:num>
  <w:num w:numId="11">
    <w:abstractNumId w:val="1"/>
  </w:num>
  <w:num w:numId="12">
    <w:abstractNumId w:val="2"/>
  </w:num>
  <w:num w:numId="13">
    <w:abstractNumId w:val="15"/>
  </w:num>
  <w:num w:numId="14">
    <w:abstractNumId w:val="17"/>
  </w:num>
  <w:num w:numId="15">
    <w:abstractNumId w:val="4"/>
  </w:num>
  <w:num w:numId="16">
    <w:abstractNumId w:val="9"/>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E2"/>
    <w:rsid w:val="0000070C"/>
    <w:rsid w:val="000865A8"/>
    <w:rsid w:val="000970DF"/>
    <w:rsid w:val="000F18D2"/>
    <w:rsid w:val="00103F78"/>
    <w:rsid w:val="001302D1"/>
    <w:rsid w:val="001B46C3"/>
    <w:rsid w:val="001E0F0E"/>
    <w:rsid w:val="001E65A5"/>
    <w:rsid w:val="001E7966"/>
    <w:rsid w:val="00207CD8"/>
    <w:rsid w:val="00263345"/>
    <w:rsid w:val="00283FF3"/>
    <w:rsid w:val="002A6F8D"/>
    <w:rsid w:val="002B13B7"/>
    <w:rsid w:val="002C29A5"/>
    <w:rsid w:val="002D4D78"/>
    <w:rsid w:val="00342F48"/>
    <w:rsid w:val="00357AE9"/>
    <w:rsid w:val="003721F2"/>
    <w:rsid w:val="00374BDF"/>
    <w:rsid w:val="00381B49"/>
    <w:rsid w:val="003A0116"/>
    <w:rsid w:val="003B0494"/>
    <w:rsid w:val="003B7099"/>
    <w:rsid w:val="003D4E81"/>
    <w:rsid w:val="003E2803"/>
    <w:rsid w:val="004023C7"/>
    <w:rsid w:val="0042547F"/>
    <w:rsid w:val="004562CC"/>
    <w:rsid w:val="00466586"/>
    <w:rsid w:val="0048572E"/>
    <w:rsid w:val="004B3C4B"/>
    <w:rsid w:val="004C774E"/>
    <w:rsid w:val="00500541"/>
    <w:rsid w:val="005412CB"/>
    <w:rsid w:val="005504E0"/>
    <w:rsid w:val="00573BA6"/>
    <w:rsid w:val="005B5B33"/>
    <w:rsid w:val="005F4174"/>
    <w:rsid w:val="006074CF"/>
    <w:rsid w:val="006C6827"/>
    <w:rsid w:val="006D0E84"/>
    <w:rsid w:val="006D3AF5"/>
    <w:rsid w:val="006E2FBF"/>
    <w:rsid w:val="006F1D12"/>
    <w:rsid w:val="00716935"/>
    <w:rsid w:val="007233A6"/>
    <w:rsid w:val="00743601"/>
    <w:rsid w:val="00764983"/>
    <w:rsid w:val="0077384E"/>
    <w:rsid w:val="007813C5"/>
    <w:rsid w:val="00786264"/>
    <w:rsid w:val="007A531D"/>
    <w:rsid w:val="007E487D"/>
    <w:rsid w:val="007F5C72"/>
    <w:rsid w:val="00854367"/>
    <w:rsid w:val="00885438"/>
    <w:rsid w:val="0088788C"/>
    <w:rsid w:val="008A2049"/>
    <w:rsid w:val="008B6A2E"/>
    <w:rsid w:val="008C515C"/>
    <w:rsid w:val="008C7298"/>
    <w:rsid w:val="008D0B57"/>
    <w:rsid w:val="008D3AEB"/>
    <w:rsid w:val="009007AF"/>
    <w:rsid w:val="009015F2"/>
    <w:rsid w:val="00923A47"/>
    <w:rsid w:val="00931718"/>
    <w:rsid w:val="00980CE2"/>
    <w:rsid w:val="00994A81"/>
    <w:rsid w:val="00997CD7"/>
    <w:rsid w:val="009C5707"/>
    <w:rsid w:val="009C7D6F"/>
    <w:rsid w:val="00A22ABF"/>
    <w:rsid w:val="00A22F23"/>
    <w:rsid w:val="00A30CA4"/>
    <w:rsid w:val="00A32CC3"/>
    <w:rsid w:val="00A40A47"/>
    <w:rsid w:val="00A461F8"/>
    <w:rsid w:val="00A521A6"/>
    <w:rsid w:val="00A65F5D"/>
    <w:rsid w:val="00A673CB"/>
    <w:rsid w:val="00A71665"/>
    <w:rsid w:val="00A76EDE"/>
    <w:rsid w:val="00A81E92"/>
    <w:rsid w:val="00A84E69"/>
    <w:rsid w:val="00AD3A1C"/>
    <w:rsid w:val="00B30900"/>
    <w:rsid w:val="00B51D26"/>
    <w:rsid w:val="00BA7473"/>
    <w:rsid w:val="00BC27AC"/>
    <w:rsid w:val="00BE06E3"/>
    <w:rsid w:val="00BE34AF"/>
    <w:rsid w:val="00C03237"/>
    <w:rsid w:val="00C42E12"/>
    <w:rsid w:val="00C5535A"/>
    <w:rsid w:val="00C92D20"/>
    <w:rsid w:val="00CA3A9A"/>
    <w:rsid w:val="00CA7490"/>
    <w:rsid w:val="00CD6432"/>
    <w:rsid w:val="00CD6DA6"/>
    <w:rsid w:val="00D26133"/>
    <w:rsid w:val="00D46613"/>
    <w:rsid w:val="00D47EE8"/>
    <w:rsid w:val="00DB1D5F"/>
    <w:rsid w:val="00DD6148"/>
    <w:rsid w:val="00DE0C72"/>
    <w:rsid w:val="00E610F2"/>
    <w:rsid w:val="00E678FD"/>
    <w:rsid w:val="00E70E97"/>
    <w:rsid w:val="00E7521C"/>
    <w:rsid w:val="00E90940"/>
    <w:rsid w:val="00EA68E6"/>
    <w:rsid w:val="00EB6533"/>
    <w:rsid w:val="00EC19CF"/>
    <w:rsid w:val="00EE6C29"/>
    <w:rsid w:val="00EF301D"/>
    <w:rsid w:val="00F04992"/>
    <w:rsid w:val="00F16ACF"/>
    <w:rsid w:val="00F35A3B"/>
    <w:rsid w:val="00F6316B"/>
    <w:rsid w:val="00F911C3"/>
    <w:rsid w:val="00FA5FE6"/>
    <w:rsid w:val="00FB2EEF"/>
    <w:rsid w:val="00FC1250"/>
    <w:rsid w:val="00FD3EAE"/>
    <w:rsid w:val="00FD723E"/>
    <w:rsid w:val="00FE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0CA3EAB-CDCE-4FD7-A9E6-73D42CC0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6D0E84"/>
    <w:pPr>
      <w:keepNext/>
      <w:spacing w:after="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E2"/>
  </w:style>
  <w:style w:type="paragraph" w:styleId="Footer">
    <w:name w:val="footer"/>
    <w:basedOn w:val="Normal"/>
    <w:link w:val="FooterChar"/>
    <w:uiPriority w:val="99"/>
    <w:unhideWhenUsed/>
    <w:rsid w:val="00980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E2"/>
  </w:style>
  <w:style w:type="paragraph" w:styleId="BalloonText">
    <w:name w:val="Balloon Text"/>
    <w:basedOn w:val="Normal"/>
    <w:link w:val="BalloonTextChar"/>
    <w:uiPriority w:val="99"/>
    <w:semiHidden/>
    <w:unhideWhenUsed/>
    <w:rsid w:val="0098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2"/>
    <w:rPr>
      <w:rFonts w:ascii="Tahoma" w:hAnsi="Tahoma" w:cs="Tahoma"/>
      <w:sz w:val="16"/>
      <w:szCs w:val="16"/>
    </w:rPr>
  </w:style>
  <w:style w:type="table" w:styleId="TableGrid">
    <w:name w:val="Table Grid"/>
    <w:basedOn w:val="TableNormal"/>
    <w:uiPriority w:val="59"/>
    <w:rsid w:val="00A4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A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0A47"/>
    <w:pPr>
      <w:ind w:left="720"/>
      <w:contextualSpacing/>
    </w:pPr>
  </w:style>
  <w:style w:type="table" w:styleId="MediumShading2-Accent4">
    <w:name w:val="Medium Shading 2 Accent 4"/>
    <w:basedOn w:val="TableNormal"/>
    <w:uiPriority w:val="64"/>
    <w:rsid w:val="00E70E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4">
    <w:name w:val="Medium Grid 1 Accent 4"/>
    <w:basedOn w:val="TableNormal"/>
    <w:uiPriority w:val="67"/>
    <w:rsid w:val="00E70E97"/>
    <w:pPr>
      <w:spacing w:after="0"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rsid w:val="00F04992"/>
    <w:pPr>
      <w:spacing w:after="0"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character" w:customStyle="1" w:styleId="Heading1Char">
    <w:name w:val="Heading 1 Char"/>
    <w:basedOn w:val="DefaultParagraphFont"/>
    <w:link w:val="Heading1"/>
    <w:rsid w:val="006D0E84"/>
    <w:rPr>
      <w:rFonts w:ascii="Arial" w:eastAsia="Times New Roman" w:hAnsi="Arial" w:cs="Arial"/>
      <w:b/>
      <w:bCs/>
      <w:kern w:val="32"/>
      <w:sz w:val="32"/>
      <w:szCs w:val="32"/>
    </w:rPr>
  </w:style>
  <w:style w:type="character" w:styleId="Hyperlink">
    <w:name w:val="Hyperlink"/>
    <w:uiPriority w:val="99"/>
    <w:unhideWhenUsed/>
    <w:rsid w:val="005B5B33"/>
    <w:rPr>
      <w:color w:val="0000FF"/>
      <w:u w:val="single"/>
    </w:rPr>
  </w:style>
  <w:style w:type="character" w:styleId="Mention">
    <w:name w:val="Mention"/>
    <w:basedOn w:val="DefaultParagraphFont"/>
    <w:uiPriority w:val="99"/>
    <w:semiHidden/>
    <w:unhideWhenUsed/>
    <w:rsid w:val="00A521A6"/>
    <w:rPr>
      <w:color w:val="2B579A"/>
      <w:shd w:val="clear" w:color="auto" w:fill="E6E6E6"/>
    </w:rPr>
  </w:style>
  <w:style w:type="table" w:styleId="GridTable1Light-Accent5">
    <w:name w:val="Grid Table 1 Light Accent 5"/>
    <w:basedOn w:val="TableNormal"/>
    <w:uiPriority w:val="46"/>
    <w:rsid w:val="001B46C3"/>
    <w:pPr>
      <w:spacing w:after="0" w:line="240" w:lineRule="auto"/>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6839">
      <w:bodyDiv w:val="1"/>
      <w:marLeft w:val="0"/>
      <w:marRight w:val="0"/>
      <w:marTop w:val="0"/>
      <w:marBottom w:val="0"/>
      <w:divBdr>
        <w:top w:val="none" w:sz="0" w:space="0" w:color="auto"/>
        <w:left w:val="none" w:sz="0" w:space="0" w:color="auto"/>
        <w:bottom w:val="none" w:sz="0" w:space="0" w:color="auto"/>
        <w:right w:val="none" w:sz="0" w:space="0" w:color="auto"/>
      </w:divBdr>
      <w:divsChild>
        <w:div w:id="927924982">
          <w:marLeft w:val="547"/>
          <w:marRight w:val="0"/>
          <w:marTop w:val="0"/>
          <w:marBottom w:val="0"/>
          <w:divBdr>
            <w:top w:val="none" w:sz="0" w:space="0" w:color="auto"/>
            <w:left w:val="none" w:sz="0" w:space="0" w:color="auto"/>
            <w:bottom w:val="none" w:sz="0" w:space="0" w:color="auto"/>
            <w:right w:val="none" w:sz="0" w:space="0" w:color="auto"/>
          </w:divBdr>
        </w:div>
      </w:divsChild>
    </w:div>
    <w:div w:id="537622983">
      <w:bodyDiv w:val="1"/>
      <w:marLeft w:val="0"/>
      <w:marRight w:val="0"/>
      <w:marTop w:val="0"/>
      <w:marBottom w:val="0"/>
      <w:divBdr>
        <w:top w:val="none" w:sz="0" w:space="0" w:color="auto"/>
        <w:left w:val="none" w:sz="0" w:space="0" w:color="auto"/>
        <w:bottom w:val="none" w:sz="0" w:space="0" w:color="auto"/>
        <w:right w:val="none" w:sz="0" w:space="0" w:color="auto"/>
      </w:divBdr>
      <w:divsChild>
        <w:div w:id="522018600">
          <w:marLeft w:val="547"/>
          <w:marRight w:val="0"/>
          <w:marTop w:val="0"/>
          <w:marBottom w:val="0"/>
          <w:divBdr>
            <w:top w:val="none" w:sz="0" w:space="0" w:color="auto"/>
            <w:left w:val="none" w:sz="0" w:space="0" w:color="auto"/>
            <w:bottom w:val="none" w:sz="0" w:space="0" w:color="auto"/>
            <w:right w:val="none" w:sz="0" w:space="0" w:color="auto"/>
          </w:divBdr>
        </w:div>
      </w:divsChild>
    </w:div>
    <w:div w:id="697504929">
      <w:bodyDiv w:val="1"/>
      <w:marLeft w:val="0"/>
      <w:marRight w:val="0"/>
      <w:marTop w:val="0"/>
      <w:marBottom w:val="0"/>
      <w:divBdr>
        <w:top w:val="none" w:sz="0" w:space="0" w:color="auto"/>
        <w:left w:val="none" w:sz="0" w:space="0" w:color="auto"/>
        <w:bottom w:val="none" w:sz="0" w:space="0" w:color="auto"/>
        <w:right w:val="none" w:sz="0" w:space="0" w:color="auto"/>
      </w:divBdr>
    </w:div>
    <w:div w:id="728923344">
      <w:bodyDiv w:val="1"/>
      <w:marLeft w:val="0"/>
      <w:marRight w:val="0"/>
      <w:marTop w:val="0"/>
      <w:marBottom w:val="0"/>
      <w:divBdr>
        <w:top w:val="none" w:sz="0" w:space="0" w:color="auto"/>
        <w:left w:val="none" w:sz="0" w:space="0" w:color="auto"/>
        <w:bottom w:val="none" w:sz="0" w:space="0" w:color="auto"/>
        <w:right w:val="none" w:sz="0" w:space="0" w:color="auto"/>
      </w:divBdr>
    </w:div>
    <w:div w:id="1056204189">
      <w:bodyDiv w:val="1"/>
      <w:marLeft w:val="0"/>
      <w:marRight w:val="0"/>
      <w:marTop w:val="0"/>
      <w:marBottom w:val="0"/>
      <w:divBdr>
        <w:top w:val="none" w:sz="0" w:space="0" w:color="auto"/>
        <w:left w:val="none" w:sz="0" w:space="0" w:color="auto"/>
        <w:bottom w:val="none" w:sz="0" w:space="0" w:color="auto"/>
        <w:right w:val="none" w:sz="0" w:space="0" w:color="auto"/>
      </w:divBdr>
      <w:divsChild>
        <w:div w:id="1897668101">
          <w:marLeft w:val="547"/>
          <w:marRight w:val="0"/>
          <w:marTop w:val="0"/>
          <w:marBottom w:val="0"/>
          <w:divBdr>
            <w:top w:val="none" w:sz="0" w:space="0" w:color="auto"/>
            <w:left w:val="none" w:sz="0" w:space="0" w:color="auto"/>
            <w:bottom w:val="none" w:sz="0" w:space="0" w:color="auto"/>
            <w:right w:val="none" w:sz="0" w:space="0" w:color="auto"/>
          </w:divBdr>
        </w:div>
        <w:div w:id="537552181">
          <w:marLeft w:val="1166"/>
          <w:marRight w:val="0"/>
          <w:marTop w:val="0"/>
          <w:marBottom w:val="0"/>
          <w:divBdr>
            <w:top w:val="none" w:sz="0" w:space="0" w:color="auto"/>
            <w:left w:val="none" w:sz="0" w:space="0" w:color="auto"/>
            <w:bottom w:val="none" w:sz="0" w:space="0" w:color="auto"/>
            <w:right w:val="none" w:sz="0" w:space="0" w:color="auto"/>
          </w:divBdr>
        </w:div>
      </w:divsChild>
    </w:div>
    <w:div w:id="1609044828">
      <w:bodyDiv w:val="1"/>
      <w:marLeft w:val="0"/>
      <w:marRight w:val="0"/>
      <w:marTop w:val="0"/>
      <w:marBottom w:val="0"/>
      <w:divBdr>
        <w:top w:val="none" w:sz="0" w:space="0" w:color="auto"/>
        <w:left w:val="none" w:sz="0" w:space="0" w:color="auto"/>
        <w:bottom w:val="none" w:sz="0" w:space="0" w:color="auto"/>
        <w:right w:val="none" w:sz="0" w:space="0" w:color="auto"/>
      </w:divBdr>
    </w:div>
    <w:div w:id="1656254228">
      <w:bodyDiv w:val="1"/>
      <w:marLeft w:val="0"/>
      <w:marRight w:val="0"/>
      <w:marTop w:val="0"/>
      <w:marBottom w:val="0"/>
      <w:divBdr>
        <w:top w:val="none" w:sz="0" w:space="0" w:color="auto"/>
        <w:left w:val="none" w:sz="0" w:space="0" w:color="auto"/>
        <w:bottom w:val="none" w:sz="0" w:space="0" w:color="auto"/>
        <w:right w:val="none" w:sz="0" w:space="0" w:color="auto"/>
      </w:divBdr>
    </w:div>
    <w:div w:id="1664699966">
      <w:bodyDiv w:val="1"/>
      <w:marLeft w:val="0"/>
      <w:marRight w:val="0"/>
      <w:marTop w:val="0"/>
      <w:marBottom w:val="0"/>
      <w:divBdr>
        <w:top w:val="none" w:sz="0" w:space="0" w:color="auto"/>
        <w:left w:val="none" w:sz="0" w:space="0" w:color="auto"/>
        <w:bottom w:val="none" w:sz="0" w:space="0" w:color="auto"/>
        <w:right w:val="none" w:sz="0" w:space="0" w:color="auto"/>
      </w:divBdr>
    </w:div>
    <w:div w:id="20409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c1522a0d-8b67-48f3-9f04-651e495f9c5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3E3E1-F7B5-4015-943E-FC19A4FABAA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A01D5D1-752E-41CD-A737-A9B2A3F6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SSCB Learning and Improvement Framework</vt:lpstr>
    </vt:vector>
  </TitlesOfParts>
  <Company>Sandwell Safeguarding Children Board</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SSCB Learning and Improvement Framework</dc:title>
  <dc:creator>raj_bector</dc:creator>
  <cp:keywords>[]</cp:keywords>
  <cp:lastModifiedBy>Melanie Barnett</cp:lastModifiedBy>
  <cp:revision>4</cp:revision>
  <cp:lastPrinted>2016-05-31T09:24:00Z</cp:lastPrinted>
  <dcterms:created xsi:type="dcterms:W3CDTF">2017-10-11T16:15:00Z</dcterms:created>
  <dcterms:modified xsi:type="dcterms:W3CDTF">2017-10-11T21:05:00Z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512cceea-ce3e-4f5c-8ef4-67f23496ad66</vt:lpwstr>
  </property>
  <property fmtid="{D5CDD505-2E9C-101B-9397-08002B2CF9AE}" pid="3" name="bjSaver">
    <vt:lpwstr>Unh5q+3mEEIpmdsA1JNfvh97s8Ts+q2/</vt:lpwstr>
  </property>
  <property fmtid="{D5CDD505-2E9C-101B-9397-08002B2CF9AE}" pid="4" name="bjDocumentSecurityLabel">
    <vt:lpwstr>NO PROTECTIVE MARKING</vt:lpwstr>
  </property>
  <property fmtid="{D5CDD505-2E9C-101B-9397-08002B2CF9AE}" pid="5" name="docprop-sandwellprotectivemarking">
    <vt:lpwstr>[]</vt:lpwstr>
  </property>
</Properties>
</file>