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EB9" w:rsidRDefault="008D610A">
      <w:pPr>
        <w:pStyle w:val="Heading1"/>
        <w:tabs>
          <w:tab w:val="right" w:pos="9145"/>
        </w:tabs>
        <w:ind w:left="-15" w:firstLine="0"/>
      </w:pPr>
      <w:bookmarkStart w:id="0" w:name="_GoBack"/>
      <w:bookmarkEnd w:id="0"/>
      <w:r>
        <w:rPr>
          <w:rFonts w:ascii="Calibri" w:eastAsia="Calibri" w:hAnsi="Calibri" w:cs="Calibri"/>
          <w:b w:val="0"/>
          <w:color w:val="000000"/>
          <w:sz w:val="22"/>
        </w:rPr>
        <w:tab/>
      </w:r>
      <w:r w:rsidR="00980077">
        <w:t>SCT</w:t>
      </w:r>
      <w:r>
        <w:t xml:space="preserve"> NRPF Payment Policy- Children and Families</w:t>
      </w:r>
      <w:r>
        <w:rPr>
          <w:rFonts w:ascii="Calibri" w:eastAsia="Calibri" w:hAnsi="Calibri" w:cs="Calibri"/>
          <w:b w:val="0"/>
          <w:color w:val="000000"/>
          <w:sz w:val="22"/>
        </w:rPr>
        <w:t xml:space="preserve"> </w:t>
      </w:r>
    </w:p>
    <w:p w:rsidR="00637EB9" w:rsidRDefault="00980077">
      <w:pPr>
        <w:spacing w:line="259" w:lineRule="auto"/>
        <w:ind w:left="5560" w:firstLine="0"/>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6985</wp:posOffset>
            </wp:positionV>
            <wp:extent cx="1809750" cy="403100"/>
            <wp:effectExtent l="0" t="0" r="0" b="0"/>
            <wp:wrapNone/>
            <wp:docPr id="1" name="Picture 1" descr="cid:image001.jpg@01D3C5B6.8CCEF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5B6.8CCEF7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09750" cy="40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EB9" w:rsidRDefault="008D610A">
      <w:pPr>
        <w:spacing w:line="259" w:lineRule="auto"/>
        <w:ind w:left="0" w:right="87" w:firstLine="0"/>
      </w:pPr>
      <w:r>
        <w:t xml:space="preserve"> </w:t>
      </w:r>
    </w:p>
    <w:p w:rsidR="00637EB9" w:rsidRDefault="00980077" w:rsidP="00980077">
      <w:pPr>
        <w:spacing w:after="161" w:line="259" w:lineRule="auto"/>
        <w:ind w:left="0" w:firstLine="0"/>
      </w:pPr>
      <w:r>
        <w:rPr>
          <w:b/>
          <w:color w:val="365F91"/>
          <w:sz w:val="48"/>
        </w:rPr>
        <w:t>SCT</w:t>
      </w:r>
      <w:r w:rsidR="008D610A">
        <w:rPr>
          <w:b/>
          <w:color w:val="365F91"/>
          <w:sz w:val="48"/>
        </w:rPr>
        <w:t xml:space="preserve"> NRPF Payment Policy –  Children and Families </w:t>
      </w:r>
    </w:p>
    <w:p w:rsidR="00637EB9" w:rsidRDefault="008D610A" w:rsidP="00980077">
      <w:pPr>
        <w:ind w:left="-5" w:right="101"/>
        <w:jc w:val="both"/>
      </w:pPr>
      <w:r>
        <w:t xml:space="preserve">No Recourse to Public Funds (NRPF) is an immigration condition restricting access to public funds, including many mainstream benefits such as welfare and housing.  </w:t>
      </w:r>
    </w:p>
    <w:p w:rsidR="00637EB9" w:rsidRDefault="008D610A" w:rsidP="00980077">
      <w:pPr>
        <w:spacing w:line="259" w:lineRule="auto"/>
        <w:ind w:left="0" w:firstLine="0"/>
        <w:jc w:val="both"/>
      </w:pPr>
      <w:r>
        <w:t xml:space="preserve"> </w:t>
      </w:r>
    </w:p>
    <w:p w:rsidR="00637EB9" w:rsidRDefault="008D610A" w:rsidP="00980077">
      <w:pPr>
        <w:ind w:left="-5" w:right="101"/>
        <w:jc w:val="both"/>
      </w:pPr>
      <w:r>
        <w:t xml:space="preserve">As a result of this restriction, families and individuals may have a right to financial support (accommodation and subsistence payments) from social services in order to avoid destitution or because of complex health needs. In these cases, the local authority has a duty to support the accommodation and subsistence costs of residents with NRPF.  </w:t>
      </w:r>
    </w:p>
    <w:p w:rsidR="00637EB9" w:rsidRDefault="008D610A" w:rsidP="00980077">
      <w:pPr>
        <w:spacing w:line="259" w:lineRule="auto"/>
        <w:ind w:left="0" w:firstLine="0"/>
        <w:jc w:val="both"/>
      </w:pPr>
      <w:r>
        <w:t xml:space="preserve"> </w:t>
      </w:r>
    </w:p>
    <w:p w:rsidR="00637EB9" w:rsidRDefault="008D610A" w:rsidP="00980077">
      <w:pPr>
        <w:ind w:left="-5" w:right="101"/>
        <w:jc w:val="both"/>
      </w:pPr>
      <w:r>
        <w:t xml:space="preserve">This document explains what Sandwell </w:t>
      </w:r>
      <w:r w:rsidR="00980077">
        <w:t>Children’s Trust</w:t>
      </w:r>
      <w:r>
        <w:t xml:space="preserve"> will pay to meet essential living needs. </w:t>
      </w:r>
    </w:p>
    <w:p w:rsidR="00637EB9" w:rsidRDefault="008D610A">
      <w:pPr>
        <w:spacing w:line="259" w:lineRule="auto"/>
        <w:ind w:left="0" w:firstLine="0"/>
      </w:pPr>
      <w:r>
        <w:t xml:space="preserve"> </w:t>
      </w:r>
    </w:p>
    <w:tbl>
      <w:tblPr>
        <w:tblStyle w:val="TableGrid"/>
        <w:tblW w:w="9258" w:type="dxa"/>
        <w:tblInd w:w="-115" w:type="dxa"/>
        <w:tblCellMar>
          <w:top w:w="70" w:type="dxa"/>
          <w:left w:w="115" w:type="dxa"/>
          <w:bottom w:w="66" w:type="dxa"/>
          <w:right w:w="73" w:type="dxa"/>
        </w:tblCellMar>
        <w:tblLook w:val="04A0" w:firstRow="1" w:lastRow="0" w:firstColumn="1" w:lastColumn="0" w:noHBand="0" w:noVBand="1"/>
      </w:tblPr>
      <w:tblGrid>
        <w:gridCol w:w="2996"/>
        <w:gridCol w:w="2002"/>
        <w:gridCol w:w="4260"/>
      </w:tblGrid>
      <w:tr w:rsidR="00637EB9">
        <w:trPr>
          <w:trHeight w:val="3025"/>
        </w:trPr>
        <w:tc>
          <w:tcPr>
            <w:tcW w:w="2997" w:type="dxa"/>
            <w:tcBorders>
              <w:top w:val="single" w:sz="4" w:space="0" w:color="1F497D"/>
              <w:left w:val="single" w:sz="4" w:space="0" w:color="1F497D"/>
              <w:bottom w:val="single" w:sz="4" w:space="0" w:color="000000"/>
              <w:right w:val="single" w:sz="4" w:space="0" w:color="1F497D"/>
            </w:tcBorders>
          </w:tcPr>
          <w:p w:rsidR="00637EB9" w:rsidRDefault="00637EB9">
            <w:pPr>
              <w:spacing w:after="160" w:line="259" w:lineRule="auto"/>
              <w:ind w:left="0" w:firstLine="0"/>
            </w:pPr>
          </w:p>
        </w:tc>
        <w:tc>
          <w:tcPr>
            <w:tcW w:w="2002" w:type="dxa"/>
            <w:tcBorders>
              <w:top w:val="single" w:sz="4" w:space="0" w:color="1F497D"/>
              <w:left w:val="single" w:sz="4" w:space="0" w:color="1F497D"/>
              <w:bottom w:val="single" w:sz="4" w:space="0" w:color="000000"/>
              <w:right w:val="single" w:sz="4" w:space="0" w:color="1F497D"/>
            </w:tcBorders>
            <w:vAlign w:val="bottom"/>
          </w:tcPr>
          <w:p w:rsidR="00637EB9" w:rsidRDefault="008D610A">
            <w:pPr>
              <w:spacing w:line="259" w:lineRule="auto"/>
              <w:ind w:left="0" w:firstLine="0"/>
            </w:pPr>
            <w:r>
              <w:rPr>
                <w:b/>
              </w:rPr>
              <w:t xml:space="preserve">Home Office S95 support rates £52.96 per child and £43.94 per parent (£72.52 couple) </w:t>
            </w:r>
          </w:p>
        </w:tc>
        <w:tc>
          <w:tcPr>
            <w:tcW w:w="4260" w:type="dxa"/>
            <w:tcBorders>
              <w:top w:val="single" w:sz="4" w:space="0" w:color="1F497D"/>
              <w:left w:val="single" w:sz="4" w:space="0" w:color="1F497D"/>
              <w:bottom w:val="single" w:sz="4" w:space="0" w:color="000000"/>
              <w:right w:val="single" w:sz="4" w:space="0" w:color="1F497D"/>
            </w:tcBorders>
          </w:tcPr>
          <w:p w:rsidR="00637EB9" w:rsidRDefault="00980077">
            <w:pPr>
              <w:spacing w:line="259" w:lineRule="auto"/>
              <w:ind w:left="0" w:right="40" w:firstLine="0"/>
            </w:pPr>
            <w:r>
              <w:rPr>
                <w:b/>
              </w:rPr>
              <w:t>SCT</w:t>
            </w:r>
            <w:r w:rsidR="008D610A">
              <w:rPr>
                <w:b/>
              </w:rPr>
              <w:t xml:space="preserve"> weekly cash payment (aligned to HO S95 support) of £52.96 per child, £43.94 per parent and £72.52 per couple if accommodated in receipt of breakfast. (£3.00 pp per day is paid directly to the accommodation provider for breakfast) </w:t>
            </w:r>
          </w:p>
        </w:tc>
      </w:tr>
      <w:tr w:rsidR="00637EB9">
        <w:trPr>
          <w:trHeight w:val="513"/>
        </w:trPr>
        <w:tc>
          <w:tcPr>
            <w:tcW w:w="2997" w:type="dxa"/>
            <w:tcBorders>
              <w:top w:val="single" w:sz="4" w:space="0" w:color="000000"/>
              <w:left w:val="single" w:sz="4" w:space="0" w:color="1F497D"/>
              <w:bottom w:val="nil"/>
              <w:right w:val="single" w:sz="4" w:space="0" w:color="1F497D"/>
            </w:tcBorders>
          </w:tcPr>
          <w:p w:rsidR="00637EB9" w:rsidRDefault="008D610A">
            <w:pPr>
              <w:spacing w:line="259" w:lineRule="auto"/>
              <w:ind w:left="0" w:firstLine="0"/>
            </w:pPr>
            <w:r>
              <w:t xml:space="preserve">1 parent + 1 child </w:t>
            </w:r>
          </w:p>
        </w:tc>
        <w:tc>
          <w:tcPr>
            <w:tcW w:w="2002" w:type="dxa"/>
            <w:tcBorders>
              <w:top w:val="single" w:sz="4" w:space="0" w:color="000000"/>
              <w:left w:val="single" w:sz="4" w:space="0" w:color="1F497D"/>
              <w:bottom w:val="nil"/>
              <w:right w:val="single" w:sz="4" w:space="0" w:color="1F497D"/>
            </w:tcBorders>
          </w:tcPr>
          <w:p w:rsidR="00637EB9" w:rsidRDefault="008D610A">
            <w:pPr>
              <w:spacing w:line="259" w:lineRule="auto"/>
              <w:ind w:left="0" w:right="51" w:firstLine="0"/>
              <w:jc w:val="center"/>
            </w:pPr>
            <w:r>
              <w:rPr>
                <w:color w:val="FF0000"/>
              </w:rPr>
              <w:t xml:space="preserve">96.9 </w:t>
            </w:r>
          </w:p>
        </w:tc>
        <w:tc>
          <w:tcPr>
            <w:tcW w:w="4260" w:type="dxa"/>
            <w:tcBorders>
              <w:top w:val="single" w:sz="4" w:space="0" w:color="000000"/>
              <w:left w:val="single" w:sz="4" w:space="0" w:color="1F497D"/>
              <w:bottom w:val="nil"/>
              <w:right w:val="single" w:sz="4" w:space="0" w:color="1F497D"/>
            </w:tcBorders>
          </w:tcPr>
          <w:p w:rsidR="00637EB9" w:rsidRDefault="008D610A">
            <w:pPr>
              <w:spacing w:line="259" w:lineRule="auto"/>
              <w:ind w:left="0" w:right="50" w:firstLine="0"/>
              <w:jc w:val="center"/>
            </w:pPr>
            <w:r>
              <w:t xml:space="preserve">54.9 </w:t>
            </w:r>
          </w:p>
        </w:tc>
      </w:tr>
      <w:tr w:rsidR="00637EB9">
        <w:trPr>
          <w:trHeight w:val="492"/>
        </w:trPr>
        <w:tc>
          <w:tcPr>
            <w:tcW w:w="2997" w:type="dxa"/>
            <w:tcBorders>
              <w:top w:val="nil"/>
              <w:left w:val="single" w:sz="4" w:space="0" w:color="1F497D"/>
              <w:bottom w:val="nil"/>
              <w:right w:val="single" w:sz="4" w:space="0" w:color="1F497D"/>
            </w:tcBorders>
          </w:tcPr>
          <w:p w:rsidR="00637EB9" w:rsidRDefault="008D610A">
            <w:pPr>
              <w:spacing w:line="259" w:lineRule="auto"/>
              <w:ind w:left="0" w:firstLine="0"/>
            </w:pPr>
            <w:r>
              <w:t xml:space="preserve">1 parent + 2 children </w:t>
            </w:r>
          </w:p>
        </w:tc>
        <w:tc>
          <w:tcPr>
            <w:tcW w:w="2002" w:type="dxa"/>
            <w:tcBorders>
              <w:top w:val="nil"/>
              <w:left w:val="single" w:sz="4" w:space="0" w:color="1F497D"/>
              <w:bottom w:val="nil"/>
              <w:right w:val="single" w:sz="4" w:space="0" w:color="1F497D"/>
            </w:tcBorders>
          </w:tcPr>
          <w:p w:rsidR="00637EB9" w:rsidRDefault="008D610A">
            <w:pPr>
              <w:spacing w:line="259" w:lineRule="auto"/>
              <w:ind w:left="0" w:right="51" w:firstLine="0"/>
              <w:jc w:val="center"/>
            </w:pPr>
            <w:r>
              <w:rPr>
                <w:color w:val="FF0000"/>
              </w:rPr>
              <w:t xml:space="preserve">149.86 </w:t>
            </w:r>
          </w:p>
        </w:tc>
        <w:tc>
          <w:tcPr>
            <w:tcW w:w="4260" w:type="dxa"/>
            <w:tcBorders>
              <w:top w:val="nil"/>
              <w:left w:val="single" w:sz="4" w:space="0" w:color="1F497D"/>
              <w:bottom w:val="nil"/>
              <w:right w:val="single" w:sz="4" w:space="0" w:color="1F497D"/>
            </w:tcBorders>
          </w:tcPr>
          <w:p w:rsidR="00637EB9" w:rsidRDefault="008D610A">
            <w:pPr>
              <w:spacing w:line="259" w:lineRule="auto"/>
              <w:ind w:left="0" w:right="50" w:firstLine="0"/>
              <w:jc w:val="center"/>
            </w:pPr>
            <w:r>
              <w:t xml:space="preserve">86.86 </w:t>
            </w:r>
          </w:p>
        </w:tc>
      </w:tr>
      <w:tr w:rsidR="00637EB9">
        <w:trPr>
          <w:trHeight w:val="490"/>
        </w:trPr>
        <w:tc>
          <w:tcPr>
            <w:tcW w:w="2997" w:type="dxa"/>
            <w:tcBorders>
              <w:top w:val="nil"/>
              <w:left w:val="single" w:sz="4" w:space="0" w:color="1F497D"/>
              <w:bottom w:val="nil"/>
              <w:right w:val="single" w:sz="4" w:space="0" w:color="1F497D"/>
            </w:tcBorders>
          </w:tcPr>
          <w:p w:rsidR="00637EB9" w:rsidRDefault="008D610A">
            <w:pPr>
              <w:spacing w:line="259" w:lineRule="auto"/>
              <w:ind w:left="0" w:firstLine="0"/>
            </w:pPr>
            <w:r>
              <w:t xml:space="preserve">1 parent + 3 children </w:t>
            </w:r>
          </w:p>
        </w:tc>
        <w:tc>
          <w:tcPr>
            <w:tcW w:w="2002" w:type="dxa"/>
            <w:tcBorders>
              <w:top w:val="nil"/>
              <w:left w:val="single" w:sz="4" w:space="0" w:color="1F497D"/>
              <w:bottom w:val="nil"/>
              <w:right w:val="single" w:sz="4" w:space="0" w:color="1F497D"/>
            </w:tcBorders>
          </w:tcPr>
          <w:p w:rsidR="00637EB9" w:rsidRDefault="008D610A">
            <w:pPr>
              <w:spacing w:line="259" w:lineRule="auto"/>
              <w:ind w:left="0" w:right="51" w:firstLine="0"/>
              <w:jc w:val="center"/>
            </w:pPr>
            <w:r>
              <w:rPr>
                <w:color w:val="FF0000"/>
              </w:rPr>
              <w:t xml:space="preserve">202.82 </w:t>
            </w:r>
          </w:p>
        </w:tc>
        <w:tc>
          <w:tcPr>
            <w:tcW w:w="4260" w:type="dxa"/>
            <w:tcBorders>
              <w:top w:val="nil"/>
              <w:left w:val="single" w:sz="4" w:space="0" w:color="1F497D"/>
              <w:bottom w:val="nil"/>
              <w:right w:val="single" w:sz="4" w:space="0" w:color="1F497D"/>
            </w:tcBorders>
          </w:tcPr>
          <w:p w:rsidR="00637EB9" w:rsidRDefault="008D610A">
            <w:pPr>
              <w:spacing w:line="259" w:lineRule="auto"/>
              <w:ind w:left="0" w:right="50" w:firstLine="0"/>
              <w:jc w:val="center"/>
            </w:pPr>
            <w:r>
              <w:t xml:space="preserve">118.82 </w:t>
            </w:r>
          </w:p>
        </w:tc>
      </w:tr>
      <w:tr w:rsidR="00637EB9">
        <w:trPr>
          <w:trHeight w:val="490"/>
        </w:trPr>
        <w:tc>
          <w:tcPr>
            <w:tcW w:w="2997" w:type="dxa"/>
            <w:tcBorders>
              <w:top w:val="nil"/>
              <w:left w:val="single" w:sz="4" w:space="0" w:color="1F497D"/>
              <w:bottom w:val="nil"/>
              <w:right w:val="single" w:sz="4" w:space="0" w:color="1F497D"/>
            </w:tcBorders>
          </w:tcPr>
          <w:p w:rsidR="00637EB9" w:rsidRDefault="008D610A">
            <w:pPr>
              <w:spacing w:line="259" w:lineRule="auto"/>
              <w:ind w:left="0" w:firstLine="0"/>
            </w:pPr>
            <w:r>
              <w:t xml:space="preserve">1 parent + 4 children </w:t>
            </w:r>
          </w:p>
        </w:tc>
        <w:tc>
          <w:tcPr>
            <w:tcW w:w="2002" w:type="dxa"/>
            <w:tcBorders>
              <w:top w:val="nil"/>
              <w:left w:val="single" w:sz="4" w:space="0" w:color="1F497D"/>
              <w:bottom w:val="nil"/>
              <w:right w:val="single" w:sz="4" w:space="0" w:color="1F497D"/>
            </w:tcBorders>
          </w:tcPr>
          <w:p w:rsidR="00637EB9" w:rsidRDefault="008D610A">
            <w:pPr>
              <w:spacing w:line="259" w:lineRule="auto"/>
              <w:ind w:left="0" w:right="51" w:firstLine="0"/>
              <w:jc w:val="center"/>
            </w:pPr>
            <w:r>
              <w:rPr>
                <w:color w:val="FF0000"/>
              </w:rPr>
              <w:t xml:space="preserve">255.78 </w:t>
            </w:r>
          </w:p>
        </w:tc>
        <w:tc>
          <w:tcPr>
            <w:tcW w:w="4260" w:type="dxa"/>
            <w:tcBorders>
              <w:top w:val="nil"/>
              <w:left w:val="single" w:sz="4" w:space="0" w:color="1F497D"/>
              <w:bottom w:val="nil"/>
              <w:right w:val="single" w:sz="4" w:space="0" w:color="1F497D"/>
            </w:tcBorders>
          </w:tcPr>
          <w:p w:rsidR="00637EB9" w:rsidRDefault="008D610A">
            <w:pPr>
              <w:spacing w:line="259" w:lineRule="auto"/>
              <w:ind w:left="0" w:right="50" w:firstLine="0"/>
              <w:jc w:val="center"/>
            </w:pPr>
            <w:r>
              <w:t xml:space="preserve">150.78 </w:t>
            </w:r>
          </w:p>
        </w:tc>
      </w:tr>
      <w:tr w:rsidR="00637EB9">
        <w:trPr>
          <w:trHeight w:val="495"/>
        </w:trPr>
        <w:tc>
          <w:tcPr>
            <w:tcW w:w="2997" w:type="dxa"/>
            <w:tcBorders>
              <w:top w:val="nil"/>
              <w:left w:val="single" w:sz="4" w:space="0" w:color="1F497D"/>
              <w:bottom w:val="nil"/>
              <w:right w:val="single" w:sz="4" w:space="0" w:color="1F497D"/>
            </w:tcBorders>
          </w:tcPr>
          <w:p w:rsidR="00637EB9" w:rsidRDefault="008D610A">
            <w:pPr>
              <w:spacing w:line="259" w:lineRule="auto"/>
              <w:ind w:left="0" w:firstLine="0"/>
            </w:pPr>
            <w:r>
              <w:t xml:space="preserve">2 parents + 1 child </w:t>
            </w:r>
          </w:p>
        </w:tc>
        <w:tc>
          <w:tcPr>
            <w:tcW w:w="2002" w:type="dxa"/>
            <w:tcBorders>
              <w:top w:val="nil"/>
              <w:left w:val="single" w:sz="4" w:space="0" w:color="1F497D"/>
              <w:bottom w:val="nil"/>
              <w:right w:val="single" w:sz="4" w:space="0" w:color="1F497D"/>
            </w:tcBorders>
          </w:tcPr>
          <w:p w:rsidR="00637EB9" w:rsidRDefault="008D610A">
            <w:pPr>
              <w:spacing w:line="259" w:lineRule="auto"/>
              <w:ind w:left="0" w:right="51" w:firstLine="0"/>
              <w:jc w:val="center"/>
            </w:pPr>
            <w:r>
              <w:rPr>
                <w:color w:val="FF0000"/>
              </w:rPr>
              <w:t xml:space="preserve">125.48 </w:t>
            </w:r>
          </w:p>
        </w:tc>
        <w:tc>
          <w:tcPr>
            <w:tcW w:w="4260" w:type="dxa"/>
            <w:tcBorders>
              <w:top w:val="nil"/>
              <w:left w:val="single" w:sz="4" w:space="0" w:color="1F497D"/>
              <w:bottom w:val="nil"/>
              <w:right w:val="single" w:sz="4" w:space="0" w:color="1F497D"/>
            </w:tcBorders>
          </w:tcPr>
          <w:p w:rsidR="00637EB9" w:rsidRDefault="008D610A">
            <w:pPr>
              <w:spacing w:line="259" w:lineRule="auto"/>
              <w:ind w:left="0" w:right="50" w:firstLine="0"/>
              <w:jc w:val="center"/>
            </w:pPr>
            <w:r>
              <w:t xml:space="preserve">62.48 </w:t>
            </w:r>
          </w:p>
        </w:tc>
      </w:tr>
      <w:tr w:rsidR="00637EB9">
        <w:trPr>
          <w:trHeight w:val="490"/>
        </w:trPr>
        <w:tc>
          <w:tcPr>
            <w:tcW w:w="2997" w:type="dxa"/>
            <w:tcBorders>
              <w:top w:val="nil"/>
              <w:left w:val="single" w:sz="4" w:space="0" w:color="1F497D"/>
              <w:bottom w:val="nil"/>
              <w:right w:val="single" w:sz="4" w:space="0" w:color="1F497D"/>
            </w:tcBorders>
          </w:tcPr>
          <w:p w:rsidR="00637EB9" w:rsidRDefault="008D610A">
            <w:pPr>
              <w:spacing w:line="259" w:lineRule="auto"/>
              <w:ind w:left="0" w:firstLine="0"/>
            </w:pPr>
            <w:r>
              <w:t xml:space="preserve">2 parent + 2 children </w:t>
            </w:r>
          </w:p>
        </w:tc>
        <w:tc>
          <w:tcPr>
            <w:tcW w:w="2002" w:type="dxa"/>
            <w:tcBorders>
              <w:top w:val="nil"/>
              <w:left w:val="single" w:sz="4" w:space="0" w:color="1F497D"/>
              <w:bottom w:val="nil"/>
              <w:right w:val="single" w:sz="4" w:space="0" w:color="1F497D"/>
            </w:tcBorders>
          </w:tcPr>
          <w:p w:rsidR="00637EB9" w:rsidRDefault="008D610A">
            <w:pPr>
              <w:spacing w:line="259" w:lineRule="auto"/>
              <w:ind w:left="0" w:right="51" w:firstLine="0"/>
              <w:jc w:val="center"/>
            </w:pPr>
            <w:r>
              <w:rPr>
                <w:color w:val="FF0000"/>
              </w:rPr>
              <w:t xml:space="preserve">178.44 </w:t>
            </w:r>
          </w:p>
        </w:tc>
        <w:tc>
          <w:tcPr>
            <w:tcW w:w="4260" w:type="dxa"/>
            <w:tcBorders>
              <w:top w:val="nil"/>
              <w:left w:val="single" w:sz="4" w:space="0" w:color="1F497D"/>
              <w:bottom w:val="nil"/>
              <w:right w:val="single" w:sz="4" w:space="0" w:color="1F497D"/>
            </w:tcBorders>
          </w:tcPr>
          <w:p w:rsidR="00637EB9" w:rsidRDefault="008D610A">
            <w:pPr>
              <w:spacing w:line="259" w:lineRule="auto"/>
              <w:ind w:left="0" w:right="50" w:firstLine="0"/>
              <w:jc w:val="center"/>
            </w:pPr>
            <w:r>
              <w:t xml:space="preserve">94.44 </w:t>
            </w:r>
          </w:p>
        </w:tc>
      </w:tr>
      <w:tr w:rsidR="00637EB9">
        <w:trPr>
          <w:trHeight w:val="490"/>
        </w:trPr>
        <w:tc>
          <w:tcPr>
            <w:tcW w:w="2997" w:type="dxa"/>
            <w:tcBorders>
              <w:top w:val="nil"/>
              <w:left w:val="single" w:sz="4" w:space="0" w:color="1F497D"/>
              <w:bottom w:val="nil"/>
              <w:right w:val="single" w:sz="4" w:space="0" w:color="1F497D"/>
            </w:tcBorders>
          </w:tcPr>
          <w:p w:rsidR="00637EB9" w:rsidRDefault="008D610A">
            <w:pPr>
              <w:spacing w:line="259" w:lineRule="auto"/>
              <w:ind w:left="0" w:firstLine="0"/>
            </w:pPr>
            <w:r>
              <w:t xml:space="preserve">2 parent + 3 children </w:t>
            </w:r>
          </w:p>
        </w:tc>
        <w:tc>
          <w:tcPr>
            <w:tcW w:w="2002" w:type="dxa"/>
            <w:tcBorders>
              <w:top w:val="nil"/>
              <w:left w:val="single" w:sz="4" w:space="0" w:color="1F497D"/>
              <w:bottom w:val="nil"/>
              <w:right w:val="single" w:sz="4" w:space="0" w:color="1F497D"/>
            </w:tcBorders>
          </w:tcPr>
          <w:p w:rsidR="00637EB9" w:rsidRDefault="008D610A">
            <w:pPr>
              <w:spacing w:line="259" w:lineRule="auto"/>
              <w:ind w:left="0" w:right="51" w:firstLine="0"/>
              <w:jc w:val="center"/>
            </w:pPr>
            <w:r>
              <w:rPr>
                <w:color w:val="FF0000"/>
              </w:rPr>
              <w:t xml:space="preserve">231.40 </w:t>
            </w:r>
          </w:p>
        </w:tc>
        <w:tc>
          <w:tcPr>
            <w:tcW w:w="4260" w:type="dxa"/>
            <w:tcBorders>
              <w:top w:val="nil"/>
              <w:left w:val="single" w:sz="4" w:space="0" w:color="1F497D"/>
              <w:bottom w:val="nil"/>
              <w:right w:val="single" w:sz="4" w:space="0" w:color="1F497D"/>
            </w:tcBorders>
          </w:tcPr>
          <w:p w:rsidR="00637EB9" w:rsidRDefault="008D610A">
            <w:pPr>
              <w:spacing w:line="259" w:lineRule="auto"/>
              <w:ind w:left="0" w:right="50" w:firstLine="0"/>
              <w:jc w:val="center"/>
            </w:pPr>
            <w:r>
              <w:t xml:space="preserve">126.40 </w:t>
            </w:r>
          </w:p>
        </w:tc>
      </w:tr>
      <w:tr w:rsidR="00637EB9">
        <w:trPr>
          <w:trHeight w:val="483"/>
        </w:trPr>
        <w:tc>
          <w:tcPr>
            <w:tcW w:w="2997" w:type="dxa"/>
            <w:tcBorders>
              <w:top w:val="nil"/>
              <w:left w:val="single" w:sz="4" w:space="0" w:color="1F497D"/>
              <w:bottom w:val="single" w:sz="4" w:space="0" w:color="1F497D"/>
              <w:right w:val="single" w:sz="4" w:space="0" w:color="1F497D"/>
            </w:tcBorders>
          </w:tcPr>
          <w:p w:rsidR="00637EB9" w:rsidRDefault="008D610A">
            <w:pPr>
              <w:spacing w:line="259" w:lineRule="auto"/>
              <w:ind w:left="0" w:firstLine="0"/>
            </w:pPr>
            <w:r>
              <w:t xml:space="preserve">2 parent + 4 children </w:t>
            </w:r>
          </w:p>
        </w:tc>
        <w:tc>
          <w:tcPr>
            <w:tcW w:w="2002" w:type="dxa"/>
            <w:tcBorders>
              <w:top w:val="nil"/>
              <w:left w:val="single" w:sz="4" w:space="0" w:color="1F497D"/>
              <w:bottom w:val="single" w:sz="4" w:space="0" w:color="1F497D"/>
              <w:right w:val="single" w:sz="4" w:space="0" w:color="1F497D"/>
            </w:tcBorders>
          </w:tcPr>
          <w:p w:rsidR="00637EB9" w:rsidRDefault="008D610A">
            <w:pPr>
              <w:spacing w:line="259" w:lineRule="auto"/>
              <w:ind w:left="0" w:right="51" w:firstLine="0"/>
              <w:jc w:val="center"/>
            </w:pPr>
            <w:r>
              <w:rPr>
                <w:color w:val="FF0000"/>
              </w:rPr>
              <w:t xml:space="preserve">284.36 </w:t>
            </w:r>
          </w:p>
        </w:tc>
        <w:tc>
          <w:tcPr>
            <w:tcW w:w="4260" w:type="dxa"/>
            <w:tcBorders>
              <w:top w:val="nil"/>
              <w:left w:val="single" w:sz="4" w:space="0" w:color="1F497D"/>
              <w:bottom w:val="single" w:sz="4" w:space="0" w:color="1F497D"/>
              <w:right w:val="single" w:sz="4" w:space="0" w:color="1F497D"/>
            </w:tcBorders>
          </w:tcPr>
          <w:p w:rsidR="00637EB9" w:rsidRDefault="008D610A">
            <w:pPr>
              <w:spacing w:line="259" w:lineRule="auto"/>
              <w:ind w:left="0" w:right="50" w:firstLine="0"/>
              <w:jc w:val="center"/>
            </w:pPr>
            <w:r>
              <w:t xml:space="preserve">158.36 </w:t>
            </w:r>
          </w:p>
        </w:tc>
      </w:tr>
    </w:tbl>
    <w:p w:rsidR="00637EB9" w:rsidRDefault="008D610A">
      <w:pPr>
        <w:tabs>
          <w:tab w:val="right" w:pos="9145"/>
        </w:tabs>
        <w:spacing w:after="81" w:line="259" w:lineRule="auto"/>
        <w:ind w:left="-15" w:right="-15" w:firstLine="0"/>
      </w:pPr>
      <w:r>
        <w:rPr>
          <w:b/>
          <w:color w:val="1F497D"/>
          <w:sz w:val="24"/>
        </w:rPr>
        <w:t xml:space="preserve">Page | 1 </w:t>
      </w:r>
      <w:r>
        <w:rPr>
          <w:b/>
          <w:color w:val="1F497D"/>
          <w:sz w:val="24"/>
        </w:rPr>
        <w:tab/>
      </w:r>
      <w:r w:rsidR="00980077">
        <w:rPr>
          <w:b/>
          <w:color w:val="1F497D"/>
        </w:rPr>
        <w:t>Sandwell Children’s Trust</w:t>
      </w:r>
      <w:r>
        <w:rPr>
          <w:b/>
          <w:color w:val="1F497D"/>
        </w:rPr>
        <w:t xml:space="preserve"> </w:t>
      </w:r>
    </w:p>
    <w:p w:rsidR="00637EB9" w:rsidRDefault="00637EB9">
      <w:pPr>
        <w:spacing w:line="259" w:lineRule="auto"/>
        <w:ind w:left="-5"/>
      </w:pPr>
    </w:p>
    <w:p w:rsidR="00637EB9" w:rsidRDefault="008D610A">
      <w:pPr>
        <w:pStyle w:val="Heading1"/>
        <w:tabs>
          <w:tab w:val="right" w:pos="9145"/>
        </w:tabs>
        <w:spacing w:after="210"/>
        <w:ind w:left="-15" w:firstLine="0"/>
      </w:pPr>
      <w:r>
        <w:rPr>
          <w:rFonts w:ascii="Calibri" w:eastAsia="Calibri" w:hAnsi="Calibri" w:cs="Calibri"/>
          <w:b w:val="0"/>
          <w:color w:val="000000"/>
          <w:sz w:val="22"/>
        </w:rPr>
        <w:t xml:space="preserve"> </w:t>
      </w:r>
      <w:r>
        <w:rPr>
          <w:rFonts w:ascii="Calibri" w:eastAsia="Calibri" w:hAnsi="Calibri" w:cs="Calibri"/>
          <w:b w:val="0"/>
          <w:color w:val="000000"/>
          <w:sz w:val="22"/>
        </w:rPr>
        <w:tab/>
      </w:r>
      <w:r w:rsidR="00980077">
        <w:t>SCT</w:t>
      </w:r>
      <w:r>
        <w:t xml:space="preserve"> NRPF Payment Policy- Children and Families</w:t>
      </w:r>
      <w:r>
        <w:rPr>
          <w:rFonts w:ascii="Calibri" w:eastAsia="Calibri" w:hAnsi="Calibri" w:cs="Calibri"/>
          <w:b w:val="0"/>
          <w:color w:val="000000"/>
          <w:sz w:val="22"/>
        </w:rPr>
        <w:t xml:space="preserve"> </w:t>
      </w:r>
    </w:p>
    <w:p w:rsidR="00637EB9" w:rsidRDefault="008D610A" w:rsidP="00980077">
      <w:pPr>
        <w:spacing w:line="259" w:lineRule="auto"/>
        <w:ind w:left="0" w:firstLine="0"/>
        <w:jc w:val="both"/>
      </w:pPr>
      <w:r>
        <w:t xml:space="preserve"> </w:t>
      </w:r>
    </w:p>
    <w:p w:rsidR="00637EB9" w:rsidRDefault="00980077" w:rsidP="00980077">
      <w:pPr>
        <w:spacing w:line="243" w:lineRule="auto"/>
        <w:ind w:left="-15" w:right="326" w:firstLine="0"/>
        <w:jc w:val="both"/>
      </w:pPr>
      <w:r>
        <w:t>SCT</w:t>
      </w:r>
      <w:r w:rsidR="008D610A">
        <w:t xml:space="preserve"> will make additional payments of £5 for a baby under the age of 12 months. Pregnant women and children aged between one and three years will receive £3 extra per week. </w:t>
      </w:r>
    </w:p>
    <w:p w:rsidR="00637EB9" w:rsidRDefault="008D610A">
      <w:pPr>
        <w:spacing w:after="14" w:line="259" w:lineRule="auto"/>
        <w:ind w:left="0" w:firstLine="0"/>
      </w:pPr>
      <w:r>
        <w:rPr>
          <w:sz w:val="24"/>
        </w:rPr>
        <w:t xml:space="preserve"> </w:t>
      </w:r>
    </w:p>
    <w:p w:rsidR="00637EB9" w:rsidRDefault="008D610A">
      <w:pPr>
        <w:spacing w:line="259" w:lineRule="auto"/>
        <w:ind w:left="-5"/>
      </w:pPr>
      <w:r>
        <w:rPr>
          <w:b/>
        </w:rPr>
        <w:t>Why have we set these rates?</w:t>
      </w:r>
      <w:r>
        <w:t xml:space="preserve"> </w:t>
      </w:r>
    </w:p>
    <w:p w:rsidR="00637EB9" w:rsidRDefault="008D610A">
      <w:pPr>
        <w:spacing w:line="259" w:lineRule="auto"/>
        <w:ind w:left="0" w:firstLine="0"/>
      </w:pPr>
      <w:r>
        <w:t xml:space="preserve"> </w:t>
      </w:r>
    </w:p>
    <w:p w:rsidR="00637EB9" w:rsidRDefault="00980077" w:rsidP="00980077">
      <w:pPr>
        <w:ind w:left="-5" w:right="101"/>
        <w:jc w:val="both"/>
      </w:pPr>
      <w:r>
        <w:t>SCT</w:t>
      </w:r>
      <w:r w:rsidR="008D610A">
        <w:t xml:space="preserve"> provides weekly subsistence payments to individuals and families who have no recourse to public funds and qualify for social services support.  </w:t>
      </w:r>
    </w:p>
    <w:p w:rsidR="00637EB9" w:rsidRDefault="008D610A" w:rsidP="00980077">
      <w:pPr>
        <w:spacing w:line="259" w:lineRule="auto"/>
        <w:ind w:left="0" w:firstLine="0"/>
        <w:jc w:val="both"/>
      </w:pPr>
      <w:r>
        <w:t xml:space="preserve"> </w:t>
      </w:r>
    </w:p>
    <w:p w:rsidR="00637EB9" w:rsidRDefault="00980077" w:rsidP="00980077">
      <w:pPr>
        <w:ind w:left="-5" w:right="101"/>
        <w:jc w:val="both"/>
      </w:pPr>
      <w:r>
        <w:t>SCT’s</w:t>
      </w:r>
      <w:r w:rsidR="008D610A">
        <w:t xml:space="preserve"> subsistence rates are in line with rates defined by the Secretary of State for the Home Department for those seeking asylum, under Section 95 of the Immigration and Asylum Act (1999). This legislation requires that provision for asylum seekers meets essential living needs. This definition is considered to be equal to the provision of local authority NRPF support, which is intended to be short term emergency support whilst a person’s immigration status is resolved. </w:t>
      </w:r>
      <w:r>
        <w:t>SCT</w:t>
      </w:r>
      <w:r w:rsidR="008D610A">
        <w:t xml:space="preserve"> reviewed its rates in November 2014.  </w:t>
      </w:r>
    </w:p>
    <w:p w:rsidR="00637EB9" w:rsidRDefault="008D610A">
      <w:pPr>
        <w:spacing w:line="259" w:lineRule="auto"/>
        <w:ind w:left="0" w:firstLine="0"/>
      </w:pPr>
      <w:r>
        <w:t xml:space="preserve"> </w:t>
      </w:r>
    </w:p>
    <w:p w:rsidR="00637EB9" w:rsidRDefault="008D610A">
      <w:pPr>
        <w:spacing w:line="259" w:lineRule="auto"/>
        <w:ind w:left="-5"/>
      </w:pPr>
      <w:r>
        <w:rPr>
          <w:b/>
        </w:rPr>
        <w:t xml:space="preserve">Exceptional circumstances and changes in circumstances  </w:t>
      </w:r>
    </w:p>
    <w:p w:rsidR="00637EB9" w:rsidRDefault="008D610A">
      <w:pPr>
        <w:spacing w:line="259" w:lineRule="auto"/>
        <w:ind w:left="0" w:firstLine="0"/>
      </w:pPr>
      <w:r>
        <w:t xml:space="preserve"> </w:t>
      </w:r>
    </w:p>
    <w:p w:rsidR="00637EB9" w:rsidRDefault="008D610A" w:rsidP="00980077">
      <w:pPr>
        <w:ind w:left="-5" w:right="101"/>
        <w:jc w:val="both"/>
      </w:pPr>
      <w:r>
        <w:t xml:space="preserve">Subsistence rates can be reviewed on a case-by-case basis at the discretion of the NRPF Group Head when requested by the client at a Panel meeting. Some exceptions to the policy are outlined below:  </w:t>
      </w:r>
    </w:p>
    <w:p w:rsidR="00637EB9" w:rsidRDefault="008D610A" w:rsidP="00980077">
      <w:pPr>
        <w:spacing w:line="259" w:lineRule="auto"/>
        <w:ind w:left="0" w:firstLine="0"/>
        <w:jc w:val="both"/>
      </w:pPr>
      <w:r>
        <w:t xml:space="preserve"> </w:t>
      </w:r>
    </w:p>
    <w:p w:rsidR="00637EB9" w:rsidRDefault="008D610A" w:rsidP="00980077">
      <w:pPr>
        <w:numPr>
          <w:ilvl w:val="0"/>
          <w:numId w:val="1"/>
        </w:numPr>
        <w:ind w:right="205" w:hanging="543"/>
        <w:jc w:val="both"/>
      </w:pPr>
      <w:r>
        <w:t xml:space="preserve">If the client has significant additional needs </w:t>
      </w:r>
    </w:p>
    <w:p w:rsidR="00637EB9" w:rsidRDefault="008D610A" w:rsidP="00980077">
      <w:pPr>
        <w:numPr>
          <w:ilvl w:val="0"/>
          <w:numId w:val="1"/>
        </w:numPr>
        <w:spacing w:line="243" w:lineRule="auto"/>
        <w:ind w:right="205" w:hanging="543"/>
        <w:jc w:val="both"/>
      </w:pPr>
      <w:r>
        <w:t xml:space="preserve">Subsistence payments may be lower than the amount above if the client is in accommodation which provides for some essential living needs. </w:t>
      </w:r>
    </w:p>
    <w:p w:rsidR="00637EB9" w:rsidRDefault="008D610A" w:rsidP="00980077">
      <w:pPr>
        <w:numPr>
          <w:ilvl w:val="0"/>
          <w:numId w:val="1"/>
        </w:numPr>
        <w:spacing w:after="66" w:line="243" w:lineRule="auto"/>
        <w:ind w:right="205" w:hanging="543"/>
        <w:jc w:val="both"/>
      </w:pPr>
      <w:r>
        <w:t xml:space="preserve">Subsistence payments will be lower if the client is in receipt of any other income – for example if in receipt of Child Benefit or Child Tax Credit this will be deducted from the subsistence payments.  </w:t>
      </w:r>
    </w:p>
    <w:p w:rsidR="00637EB9" w:rsidRDefault="008D610A" w:rsidP="00980077">
      <w:pPr>
        <w:spacing w:line="259" w:lineRule="auto"/>
        <w:ind w:left="0" w:firstLine="0"/>
        <w:jc w:val="both"/>
      </w:pPr>
      <w:r>
        <w:t xml:space="preserve"> </w:t>
      </w:r>
    </w:p>
    <w:p w:rsidR="00637EB9" w:rsidRDefault="008D610A" w:rsidP="00980077">
      <w:pPr>
        <w:spacing w:after="2400" w:line="243" w:lineRule="auto"/>
        <w:ind w:left="-15" w:right="205" w:firstLine="0"/>
        <w:jc w:val="both"/>
      </w:pPr>
      <w:r>
        <w:t xml:space="preserve">If there is any change in circumstances the subsistence payment will be recalculated and updated. The policy will be made available to all clients at the start of their service with </w:t>
      </w:r>
      <w:r w:rsidR="00980077">
        <w:t>SCT</w:t>
      </w:r>
      <w:r>
        <w:t xml:space="preserve"> or upon request at any time.  </w:t>
      </w:r>
    </w:p>
    <w:sectPr w:rsidR="00637EB9">
      <w:pgSz w:w="11904" w:h="16838"/>
      <w:pgMar w:top="711" w:right="1319" w:bottom="6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341FF"/>
    <w:multiLevelType w:val="hybridMultilevel"/>
    <w:tmpl w:val="329E4360"/>
    <w:lvl w:ilvl="0" w:tplc="24FC43DC">
      <w:start w:val="1"/>
      <w:numFmt w:val="bullet"/>
      <w:lvlText w:val="•"/>
      <w:lvlJc w:val="left"/>
      <w:pPr>
        <w:ind w:left="5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94E301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13C87B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7BE7E7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BEAF4A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F946A2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0724B2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9D88B5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D76DC3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EB9"/>
    <w:rsid w:val="00637EB9"/>
    <w:rsid w:val="0068638E"/>
    <w:rsid w:val="008D610A"/>
    <w:rsid w:val="00980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73CBE-763B-43C0-8C39-1C84069B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50" w:lineRule="auto"/>
      <w:ind w:left="10"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365F9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65F91"/>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3312.DC608A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lynda_lawrence</dc:creator>
  <cp:keywords>[IL0: UNCLASSIFIED]</cp:keywords>
  <cp:lastModifiedBy>Debbie Service</cp:lastModifiedBy>
  <cp:revision>2</cp:revision>
  <dcterms:created xsi:type="dcterms:W3CDTF">2020-07-22T09:18:00Z</dcterms:created>
  <dcterms:modified xsi:type="dcterms:W3CDTF">2020-07-22T09:18:00Z</dcterms:modified>
</cp:coreProperties>
</file>