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15877" w:type="dxa"/>
        <w:tblInd w:w="-993" w:type="dxa"/>
        <w:tblLook w:val="04A0" w:firstRow="1" w:lastRow="0" w:firstColumn="1" w:lastColumn="0" w:noHBand="0" w:noVBand="1"/>
      </w:tblPr>
      <w:tblGrid>
        <w:gridCol w:w="284"/>
        <w:gridCol w:w="15593"/>
      </w:tblGrid>
      <w:tr w:rsidR="00E7521C" w:rsidRPr="004562CC" w:rsidTr="00FC52BC">
        <w:trPr>
          <w:trHeight w:val="85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21C" w:rsidRPr="005B5B33" w:rsidRDefault="00E7521C" w:rsidP="005B5B33">
            <w:pPr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EB977D" w:themeFill="accent6" w:themeFillTint="99"/>
          </w:tcPr>
          <w:p w:rsidR="003A0116" w:rsidRPr="00625697" w:rsidRDefault="00A20EDA" w:rsidP="004B2406">
            <w:pPr>
              <w:jc w:val="both"/>
              <w:rPr>
                <w:rFonts w:asciiTheme="majorHAnsi" w:hAnsiTheme="majorHAnsi" w:cs="Arial"/>
                <w:b/>
                <w:iCs/>
                <w:sz w:val="20"/>
                <w:szCs w:val="20"/>
                <w:u w:val="single"/>
              </w:rPr>
            </w:pPr>
            <w:r w:rsidRPr="00625697">
              <w:rPr>
                <w:rFonts w:asciiTheme="majorHAnsi" w:hAnsiTheme="majorHAnsi" w:cs="Arial"/>
                <w:b/>
                <w:iCs/>
                <w:sz w:val="20"/>
                <w:szCs w:val="20"/>
                <w:u w:val="single"/>
              </w:rPr>
              <w:t>What is an</w:t>
            </w:r>
            <w:r w:rsidR="004E41D9" w:rsidRPr="00625697">
              <w:rPr>
                <w:rFonts w:asciiTheme="majorHAnsi" w:hAnsiTheme="majorHAnsi" w:cs="Arial"/>
                <w:b/>
                <w:iCs/>
                <w:sz w:val="20"/>
                <w:szCs w:val="20"/>
                <w:u w:val="single"/>
              </w:rPr>
              <w:t xml:space="preserve"> Education Health and Care Plan (EHCP)?</w:t>
            </w:r>
            <w:r w:rsidRPr="00625697">
              <w:rPr>
                <w:rFonts w:asciiTheme="majorHAnsi" w:hAnsiTheme="majorHAnsi" w:cs="Arial"/>
                <w:b/>
                <w:iCs/>
                <w:sz w:val="20"/>
                <w:szCs w:val="20"/>
                <w:u w:val="single"/>
              </w:rPr>
              <w:t xml:space="preserve"> </w:t>
            </w:r>
          </w:p>
          <w:p w:rsidR="00793421" w:rsidRPr="00625697" w:rsidRDefault="00110AE8" w:rsidP="004B240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625697">
              <w:rPr>
                <w:rFonts w:asciiTheme="majorHAnsi" w:hAnsiTheme="majorHAnsi" w:cs="Arial"/>
                <w:iCs/>
                <w:sz w:val="20"/>
                <w:szCs w:val="20"/>
              </w:rPr>
              <w:t xml:space="preserve">An EHCP replaces </w:t>
            </w:r>
            <w:r w:rsidR="00305A48" w:rsidRPr="00625697">
              <w:rPr>
                <w:rFonts w:asciiTheme="majorHAnsi" w:hAnsiTheme="majorHAnsi" w:cs="Arial"/>
                <w:iCs/>
                <w:sz w:val="20"/>
                <w:szCs w:val="20"/>
              </w:rPr>
              <w:t>s</w:t>
            </w:r>
            <w:r w:rsidRPr="00625697">
              <w:rPr>
                <w:rFonts w:asciiTheme="majorHAnsi" w:hAnsiTheme="majorHAnsi" w:cs="Arial"/>
                <w:iCs/>
                <w:sz w:val="20"/>
                <w:szCs w:val="20"/>
              </w:rPr>
              <w:t xml:space="preserve">tatements of special educational needs (SSEN) and </w:t>
            </w:r>
            <w:r w:rsidR="00305A48" w:rsidRPr="00625697">
              <w:rPr>
                <w:rFonts w:asciiTheme="majorHAnsi" w:hAnsiTheme="majorHAnsi" w:cs="Arial"/>
                <w:iCs/>
                <w:sz w:val="20"/>
                <w:szCs w:val="20"/>
              </w:rPr>
              <w:t>learning difficulties</w:t>
            </w:r>
            <w:r w:rsidRPr="00625697">
              <w:rPr>
                <w:rFonts w:asciiTheme="majorHAnsi" w:hAnsiTheme="majorHAnsi" w:cs="Arial"/>
                <w:iCs/>
                <w:sz w:val="20"/>
                <w:szCs w:val="20"/>
              </w:rPr>
              <w:t xml:space="preserve"> </w:t>
            </w:r>
            <w:r w:rsidR="00305A48" w:rsidRPr="00625697">
              <w:rPr>
                <w:rFonts w:asciiTheme="majorHAnsi" w:hAnsiTheme="majorHAnsi" w:cs="Arial"/>
                <w:iCs/>
                <w:sz w:val="20"/>
                <w:szCs w:val="20"/>
              </w:rPr>
              <w:t>a</w:t>
            </w:r>
            <w:r w:rsidRPr="00625697">
              <w:rPr>
                <w:rFonts w:asciiTheme="majorHAnsi" w:hAnsiTheme="majorHAnsi" w:cs="Arial"/>
                <w:iCs/>
                <w:sz w:val="20"/>
                <w:szCs w:val="20"/>
              </w:rPr>
              <w:t>ssessments for children and young people with special educational ne</w:t>
            </w:r>
            <w:r w:rsidR="00305A48" w:rsidRPr="00625697">
              <w:rPr>
                <w:rFonts w:asciiTheme="majorHAnsi" w:hAnsiTheme="majorHAnsi" w:cs="Arial"/>
                <w:iCs/>
                <w:sz w:val="20"/>
                <w:szCs w:val="20"/>
              </w:rPr>
              <w:t>eds.</w:t>
            </w:r>
            <w:r w:rsidR="004E41D9" w:rsidRPr="00625697">
              <w:rPr>
                <w:rFonts w:asciiTheme="majorHAnsi" w:hAnsiTheme="majorHAnsi" w:cs="Arial"/>
                <w:iCs/>
                <w:sz w:val="20"/>
                <w:szCs w:val="20"/>
              </w:rPr>
              <w:t xml:space="preserve"> </w:t>
            </w:r>
          </w:p>
          <w:p w:rsidR="00110AE8" w:rsidRPr="00625697" w:rsidRDefault="00793421" w:rsidP="004B240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625697">
              <w:rPr>
                <w:rFonts w:asciiTheme="majorHAnsi" w:hAnsiTheme="majorHAnsi" w:cs="Arial"/>
                <w:iCs/>
                <w:sz w:val="20"/>
                <w:szCs w:val="20"/>
              </w:rPr>
              <w:t>C</w:t>
            </w:r>
            <w:r w:rsidR="00110AE8" w:rsidRPr="00625697">
              <w:rPr>
                <w:rFonts w:asciiTheme="majorHAnsi" w:hAnsiTheme="majorHAnsi" w:cs="Arial"/>
                <w:iCs/>
                <w:sz w:val="20"/>
                <w:szCs w:val="20"/>
              </w:rPr>
              <w:t xml:space="preserve">an only be used after a child or young person has had an Education, Health and Care needs </w:t>
            </w:r>
            <w:r w:rsidR="00305A48" w:rsidRPr="00625697">
              <w:rPr>
                <w:rFonts w:asciiTheme="majorHAnsi" w:hAnsiTheme="majorHAnsi" w:cs="Arial"/>
                <w:iCs/>
                <w:sz w:val="20"/>
                <w:szCs w:val="20"/>
              </w:rPr>
              <w:t>assessment.</w:t>
            </w:r>
            <w:r w:rsidR="00110AE8" w:rsidRPr="00625697">
              <w:rPr>
                <w:rFonts w:asciiTheme="majorHAnsi" w:hAnsiTheme="majorHAnsi" w:cs="Arial"/>
                <w:iCs/>
                <w:sz w:val="20"/>
                <w:szCs w:val="20"/>
              </w:rPr>
              <w:t xml:space="preserve"> </w:t>
            </w:r>
          </w:p>
          <w:p w:rsidR="00A956B7" w:rsidRPr="00625697" w:rsidRDefault="00A956B7" w:rsidP="004B240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 xml:space="preserve">An outcome focused legal document that describes a child or young person's special educational, health and social care needs. </w:t>
            </w:r>
          </w:p>
          <w:p w:rsidR="00A956B7" w:rsidRPr="00625697" w:rsidRDefault="00A956B7" w:rsidP="004B2406">
            <w:pPr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 xml:space="preserve">A plan that explains the extra help that will be given to meet </w:t>
            </w:r>
            <w:r w:rsidR="00793421" w:rsidRPr="00625697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 xml:space="preserve">identified needs and how that help will support the child or young person to achieve what they want to in their life. </w:t>
            </w:r>
          </w:p>
          <w:p w:rsidR="00A956B7" w:rsidRPr="00625697" w:rsidRDefault="00A956B7" w:rsidP="004B2406">
            <w:pPr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A plan that is drawn up by the local authority after an Education Health and Care needs assessment has been undertaken.</w:t>
            </w:r>
          </w:p>
          <w:p w:rsidR="00A956B7" w:rsidRPr="00625697" w:rsidRDefault="00793421" w:rsidP="004B2406">
            <w:pPr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A plan that can</w:t>
            </w:r>
            <w:r w:rsidR="00A956B7" w:rsidRPr="00625697">
              <w:rPr>
                <w:rFonts w:asciiTheme="majorHAnsi" w:hAnsiTheme="majorHAnsi"/>
                <w:sz w:val="20"/>
                <w:szCs w:val="20"/>
              </w:rPr>
              <w:t xml:space="preserve"> run from the age of 0 to 25.</w:t>
            </w:r>
          </w:p>
          <w:p w:rsidR="00A956B7" w:rsidRPr="00625697" w:rsidRDefault="00A956B7" w:rsidP="004B2406">
            <w:pPr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A plan th</w:t>
            </w:r>
            <w:r w:rsidR="00793421" w:rsidRPr="00625697">
              <w:rPr>
                <w:rFonts w:asciiTheme="majorHAnsi" w:hAnsiTheme="majorHAnsi"/>
                <w:sz w:val="20"/>
                <w:szCs w:val="20"/>
              </w:rPr>
              <w:t>at is reviewed annually by the local a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 xml:space="preserve">uthority. </w:t>
            </w:r>
          </w:p>
          <w:p w:rsidR="00A956B7" w:rsidRPr="00625697" w:rsidRDefault="00A956B7" w:rsidP="004B2406">
            <w:pPr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A plan that has 12 sections (A-K).</w:t>
            </w:r>
          </w:p>
          <w:p w:rsidR="00A956B7" w:rsidRPr="00625697" w:rsidRDefault="00A956B7" w:rsidP="004B2406">
            <w:pPr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 xml:space="preserve">A plan that is subject to legal appeal via the SEND First Tier Tribunal and challenge via Judicial Review. </w:t>
            </w:r>
          </w:p>
        </w:tc>
      </w:tr>
      <w:tr w:rsidR="00E7521C" w:rsidRPr="004562CC" w:rsidTr="00793421">
        <w:trPr>
          <w:trHeight w:val="167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21C" w:rsidRPr="009C5707" w:rsidRDefault="00E7521C" w:rsidP="00B760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F8DCD3" w:themeFill="accent6" w:themeFillTint="33"/>
          </w:tcPr>
          <w:p w:rsidR="00103F78" w:rsidRPr="00625697" w:rsidRDefault="002A6585" w:rsidP="004B2406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2569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Relevant</w:t>
            </w:r>
            <w:r w:rsidR="00305A48" w:rsidRPr="0062569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110AE8" w:rsidRPr="0062569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Legislation </w:t>
            </w:r>
          </w:p>
          <w:p w:rsidR="00110AE8" w:rsidRPr="00625697" w:rsidRDefault="00110AE8" w:rsidP="004B240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b/>
                <w:sz w:val="20"/>
                <w:szCs w:val="20"/>
              </w:rPr>
              <w:t>Children and Families Act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956B7" w:rsidRPr="00625697">
              <w:rPr>
                <w:rFonts w:asciiTheme="majorHAnsi" w:hAnsiTheme="majorHAnsi"/>
                <w:sz w:val="20"/>
                <w:szCs w:val="20"/>
              </w:rPr>
              <w:t>2014 Part 3</w:t>
            </w:r>
          </w:p>
          <w:p w:rsidR="00110AE8" w:rsidRPr="00625697" w:rsidRDefault="00110AE8" w:rsidP="004B240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b/>
                <w:sz w:val="20"/>
                <w:szCs w:val="20"/>
              </w:rPr>
              <w:t>Chronically Sick and Disabled Persons Act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 xml:space="preserve"> 1970 S.2</w:t>
            </w:r>
          </w:p>
          <w:p w:rsidR="00110AE8" w:rsidRPr="00625697" w:rsidRDefault="00110AE8" w:rsidP="004B240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b/>
                <w:sz w:val="20"/>
                <w:szCs w:val="20"/>
              </w:rPr>
              <w:t>Children Act 1989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10AE8" w:rsidRPr="00625697" w:rsidRDefault="00110AE8" w:rsidP="004B240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b/>
                <w:sz w:val="20"/>
                <w:szCs w:val="20"/>
              </w:rPr>
              <w:t>Care Act 2014</w:t>
            </w:r>
          </w:p>
          <w:p w:rsidR="004E41D9" w:rsidRPr="00625697" w:rsidRDefault="004E41D9" w:rsidP="004B240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b/>
                <w:sz w:val="20"/>
                <w:szCs w:val="20"/>
              </w:rPr>
              <w:t>Special Educational Needs and Disability code of practice: 0-25 years (2015)</w:t>
            </w:r>
          </w:p>
          <w:p w:rsidR="00793421" w:rsidRPr="00625697" w:rsidRDefault="004E41D9" w:rsidP="004B240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25697">
              <w:rPr>
                <w:rFonts w:asciiTheme="majorHAnsi" w:hAnsiTheme="majorHAnsi"/>
                <w:b/>
                <w:sz w:val="20"/>
                <w:szCs w:val="20"/>
              </w:rPr>
              <w:t>Special Educational Needs and Disability Regulations (2014</w:t>
            </w:r>
            <w:r w:rsidR="00793421" w:rsidRPr="00625697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E7521C" w:rsidRPr="004562CC" w:rsidTr="00FC52BC">
        <w:trPr>
          <w:trHeight w:val="1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21C" w:rsidRPr="004562CC" w:rsidRDefault="00E7521C" w:rsidP="00B76002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EB977D" w:themeFill="accent6" w:themeFillTint="99"/>
          </w:tcPr>
          <w:p w:rsidR="004549C7" w:rsidRPr="00625697" w:rsidRDefault="00305A48" w:rsidP="004B2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What</w:t>
            </w:r>
            <w:r w:rsidR="004549C7" w:rsidRPr="0062569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are the 12 sections of an EHCP?</w:t>
            </w:r>
            <w:r w:rsidRPr="0062569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</w:p>
          <w:p w:rsidR="00305A48" w:rsidRPr="00625697" w:rsidRDefault="004549C7" w:rsidP="004B240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Section A- The views, interests and aspirations of the child or young person and their parents.</w:t>
            </w:r>
          </w:p>
          <w:p w:rsidR="004549C7" w:rsidRPr="00625697" w:rsidRDefault="004549C7" w:rsidP="004B240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Section B-  The child or young person’s special educational needs.</w:t>
            </w:r>
          </w:p>
          <w:p w:rsidR="004549C7" w:rsidRPr="00625697" w:rsidRDefault="004549C7" w:rsidP="004B240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Section C-</w:t>
            </w:r>
            <w:r w:rsidR="0040351C" w:rsidRPr="00625697">
              <w:rPr>
                <w:rFonts w:asciiTheme="majorHAnsi" w:hAnsiTheme="majorHAnsi"/>
                <w:sz w:val="20"/>
                <w:szCs w:val="20"/>
              </w:rPr>
              <w:t xml:space="preserve"> Health 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>Needs</w:t>
            </w:r>
            <w:r w:rsidR="008E414A" w:rsidRPr="00625697">
              <w:rPr>
                <w:rFonts w:asciiTheme="majorHAnsi" w:hAnsiTheme="majorHAnsi"/>
                <w:sz w:val="20"/>
                <w:szCs w:val="20"/>
              </w:rPr>
              <w:t>.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549C7" w:rsidRPr="00625697" w:rsidRDefault="004549C7" w:rsidP="004B240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 xml:space="preserve">Section D- </w:t>
            </w:r>
            <w:r w:rsidR="0040351C" w:rsidRPr="00625697">
              <w:rPr>
                <w:rFonts w:asciiTheme="majorHAnsi" w:hAnsiTheme="majorHAnsi"/>
                <w:sz w:val="20"/>
                <w:szCs w:val="20"/>
              </w:rPr>
              <w:t>Social Care Needs</w:t>
            </w:r>
            <w:r w:rsidR="008E414A" w:rsidRPr="0062569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0351C" w:rsidRPr="00625697" w:rsidRDefault="0040351C" w:rsidP="004B240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Section E- Outcomes sought for the child or young person</w:t>
            </w:r>
            <w:r w:rsidR="008E414A" w:rsidRPr="00625697">
              <w:rPr>
                <w:rFonts w:asciiTheme="majorHAnsi" w:hAnsiTheme="majorHAnsi"/>
                <w:sz w:val="20"/>
                <w:szCs w:val="20"/>
              </w:rPr>
              <w:t>.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0351C" w:rsidRPr="00625697" w:rsidRDefault="00793421" w:rsidP="004B240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Section F-</w:t>
            </w:r>
            <w:r w:rsidR="0040351C" w:rsidRPr="00625697">
              <w:rPr>
                <w:rFonts w:asciiTheme="majorHAnsi" w:hAnsiTheme="majorHAnsi"/>
                <w:sz w:val="20"/>
                <w:szCs w:val="20"/>
              </w:rPr>
              <w:t xml:space="preserve"> Special Educational Provision</w:t>
            </w:r>
            <w:r w:rsidR="008E414A" w:rsidRPr="00625697">
              <w:rPr>
                <w:rFonts w:asciiTheme="majorHAnsi" w:hAnsiTheme="majorHAnsi"/>
                <w:sz w:val="20"/>
                <w:szCs w:val="20"/>
              </w:rPr>
              <w:t>.</w:t>
            </w:r>
            <w:r w:rsidR="0040351C" w:rsidRPr="0062569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0351C" w:rsidRPr="00625697" w:rsidRDefault="0040351C" w:rsidP="004B240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 xml:space="preserve">Section G- </w:t>
            </w:r>
            <w:r w:rsidR="00DE3522" w:rsidRPr="00625697">
              <w:rPr>
                <w:rFonts w:asciiTheme="majorHAnsi" w:hAnsiTheme="majorHAnsi"/>
                <w:sz w:val="20"/>
                <w:szCs w:val="20"/>
              </w:rPr>
              <w:t>Health Care Provision</w:t>
            </w:r>
            <w:r w:rsidR="008E414A" w:rsidRPr="0062569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E3522" w:rsidRPr="00625697" w:rsidRDefault="00DE3522" w:rsidP="004B240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 xml:space="preserve">Section H1 and H2- Social Care Provision which must be made for the child or young person as a result of section 2 of the Chronically Sick and </w:t>
            </w:r>
            <w:r w:rsidR="00A956B7" w:rsidRPr="00625697">
              <w:rPr>
                <w:rFonts w:asciiTheme="majorHAnsi" w:hAnsiTheme="majorHAnsi"/>
                <w:sz w:val="20"/>
                <w:szCs w:val="20"/>
              </w:rPr>
              <w:t>Disabled Persons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 xml:space="preserve"> Act 1970</w:t>
            </w:r>
            <w:r w:rsidR="008E414A" w:rsidRPr="0062569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07996" w:rsidRPr="00625697" w:rsidRDefault="00407996" w:rsidP="004B240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Section I- Educational setting or type of setting</w:t>
            </w:r>
            <w:r w:rsidR="008E414A" w:rsidRPr="0062569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07996" w:rsidRPr="00625697" w:rsidRDefault="00407996" w:rsidP="004B240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Section J- Direct Payments</w:t>
            </w:r>
            <w:r w:rsidR="008E414A" w:rsidRPr="00625697">
              <w:rPr>
                <w:rFonts w:asciiTheme="majorHAnsi" w:hAnsiTheme="majorHAnsi"/>
                <w:sz w:val="20"/>
                <w:szCs w:val="20"/>
              </w:rPr>
              <w:t>.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07996" w:rsidRPr="00625697" w:rsidRDefault="00407996" w:rsidP="004B240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Section K- Appendices to plan (reports/advices etc)</w:t>
            </w:r>
            <w:r w:rsidR="008E414A" w:rsidRPr="0062569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A79BB" w:rsidRPr="00625697" w:rsidRDefault="007A79BB" w:rsidP="004B240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6B7" w:rsidRPr="004562CC" w:rsidTr="00FC52BC">
        <w:trPr>
          <w:trHeight w:val="7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6B7" w:rsidRPr="009C5707" w:rsidRDefault="00A956B7" w:rsidP="00A956B7">
            <w:pPr>
              <w:ind w:firstLine="42"/>
              <w:rPr>
                <w:rFonts w:asciiTheme="majorHAnsi" w:hAnsiTheme="majorHAnsi"/>
                <w:noProof/>
                <w:lang w:eastAsia="en-GB"/>
              </w:rPr>
            </w:pPr>
          </w:p>
        </w:tc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F2B9A8" w:themeFill="accent6" w:themeFillTint="66"/>
          </w:tcPr>
          <w:p w:rsidR="00815101" w:rsidRPr="00625697" w:rsidRDefault="00815101" w:rsidP="004B2406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2569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How do I contribute to the EHCP?</w:t>
            </w:r>
            <w:r w:rsidRPr="0062569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202CDF" w:rsidRPr="00625697" w:rsidRDefault="00202CDF" w:rsidP="004B240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Ensure that the views</w:t>
            </w:r>
            <w:r w:rsidR="00446055" w:rsidRPr="00625697">
              <w:rPr>
                <w:rFonts w:asciiTheme="majorHAnsi" w:hAnsiTheme="majorHAnsi"/>
                <w:sz w:val="20"/>
                <w:szCs w:val="20"/>
              </w:rPr>
              <w:t>,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 xml:space="preserve"> wishes and feelings of the child or young person and their parents</w:t>
            </w:r>
            <w:r w:rsidR="00446055" w:rsidRPr="00625697">
              <w:rPr>
                <w:rFonts w:asciiTheme="majorHAnsi" w:hAnsiTheme="majorHAnsi"/>
                <w:sz w:val="20"/>
                <w:szCs w:val="20"/>
              </w:rPr>
              <w:t>/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>carers is reflected in the advice</w:t>
            </w:r>
            <w:r w:rsidR="00776B47" w:rsidRPr="00625697">
              <w:rPr>
                <w:rFonts w:asciiTheme="majorHAnsi" w:hAnsiTheme="majorHAnsi"/>
                <w:sz w:val="20"/>
                <w:szCs w:val="20"/>
              </w:rPr>
              <w:t xml:space="preserve"> you give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CE5615" w:rsidRPr="00625697" w:rsidRDefault="00CE5615" w:rsidP="004B240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Ensure that you are clear on the needs, outcomes and provisions.</w:t>
            </w:r>
          </w:p>
          <w:p w:rsidR="00AC088F" w:rsidRPr="00625697" w:rsidRDefault="008E414A" w:rsidP="004B240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 xml:space="preserve">Ensure that you respond with the requested advice within the specified timescales. </w:t>
            </w:r>
          </w:p>
        </w:tc>
      </w:tr>
      <w:tr w:rsidR="00A956B7" w:rsidRPr="004562CC" w:rsidTr="00625697">
        <w:trPr>
          <w:trHeight w:val="109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6B7" w:rsidRPr="009C5707" w:rsidRDefault="00A956B7" w:rsidP="00FD3EAE">
            <w:pPr>
              <w:ind w:firstLine="42"/>
              <w:rPr>
                <w:rFonts w:asciiTheme="majorHAnsi" w:hAnsiTheme="majorHAnsi"/>
                <w:noProof/>
                <w:lang w:eastAsia="en-GB"/>
              </w:rPr>
            </w:pPr>
          </w:p>
        </w:tc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EB977D" w:themeFill="accent6" w:themeFillTint="99"/>
          </w:tcPr>
          <w:p w:rsidR="00AC088F" w:rsidRPr="00625697" w:rsidRDefault="00AC088F" w:rsidP="004B2406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625697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Things to remember</w:t>
            </w:r>
          </w:p>
          <w:p w:rsidR="00625697" w:rsidRPr="00625697" w:rsidRDefault="00625697" w:rsidP="004B240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The child’s/young p</w:t>
            </w:r>
            <w:r>
              <w:rPr>
                <w:rFonts w:asciiTheme="majorHAnsi" w:hAnsiTheme="majorHAnsi"/>
                <w:sz w:val="20"/>
                <w:szCs w:val="20"/>
              </w:rPr>
              <w:t>erson’s aspirations AS WELL as n</w:t>
            </w:r>
            <w:r w:rsidRPr="00625697">
              <w:rPr>
                <w:rFonts w:asciiTheme="majorHAnsi" w:hAnsiTheme="majorHAnsi"/>
                <w:sz w:val="20"/>
                <w:szCs w:val="20"/>
              </w:rPr>
              <w:t>eeds.</w:t>
            </w:r>
          </w:p>
          <w:p w:rsidR="003F602C" w:rsidRPr="00625697" w:rsidRDefault="00793421" w:rsidP="004B240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25697">
              <w:rPr>
                <w:rFonts w:asciiTheme="majorHAnsi" w:hAnsiTheme="majorHAnsi" w:cs="Arial"/>
                <w:sz w:val="20"/>
                <w:szCs w:val="20"/>
              </w:rPr>
              <w:t>The outcomes and p</w:t>
            </w:r>
            <w:r w:rsidR="003F602C" w:rsidRPr="00625697">
              <w:rPr>
                <w:rFonts w:asciiTheme="majorHAnsi" w:hAnsiTheme="majorHAnsi" w:cs="Arial"/>
                <w:sz w:val="20"/>
                <w:szCs w:val="20"/>
              </w:rPr>
              <w:t>rovision</w:t>
            </w:r>
            <w:r w:rsidRPr="00625697">
              <w:rPr>
                <w:rFonts w:asciiTheme="majorHAnsi" w:hAnsiTheme="majorHAnsi" w:cs="Arial"/>
                <w:sz w:val="20"/>
                <w:szCs w:val="20"/>
              </w:rPr>
              <w:t xml:space="preserve"> required.</w:t>
            </w:r>
            <w:r w:rsidR="003F602C" w:rsidRPr="0062569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C088F" w:rsidRPr="00625697" w:rsidRDefault="00AC088F" w:rsidP="004B240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625697">
              <w:rPr>
                <w:rFonts w:asciiTheme="majorHAnsi" w:hAnsiTheme="majorHAnsi"/>
                <w:sz w:val="20"/>
                <w:szCs w:val="20"/>
              </w:rPr>
              <w:t>An outcome is the difference made to a child or young person as a result of an intervention</w:t>
            </w:r>
            <w:r w:rsidR="00A73E8A" w:rsidRPr="0062569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956B7" w:rsidRPr="00625697" w:rsidRDefault="008F7D00" w:rsidP="004B240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625697">
              <w:rPr>
                <w:rFonts w:asciiTheme="majorHAnsi" w:hAnsiTheme="majorHAnsi" w:cs="Arial"/>
                <w:sz w:val="20"/>
                <w:szCs w:val="20"/>
              </w:rPr>
              <w:t xml:space="preserve">The </w:t>
            </w:r>
            <w:r w:rsidR="00793421" w:rsidRPr="00625697">
              <w:rPr>
                <w:rFonts w:asciiTheme="majorHAnsi" w:hAnsiTheme="majorHAnsi" w:cs="Arial"/>
                <w:sz w:val="20"/>
                <w:szCs w:val="20"/>
              </w:rPr>
              <w:t>outcome should</w:t>
            </w:r>
            <w:r w:rsidRPr="00625697">
              <w:rPr>
                <w:rFonts w:asciiTheme="majorHAnsi" w:hAnsiTheme="majorHAnsi" w:cs="Arial"/>
                <w:sz w:val="20"/>
                <w:szCs w:val="20"/>
              </w:rPr>
              <w:t xml:space="preserve"> be SMART and </w:t>
            </w:r>
            <w:r w:rsidR="003B0D01" w:rsidRPr="00625697">
              <w:rPr>
                <w:rFonts w:asciiTheme="majorHAnsi" w:hAnsiTheme="majorHAnsi" w:cs="Arial"/>
                <w:sz w:val="20"/>
                <w:szCs w:val="20"/>
              </w:rPr>
              <w:t xml:space="preserve">based on the child or young person’s </w:t>
            </w:r>
            <w:r w:rsidR="00815101" w:rsidRPr="00625697">
              <w:rPr>
                <w:rFonts w:asciiTheme="majorHAnsi" w:hAnsiTheme="majorHAnsi" w:cs="Arial"/>
                <w:sz w:val="20"/>
                <w:szCs w:val="20"/>
              </w:rPr>
              <w:t>needs and aspirations</w:t>
            </w:r>
            <w:r w:rsidR="00A73E8A" w:rsidRPr="0062569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3B0D01" w:rsidRPr="00625697" w:rsidRDefault="003B0D01" w:rsidP="004B240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625697">
              <w:rPr>
                <w:rFonts w:asciiTheme="majorHAnsi" w:hAnsiTheme="majorHAnsi" w:cs="Arial"/>
                <w:sz w:val="20"/>
                <w:szCs w:val="20"/>
              </w:rPr>
              <w:t>Ensure that the EHCP forms part of the overall plan for the child i.e. TAF, CIN, CP or LAC</w:t>
            </w:r>
            <w:r w:rsidR="00A73E8A" w:rsidRPr="0062569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D26133" w:rsidRPr="00A521A6" w:rsidRDefault="00D26133" w:rsidP="00E7521C">
      <w:pPr>
        <w:rPr>
          <w:sz w:val="28"/>
          <w:szCs w:val="28"/>
        </w:rPr>
      </w:pPr>
    </w:p>
    <w:sectPr w:rsidR="00D26133" w:rsidRPr="00A521A6" w:rsidSect="001302D1">
      <w:headerReference w:type="first" r:id="rId10"/>
      <w:pgSz w:w="16838" w:h="11906" w:orient="landscape"/>
      <w:pgMar w:top="1022" w:right="1440" w:bottom="0" w:left="1440" w:header="14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4D7" w:rsidRDefault="008644D7" w:rsidP="00980CE2">
      <w:pPr>
        <w:spacing w:after="0" w:line="240" w:lineRule="auto"/>
      </w:pPr>
      <w:r>
        <w:separator/>
      </w:r>
    </w:p>
  </w:endnote>
  <w:endnote w:type="continuationSeparator" w:id="0">
    <w:p w:rsidR="008644D7" w:rsidRDefault="008644D7" w:rsidP="0098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4D7" w:rsidRDefault="008644D7" w:rsidP="00980CE2">
      <w:pPr>
        <w:spacing w:after="0" w:line="240" w:lineRule="auto"/>
      </w:pPr>
      <w:r>
        <w:separator/>
      </w:r>
    </w:p>
  </w:footnote>
  <w:footnote w:type="continuationSeparator" w:id="0">
    <w:p w:rsidR="008644D7" w:rsidRDefault="008644D7" w:rsidP="0098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65" w:rsidRPr="004B2406" w:rsidRDefault="00D177B7" w:rsidP="00CD6432">
    <w:pPr>
      <w:pStyle w:val="Heading1"/>
      <w:rPr>
        <w:b w:val="0"/>
        <w:sz w:val="16"/>
        <w:szCs w:val="16"/>
      </w:rPr>
    </w:pPr>
    <w:sdt>
      <w:sdtPr>
        <w:rPr>
          <w:b w:val="0"/>
          <w:sz w:val="20"/>
          <w:szCs w:val="20"/>
        </w:rPr>
        <w:id w:val="-524952579"/>
        <w:docPartObj>
          <w:docPartGallery w:val="Watermarks"/>
          <w:docPartUnique/>
        </w:docPartObj>
      </w:sdtPr>
      <w:sdtEndPr/>
      <w:sdtContent>
        <w:r>
          <w:rPr>
            <w:b w:val="0"/>
            <w:noProof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20EDA" w:rsidRPr="004B2406">
      <w:rPr>
        <w:b w:val="0"/>
        <w:sz w:val="20"/>
        <w:szCs w:val="20"/>
      </w:rPr>
      <w:t>Education, Health and Care Plan.</w:t>
    </w:r>
    <w:r w:rsidR="00A20EDA" w:rsidRPr="004B2406">
      <w:rPr>
        <w:b w:val="0"/>
        <w:sz w:val="16"/>
        <w:szCs w:val="16"/>
      </w:rPr>
      <w:t xml:space="preserve"> One</w:t>
    </w:r>
    <w:r w:rsidR="009C5707" w:rsidRPr="004B2406">
      <w:rPr>
        <w:b w:val="0"/>
        <w:sz w:val="16"/>
        <w:szCs w:val="16"/>
      </w:rPr>
      <w:t xml:space="preserve"> Page </w:t>
    </w:r>
    <w:r w:rsidR="00CD6432" w:rsidRPr="004B2406">
      <w:rPr>
        <w:b w:val="0"/>
        <w:sz w:val="16"/>
        <w:szCs w:val="16"/>
      </w:rPr>
      <w:t xml:space="preserve">Briefing </w:t>
    </w:r>
    <w:r w:rsidR="007A531D" w:rsidRPr="004B2406">
      <w:rPr>
        <w:b w:val="0"/>
        <w:sz w:val="16"/>
        <w:szCs w:val="16"/>
      </w:rPr>
      <w:t xml:space="preserve">for Social Workers </w:t>
    </w:r>
    <w:r w:rsidR="00A76EDE" w:rsidRPr="004B2406">
      <w:rPr>
        <w:b w:val="0"/>
        <w:sz w:val="16"/>
        <w:szCs w:val="16"/>
      </w:rPr>
      <w:t xml:space="preserve">and </w:t>
    </w:r>
    <w:r w:rsidR="009C5707" w:rsidRPr="004B2406">
      <w:rPr>
        <w:b w:val="0"/>
        <w:sz w:val="16"/>
        <w:szCs w:val="16"/>
      </w:rPr>
      <w:t>Lead Professional</w:t>
    </w:r>
    <w:r w:rsidR="007A531D" w:rsidRPr="004B2406">
      <w:rPr>
        <w:b w:val="0"/>
        <w:sz w:val="16"/>
        <w:szCs w:val="16"/>
      </w:rPr>
      <w:t>s</w:t>
    </w:r>
  </w:p>
  <w:p w:rsidR="00FB2EEF" w:rsidRPr="00A71665" w:rsidRDefault="00245A95" w:rsidP="00CD6432">
    <w:pPr>
      <w:pStyle w:val="Heading1"/>
      <w:rPr>
        <w:b w:val="0"/>
        <w:sz w:val="16"/>
        <w:szCs w:val="16"/>
      </w:rPr>
    </w:pPr>
    <w:r w:rsidRPr="004B2406">
      <w:rPr>
        <w:b w:val="0"/>
        <w:sz w:val="16"/>
        <w:szCs w:val="16"/>
      </w:rPr>
      <w:t>November</w:t>
    </w:r>
    <w:r w:rsidR="00A71665" w:rsidRPr="004B2406">
      <w:rPr>
        <w:b w:val="0"/>
        <w:sz w:val="16"/>
        <w:szCs w:val="16"/>
      </w:rPr>
      <w:t xml:space="preserve"> 2017 MB V.1</w:t>
    </w:r>
    <w:r w:rsidR="007E487D" w:rsidRPr="004B2406">
      <w:rPr>
        <w:b w:val="0"/>
        <w:sz w:val="16"/>
        <w:szCs w:val="16"/>
      </w:rPr>
      <w:tab/>
    </w:r>
    <w:r w:rsidR="007E487D" w:rsidRPr="00A71665">
      <w:rPr>
        <w:b w:val="0"/>
        <w:sz w:val="16"/>
        <w:szCs w:val="16"/>
      </w:rPr>
      <w:tab/>
    </w:r>
    <w:r w:rsidR="007E487D" w:rsidRPr="00A71665">
      <w:rPr>
        <w:b w:val="0"/>
        <w:sz w:val="16"/>
        <w:szCs w:val="16"/>
      </w:rPr>
      <w:tab/>
    </w:r>
    <w:r w:rsidR="007E487D" w:rsidRPr="00A71665">
      <w:rPr>
        <w:b w:val="0"/>
        <w:sz w:val="16"/>
        <w:szCs w:val="16"/>
      </w:rPr>
      <w:tab/>
    </w:r>
    <w:r w:rsidR="007E487D" w:rsidRPr="00A71665">
      <w:rPr>
        <w:b w:val="0"/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B07"/>
    <w:multiLevelType w:val="hybridMultilevel"/>
    <w:tmpl w:val="12F22B44"/>
    <w:lvl w:ilvl="0" w:tplc="7C94B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3BD"/>
    <w:multiLevelType w:val="hybridMultilevel"/>
    <w:tmpl w:val="C4A0B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9733E"/>
    <w:multiLevelType w:val="hybridMultilevel"/>
    <w:tmpl w:val="DF72B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AFA"/>
    <w:multiLevelType w:val="hybridMultilevel"/>
    <w:tmpl w:val="1F9E35BE"/>
    <w:lvl w:ilvl="0" w:tplc="7C94B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EB2"/>
    <w:multiLevelType w:val="hybridMultilevel"/>
    <w:tmpl w:val="A09CF0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13265"/>
    <w:multiLevelType w:val="hybridMultilevel"/>
    <w:tmpl w:val="19E6D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A5999"/>
    <w:multiLevelType w:val="hybridMultilevel"/>
    <w:tmpl w:val="19088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A2B2D"/>
    <w:multiLevelType w:val="hybridMultilevel"/>
    <w:tmpl w:val="19E6D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76CF9"/>
    <w:multiLevelType w:val="hybridMultilevel"/>
    <w:tmpl w:val="995C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35E34"/>
    <w:multiLevelType w:val="hybridMultilevel"/>
    <w:tmpl w:val="6E32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F6C73"/>
    <w:multiLevelType w:val="hybridMultilevel"/>
    <w:tmpl w:val="A09CF0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F233D"/>
    <w:multiLevelType w:val="hybridMultilevel"/>
    <w:tmpl w:val="20C68F8A"/>
    <w:lvl w:ilvl="0" w:tplc="7C94B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010"/>
    <w:multiLevelType w:val="hybridMultilevel"/>
    <w:tmpl w:val="88FA5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6F15"/>
    <w:multiLevelType w:val="hybridMultilevel"/>
    <w:tmpl w:val="A8A65B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5C08C1"/>
    <w:multiLevelType w:val="hybridMultilevel"/>
    <w:tmpl w:val="59FCB2D0"/>
    <w:lvl w:ilvl="0" w:tplc="45181F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262B33"/>
    <w:multiLevelType w:val="hybridMultilevel"/>
    <w:tmpl w:val="04DE1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6C31CA"/>
    <w:multiLevelType w:val="hybridMultilevel"/>
    <w:tmpl w:val="ABB2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43237"/>
    <w:multiLevelType w:val="hybridMultilevel"/>
    <w:tmpl w:val="DF4E609E"/>
    <w:lvl w:ilvl="0" w:tplc="2856CA7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13C5799"/>
    <w:multiLevelType w:val="hybridMultilevel"/>
    <w:tmpl w:val="743A41EC"/>
    <w:lvl w:ilvl="0" w:tplc="7C94B7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8C6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49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84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8D7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01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C6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6B8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4A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72D17"/>
    <w:multiLevelType w:val="hybridMultilevel"/>
    <w:tmpl w:val="31ACD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4959AF"/>
    <w:multiLevelType w:val="hybridMultilevel"/>
    <w:tmpl w:val="22BCF29E"/>
    <w:lvl w:ilvl="0" w:tplc="26A853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55B33"/>
    <w:multiLevelType w:val="hybridMultilevel"/>
    <w:tmpl w:val="09B6F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50FE2"/>
    <w:multiLevelType w:val="hybridMultilevel"/>
    <w:tmpl w:val="0322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544"/>
    <w:multiLevelType w:val="hybridMultilevel"/>
    <w:tmpl w:val="788AB532"/>
    <w:lvl w:ilvl="0" w:tplc="7C94B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367BA"/>
    <w:multiLevelType w:val="hybridMultilevel"/>
    <w:tmpl w:val="CA4A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73F81"/>
    <w:multiLevelType w:val="hybridMultilevel"/>
    <w:tmpl w:val="19E6D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CB2243"/>
    <w:multiLevelType w:val="hybridMultilevel"/>
    <w:tmpl w:val="92FAF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50FE9"/>
    <w:multiLevelType w:val="hybridMultilevel"/>
    <w:tmpl w:val="010A2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14"/>
  </w:num>
  <w:num w:numId="5">
    <w:abstractNumId w:val="26"/>
  </w:num>
  <w:num w:numId="6">
    <w:abstractNumId w:val="20"/>
  </w:num>
  <w:num w:numId="7">
    <w:abstractNumId w:val="12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5"/>
  </w:num>
  <w:num w:numId="13">
    <w:abstractNumId w:val="25"/>
  </w:num>
  <w:num w:numId="14">
    <w:abstractNumId w:val="27"/>
  </w:num>
  <w:num w:numId="15">
    <w:abstractNumId w:val="7"/>
  </w:num>
  <w:num w:numId="16">
    <w:abstractNumId w:val="17"/>
  </w:num>
  <w:num w:numId="17">
    <w:abstractNumId w:val="21"/>
  </w:num>
  <w:num w:numId="18">
    <w:abstractNumId w:val="22"/>
  </w:num>
  <w:num w:numId="19">
    <w:abstractNumId w:val="24"/>
  </w:num>
  <w:num w:numId="20">
    <w:abstractNumId w:val="9"/>
  </w:num>
  <w:num w:numId="21">
    <w:abstractNumId w:val="2"/>
  </w:num>
  <w:num w:numId="22">
    <w:abstractNumId w:val="18"/>
  </w:num>
  <w:num w:numId="23">
    <w:abstractNumId w:val="8"/>
  </w:num>
  <w:num w:numId="24">
    <w:abstractNumId w:val="15"/>
  </w:num>
  <w:num w:numId="25">
    <w:abstractNumId w:val="23"/>
  </w:num>
  <w:num w:numId="26">
    <w:abstractNumId w:val="3"/>
  </w:num>
  <w:num w:numId="27">
    <w:abstractNumId w:val="0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E2"/>
    <w:rsid w:val="0000070C"/>
    <w:rsid w:val="000865A8"/>
    <w:rsid w:val="00096B15"/>
    <w:rsid w:val="000970DF"/>
    <w:rsid w:val="000B5EA8"/>
    <w:rsid w:val="000F18D2"/>
    <w:rsid w:val="00103F78"/>
    <w:rsid w:val="00110AE8"/>
    <w:rsid w:val="001302D1"/>
    <w:rsid w:val="001B46C3"/>
    <w:rsid w:val="001E0F0E"/>
    <w:rsid w:val="001E65A5"/>
    <w:rsid w:val="001E7966"/>
    <w:rsid w:val="00202CDF"/>
    <w:rsid w:val="00207CD8"/>
    <w:rsid w:val="00245A95"/>
    <w:rsid w:val="00263345"/>
    <w:rsid w:val="00283FF3"/>
    <w:rsid w:val="002A6585"/>
    <w:rsid w:val="002A6F8D"/>
    <w:rsid w:val="002B13B7"/>
    <w:rsid w:val="002C29A5"/>
    <w:rsid w:val="002D4D78"/>
    <w:rsid w:val="00305A48"/>
    <w:rsid w:val="00342F48"/>
    <w:rsid w:val="00357AE9"/>
    <w:rsid w:val="003649DF"/>
    <w:rsid w:val="003721F2"/>
    <w:rsid w:val="00374BDF"/>
    <w:rsid w:val="00381B49"/>
    <w:rsid w:val="003A0116"/>
    <w:rsid w:val="003B0494"/>
    <w:rsid w:val="003B0D01"/>
    <w:rsid w:val="003B7099"/>
    <w:rsid w:val="003D4E81"/>
    <w:rsid w:val="003F602C"/>
    <w:rsid w:val="004023C7"/>
    <w:rsid w:val="0040351C"/>
    <w:rsid w:val="00407996"/>
    <w:rsid w:val="0042547F"/>
    <w:rsid w:val="00446055"/>
    <w:rsid w:val="004549C7"/>
    <w:rsid w:val="004562CC"/>
    <w:rsid w:val="00466586"/>
    <w:rsid w:val="0048572E"/>
    <w:rsid w:val="004B2406"/>
    <w:rsid w:val="004B3C4B"/>
    <w:rsid w:val="004C774E"/>
    <w:rsid w:val="004E41D9"/>
    <w:rsid w:val="00500541"/>
    <w:rsid w:val="005412CB"/>
    <w:rsid w:val="005504E0"/>
    <w:rsid w:val="00573BA6"/>
    <w:rsid w:val="005B5B33"/>
    <w:rsid w:val="005F4174"/>
    <w:rsid w:val="006074CF"/>
    <w:rsid w:val="00625697"/>
    <w:rsid w:val="006C6827"/>
    <w:rsid w:val="006D0E84"/>
    <w:rsid w:val="006D29E5"/>
    <w:rsid w:val="006D3AF5"/>
    <w:rsid w:val="006E2FBF"/>
    <w:rsid w:val="006F1D12"/>
    <w:rsid w:val="00716935"/>
    <w:rsid w:val="007233A6"/>
    <w:rsid w:val="00743601"/>
    <w:rsid w:val="00764983"/>
    <w:rsid w:val="0077384E"/>
    <w:rsid w:val="00776B47"/>
    <w:rsid w:val="007813C5"/>
    <w:rsid w:val="00786264"/>
    <w:rsid w:val="00793421"/>
    <w:rsid w:val="00794340"/>
    <w:rsid w:val="007A531D"/>
    <w:rsid w:val="007A79BB"/>
    <w:rsid w:val="007E487D"/>
    <w:rsid w:val="007F5C72"/>
    <w:rsid w:val="00815101"/>
    <w:rsid w:val="00854367"/>
    <w:rsid w:val="008644D7"/>
    <w:rsid w:val="00885438"/>
    <w:rsid w:val="0088788C"/>
    <w:rsid w:val="008A2049"/>
    <w:rsid w:val="008B6A2E"/>
    <w:rsid w:val="008C515C"/>
    <w:rsid w:val="008C7298"/>
    <w:rsid w:val="008D0B57"/>
    <w:rsid w:val="008E414A"/>
    <w:rsid w:val="008F7D00"/>
    <w:rsid w:val="009007AF"/>
    <w:rsid w:val="009015F2"/>
    <w:rsid w:val="00923A47"/>
    <w:rsid w:val="00931718"/>
    <w:rsid w:val="0094082D"/>
    <w:rsid w:val="00977B4E"/>
    <w:rsid w:val="00980CE2"/>
    <w:rsid w:val="00994A81"/>
    <w:rsid w:val="00997CD7"/>
    <w:rsid w:val="009C5707"/>
    <w:rsid w:val="009C7D6F"/>
    <w:rsid w:val="00A20EDA"/>
    <w:rsid w:val="00A22ABF"/>
    <w:rsid w:val="00A22F23"/>
    <w:rsid w:val="00A30CA4"/>
    <w:rsid w:val="00A32CC3"/>
    <w:rsid w:val="00A355A9"/>
    <w:rsid w:val="00A40A47"/>
    <w:rsid w:val="00A461F8"/>
    <w:rsid w:val="00A50839"/>
    <w:rsid w:val="00A521A6"/>
    <w:rsid w:val="00A561E0"/>
    <w:rsid w:val="00A65F5D"/>
    <w:rsid w:val="00A673CB"/>
    <w:rsid w:val="00A71665"/>
    <w:rsid w:val="00A73E8A"/>
    <w:rsid w:val="00A76EDE"/>
    <w:rsid w:val="00A81E92"/>
    <w:rsid w:val="00A84E69"/>
    <w:rsid w:val="00A956B7"/>
    <w:rsid w:val="00AC088F"/>
    <w:rsid w:val="00AD3A1C"/>
    <w:rsid w:val="00B24F29"/>
    <w:rsid w:val="00B30900"/>
    <w:rsid w:val="00B51D26"/>
    <w:rsid w:val="00BA7473"/>
    <w:rsid w:val="00BC27AC"/>
    <w:rsid w:val="00BE06E3"/>
    <w:rsid w:val="00BE34AF"/>
    <w:rsid w:val="00BF409F"/>
    <w:rsid w:val="00C03237"/>
    <w:rsid w:val="00C42E12"/>
    <w:rsid w:val="00C5535A"/>
    <w:rsid w:val="00C83AC5"/>
    <w:rsid w:val="00C92D20"/>
    <w:rsid w:val="00CA3A9A"/>
    <w:rsid w:val="00CA7490"/>
    <w:rsid w:val="00CD6432"/>
    <w:rsid w:val="00CD6DA6"/>
    <w:rsid w:val="00CE5615"/>
    <w:rsid w:val="00D177B7"/>
    <w:rsid w:val="00D26133"/>
    <w:rsid w:val="00D46613"/>
    <w:rsid w:val="00D47EE8"/>
    <w:rsid w:val="00DB093A"/>
    <w:rsid w:val="00DB1D5F"/>
    <w:rsid w:val="00DD6148"/>
    <w:rsid w:val="00DE0C72"/>
    <w:rsid w:val="00DE3522"/>
    <w:rsid w:val="00E610F2"/>
    <w:rsid w:val="00E678FD"/>
    <w:rsid w:val="00E70E97"/>
    <w:rsid w:val="00E7521C"/>
    <w:rsid w:val="00E90940"/>
    <w:rsid w:val="00EA68E6"/>
    <w:rsid w:val="00EB6533"/>
    <w:rsid w:val="00EC19CF"/>
    <w:rsid w:val="00EE6C29"/>
    <w:rsid w:val="00EF301D"/>
    <w:rsid w:val="00F04992"/>
    <w:rsid w:val="00F16ACF"/>
    <w:rsid w:val="00F35A3B"/>
    <w:rsid w:val="00F6316B"/>
    <w:rsid w:val="00F911C3"/>
    <w:rsid w:val="00FA5FE6"/>
    <w:rsid w:val="00FB2EEF"/>
    <w:rsid w:val="00FC1250"/>
    <w:rsid w:val="00FC52BC"/>
    <w:rsid w:val="00FD3EAE"/>
    <w:rsid w:val="00FD723E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60CA3EAB-CDCE-4FD7-A9E6-73D42CC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0E8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E2"/>
  </w:style>
  <w:style w:type="paragraph" w:styleId="Footer">
    <w:name w:val="footer"/>
    <w:basedOn w:val="Normal"/>
    <w:link w:val="FooterChar"/>
    <w:uiPriority w:val="99"/>
    <w:unhideWhenUsed/>
    <w:rsid w:val="00980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E2"/>
  </w:style>
  <w:style w:type="paragraph" w:styleId="BalloonText">
    <w:name w:val="Balloon Text"/>
    <w:basedOn w:val="Normal"/>
    <w:link w:val="BalloonTextChar"/>
    <w:uiPriority w:val="99"/>
    <w:semiHidden/>
    <w:unhideWhenUsed/>
    <w:rsid w:val="009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0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A47"/>
    <w:pPr>
      <w:ind w:left="720"/>
      <w:contextualSpacing/>
    </w:pPr>
  </w:style>
  <w:style w:type="table" w:styleId="MediumShading2-Accent4">
    <w:name w:val="Medium Shading 2 Accent 4"/>
    <w:basedOn w:val="TableNormal"/>
    <w:uiPriority w:val="64"/>
    <w:rsid w:val="00E70E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E70E97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0499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rsid w:val="006D0E8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5B5B33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521A6"/>
    <w:rPr>
      <w:color w:val="2B579A"/>
      <w:shd w:val="clear" w:color="auto" w:fill="E6E6E6"/>
    </w:rPr>
  </w:style>
  <w:style w:type="table" w:styleId="GridTable1Light-Accent5">
    <w:name w:val="Grid Table 1 Light Accent 5"/>
    <w:basedOn w:val="TableNormal"/>
    <w:uiPriority w:val="46"/>
    <w:rsid w:val="001B46C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1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7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8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6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c1522a0d-8b67-48f3-9f04-651e495f9c50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63E3E1-F7B5-4015-943E-FC19A4FABAA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1660EE8-3481-46C0-BC65-7BC6D4F6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SSCB Learning and Improvement Framework</vt:lpstr>
    </vt:vector>
  </TitlesOfParts>
  <Company>Sandwell Safeguarding Children Board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SSCB Learning and Improvement Framework</dc:title>
  <dc:creator>raj_bector</dc:creator>
  <cp:keywords>[]</cp:keywords>
  <cp:lastModifiedBy>Debbie Service</cp:lastModifiedBy>
  <cp:revision>2</cp:revision>
  <cp:lastPrinted>2016-05-31T09:24:00Z</cp:lastPrinted>
  <dcterms:created xsi:type="dcterms:W3CDTF">2020-07-22T09:19:00Z</dcterms:created>
  <dcterms:modified xsi:type="dcterms:W3CDTF">2020-07-22T09:19:00Z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512cceea-ce3e-4f5c-8ef4-67f23496ad66</vt:lpwstr>
  </property>
  <property fmtid="{D5CDD505-2E9C-101B-9397-08002B2CF9AE}" pid="3" name="bjSaver">
    <vt:lpwstr>Unh5q+3mEEIpmdsA1JNfvh97s8Ts+q2/</vt:lpwstr>
  </property>
  <property fmtid="{D5CDD505-2E9C-101B-9397-08002B2CF9AE}" pid="4" name="bjDocumentSecurityLabel">
    <vt:lpwstr>NO PROTECTIVE MARKING</vt:lpwstr>
  </property>
  <property fmtid="{D5CDD505-2E9C-101B-9397-08002B2CF9AE}" pid="5" name="docprop-sandwellprotectivemarking">
    <vt:lpwstr>[]</vt:lpwstr>
  </property>
</Properties>
</file>