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4DD9" w14:textId="4B14A9BB" w:rsidR="003A751E" w:rsidRPr="00C61313" w:rsidRDefault="00A24C37" w:rsidP="00A43EB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>A guide to PAMS</w:t>
      </w:r>
    </w:p>
    <w:p w14:paraId="21089B55" w14:textId="77777777" w:rsidR="008935AE" w:rsidRPr="00C61313" w:rsidRDefault="008935AE" w:rsidP="00A24C3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C187970" w14:textId="74635033" w:rsidR="00A24C37" w:rsidRPr="00C61313" w:rsidRDefault="00A24C37" w:rsidP="00A24C3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>What is a PAMS?</w:t>
      </w:r>
    </w:p>
    <w:p w14:paraId="23DCF0E4" w14:textId="6E1210D9" w:rsidR="00A24C37" w:rsidRPr="00C61313" w:rsidRDefault="00A24C37" w:rsidP="00A24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D539C" w14:textId="1193B4EB" w:rsidR="00A24C37" w:rsidRPr="00C61313" w:rsidRDefault="00A24C37" w:rsidP="00A24C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313">
        <w:rPr>
          <w:rFonts w:ascii="Arial" w:hAnsi="Arial" w:cs="Arial"/>
          <w:sz w:val="24"/>
          <w:szCs w:val="24"/>
        </w:rPr>
        <w:t>A PAMS assessment is a specialist parenting assessment completed where there are concerns regarding a parent with a Learning Disability or capacity issues.</w:t>
      </w:r>
      <w:r w:rsidR="00614CDF" w:rsidRPr="00C61313">
        <w:rPr>
          <w:rFonts w:ascii="Arial" w:hAnsi="Arial" w:cs="Arial"/>
          <w:sz w:val="24"/>
          <w:szCs w:val="24"/>
        </w:rPr>
        <w:t xml:space="preserve"> It may also be appropriate where there are specific mental health concerns. </w:t>
      </w:r>
      <w:r w:rsidRPr="00C61313">
        <w:rPr>
          <w:rFonts w:ascii="Arial" w:hAnsi="Arial" w:cs="Arial"/>
          <w:sz w:val="24"/>
          <w:szCs w:val="24"/>
        </w:rPr>
        <w:t>The case should typically be in the PLO or Court arena.  PAMS involve</w:t>
      </w:r>
      <w:r w:rsidR="00A43EB1" w:rsidRPr="00C61313">
        <w:rPr>
          <w:rFonts w:ascii="Arial" w:hAnsi="Arial" w:cs="Arial"/>
          <w:sz w:val="24"/>
          <w:szCs w:val="24"/>
        </w:rPr>
        <w:t>s</w:t>
      </w:r>
      <w:r w:rsidRPr="00C61313">
        <w:rPr>
          <w:rFonts w:ascii="Arial" w:hAnsi="Arial" w:cs="Arial"/>
          <w:sz w:val="24"/>
          <w:szCs w:val="24"/>
        </w:rPr>
        <w:t xml:space="preserve"> a </w:t>
      </w:r>
      <w:r w:rsidR="00614CDF" w:rsidRPr="00C61313">
        <w:rPr>
          <w:rFonts w:ascii="Arial" w:hAnsi="Arial" w:cs="Arial"/>
          <w:sz w:val="24"/>
          <w:szCs w:val="24"/>
        </w:rPr>
        <w:t>12-week</w:t>
      </w:r>
      <w:r w:rsidRPr="00C61313">
        <w:rPr>
          <w:rFonts w:ascii="Arial" w:hAnsi="Arial" w:cs="Arial"/>
          <w:sz w:val="24"/>
          <w:szCs w:val="24"/>
        </w:rPr>
        <w:t xml:space="preserve"> assessment process using the specialist database and software.  </w:t>
      </w:r>
      <w:r w:rsidR="00614CDF" w:rsidRPr="00C61313">
        <w:rPr>
          <w:rFonts w:ascii="Arial" w:hAnsi="Arial" w:cs="Arial"/>
          <w:sz w:val="24"/>
          <w:szCs w:val="24"/>
        </w:rPr>
        <w:t xml:space="preserve">It can be done with one parent, or a couple together. </w:t>
      </w:r>
      <w:r w:rsidRPr="00C61313">
        <w:rPr>
          <w:rFonts w:ascii="Arial" w:hAnsi="Arial" w:cs="Arial"/>
          <w:sz w:val="24"/>
          <w:szCs w:val="24"/>
        </w:rPr>
        <w:t>Teaching recommendations are then made.</w:t>
      </w:r>
    </w:p>
    <w:p w14:paraId="4185E767" w14:textId="490B33E2" w:rsidR="00A24C37" w:rsidRPr="00C61313" w:rsidRDefault="00A24C37" w:rsidP="00A24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D23A4B" w14:textId="647812B9" w:rsidR="00A24C37" w:rsidRPr="00C61313" w:rsidRDefault="00A43EB1" w:rsidP="00A24C3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>Who does the PAMS?</w:t>
      </w:r>
    </w:p>
    <w:p w14:paraId="47DA018B" w14:textId="117A15D4" w:rsidR="00A24C37" w:rsidRPr="00C61313" w:rsidRDefault="00A24C37" w:rsidP="00A24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421D0" w14:textId="5129E59F" w:rsidR="00A24C37" w:rsidRPr="00C61313" w:rsidRDefault="00A24C37" w:rsidP="00A24C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313">
        <w:rPr>
          <w:rFonts w:ascii="Arial" w:hAnsi="Arial" w:cs="Arial"/>
          <w:sz w:val="24"/>
          <w:szCs w:val="24"/>
        </w:rPr>
        <w:t>Tracy Curry is now in post a</w:t>
      </w:r>
      <w:r w:rsidR="00A43EB1" w:rsidRPr="00C61313">
        <w:rPr>
          <w:rFonts w:ascii="Arial" w:hAnsi="Arial" w:cs="Arial"/>
          <w:sz w:val="24"/>
          <w:szCs w:val="24"/>
        </w:rPr>
        <w:t>s</w:t>
      </w:r>
      <w:r w:rsidRPr="00C61313">
        <w:rPr>
          <w:rFonts w:ascii="Arial" w:hAnsi="Arial" w:cs="Arial"/>
          <w:sz w:val="24"/>
          <w:szCs w:val="24"/>
        </w:rPr>
        <w:t xml:space="preserve"> the PAMS Assessor for the organisation.  Alongside Tracy, </w:t>
      </w:r>
      <w:r w:rsidR="00614CDF" w:rsidRPr="00C61313">
        <w:rPr>
          <w:rFonts w:ascii="Arial" w:hAnsi="Arial" w:cs="Arial"/>
          <w:sz w:val="24"/>
          <w:szCs w:val="24"/>
        </w:rPr>
        <w:t>there are</w:t>
      </w:r>
      <w:r w:rsidRPr="00C61313">
        <w:rPr>
          <w:rFonts w:ascii="Arial" w:hAnsi="Arial" w:cs="Arial"/>
          <w:sz w:val="24"/>
          <w:szCs w:val="24"/>
        </w:rPr>
        <w:t xml:space="preserve"> 9 </w:t>
      </w:r>
      <w:r w:rsidR="00614CDF" w:rsidRPr="00C61313">
        <w:rPr>
          <w:rFonts w:ascii="Arial" w:hAnsi="Arial" w:cs="Arial"/>
          <w:sz w:val="24"/>
          <w:szCs w:val="24"/>
        </w:rPr>
        <w:t xml:space="preserve">other </w:t>
      </w:r>
      <w:r w:rsidRPr="00C61313">
        <w:rPr>
          <w:rFonts w:ascii="Arial" w:hAnsi="Arial" w:cs="Arial"/>
          <w:sz w:val="24"/>
          <w:szCs w:val="24"/>
        </w:rPr>
        <w:t xml:space="preserve">practitioners qualified to complete PAMS.  </w:t>
      </w:r>
      <w:r w:rsidR="00614CDF" w:rsidRPr="00C61313">
        <w:rPr>
          <w:rFonts w:ascii="Arial" w:hAnsi="Arial" w:cs="Arial"/>
          <w:sz w:val="24"/>
          <w:szCs w:val="24"/>
        </w:rPr>
        <w:t>We</w:t>
      </w:r>
      <w:r w:rsidRPr="00C61313">
        <w:rPr>
          <w:rFonts w:ascii="Arial" w:hAnsi="Arial" w:cs="Arial"/>
          <w:sz w:val="24"/>
          <w:szCs w:val="24"/>
        </w:rPr>
        <w:t xml:space="preserve"> meet as a group on a monthly basis as part of the PAMS Forum.  PAMS is overseen by Lauren Durkan and Natalie Bell, Team Managers</w:t>
      </w:r>
      <w:r w:rsidR="00614CDF" w:rsidRPr="00C61313">
        <w:rPr>
          <w:rFonts w:ascii="Arial" w:hAnsi="Arial" w:cs="Arial"/>
          <w:sz w:val="24"/>
          <w:szCs w:val="24"/>
        </w:rPr>
        <w:t xml:space="preserve"> in Long Term</w:t>
      </w:r>
      <w:r w:rsidR="00A43EB1" w:rsidRPr="00C61313">
        <w:rPr>
          <w:rFonts w:ascii="Arial" w:hAnsi="Arial" w:cs="Arial"/>
          <w:sz w:val="24"/>
          <w:szCs w:val="24"/>
        </w:rPr>
        <w:t>.</w:t>
      </w:r>
      <w:r w:rsidRPr="00C61313">
        <w:rPr>
          <w:rFonts w:ascii="Arial" w:hAnsi="Arial" w:cs="Arial"/>
          <w:sz w:val="24"/>
          <w:szCs w:val="24"/>
        </w:rPr>
        <w:t xml:space="preserve"> We also work </w:t>
      </w:r>
      <w:r w:rsidR="00A43EB1" w:rsidRPr="00C61313">
        <w:rPr>
          <w:rFonts w:ascii="Arial" w:hAnsi="Arial" w:cs="Arial"/>
          <w:sz w:val="24"/>
          <w:szCs w:val="24"/>
        </w:rPr>
        <w:t>alongside</w:t>
      </w:r>
      <w:r w:rsidRPr="00C61313">
        <w:rPr>
          <w:rFonts w:ascii="Arial" w:hAnsi="Arial" w:cs="Arial"/>
          <w:sz w:val="24"/>
          <w:szCs w:val="24"/>
        </w:rPr>
        <w:t xml:space="preserve"> Janice Turnbull and the Family Support Workers</w:t>
      </w:r>
      <w:r w:rsidR="00A43EB1" w:rsidRPr="00C61313">
        <w:rPr>
          <w:rFonts w:ascii="Arial" w:hAnsi="Arial" w:cs="Arial"/>
          <w:sz w:val="24"/>
          <w:szCs w:val="24"/>
        </w:rPr>
        <w:t xml:space="preserve"> to provide intervention</w:t>
      </w:r>
      <w:r w:rsidR="00614CDF" w:rsidRPr="00C61313">
        <w:rPr>
          <w:rFonts w:ascii="Arial" w:hAnsi="Arial" w:cs="Arial"/>
          <w:sz w:val="24"/>
          <w:szCs w:val="24"/>
        </w:rPr>
        <w:t xml:space="preserve"> where possible,</w:t>
      </w:r>
      <w:r w:rsidR="00A43EB1" w:rsidRPr="00C61313">
        <w:rPr>
          <w:rFonts w:ascii="Arial" w:hAnsi="Arial" w:cs="Arial"/>
          <w:sz w:val="24"/>
          <w:szCs w:val="24"/>
        </w:rPr>
        <w:t xml:space="preserve"> based on the teaching recommendations made</w:t>
      </w:r>
      <w:r w:rsidRPr="00C61313">
        <w:rPr>
          <w:rFonts w:ascii="Arial" w:hAnsi="Arial" w:cs="Arial"/>
          <w:sz w:val="24"/>
          <w:szCs w:val="24"/>
        </w:rPr>
        <w:t>.</w:t>
      </w:r>
      <w:r w:rsidR="007E37E3" w:rsidRPr="00C61313">
        <w:rPr>
          <w:rFonts w:ascii="Arial" w:hAnsi="Arial" w:cs="Arial"/>
          <w:sz w:val="24"/>
          <w:szCs w:val="24"/>
        </w:rPr>
        <w:t xml:space="preserve"> </w:t>
      </w:r>
    </w:p>
    <w:p w14:paraId="7FEE005B" w14:textId="6890AF66" w:rsidR="00A24C37" w:rsidRPr="00C61313" w:rsidRDefault="00A24C37" w:rsidP="00A24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5BE24" w14:textId="541DB886" w:rsidR="00A24C37" w:rsidRPr="00C61313" w:rsidRDefault="00A24C37" w:rsidP="00A24C3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 xml:space="preserve">What should </w:t>
      </w:r>
      <w:r w:rsidR="00614CDF" w:rsidRPr="00C61313">
        <w:rPr>
          <w:rFonts w:ascii="Arial" w:hAnsi="Arial" w:cs="Arial"/>
          <w:b/>
          <w:bCs/>
          <w:color w:val="FF0000"/>
          <w:sz w:val="24"/>
          <w:szCs w:val="24"/>
        </w:rPr>
        <w:t>you</w:t>
      </w: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 xml:space="preserve"> do if </w:t>
      </w:r>
      <w:r w:rsidR="00614CDF" w:rsidRPr="00C61313">
        <w:rPr>
          <w:rFonts w:ascii="Arial" w:hAnsi="Arial" w:cs="Arial"/>
          <w:b/>
          <w:bCs/>
          <w:color w:val="FF0000"/>
          <w:sz w:val="24"/>
          <w:szCs w:val="24"/>
        </w:rPr>
        <w:t>you</w:t>
      </w: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 xml:space="preserve"> need a PAMS?</w:t>
      </w:r>
    </w:p>
    <w:p w14:paraId="1912C056" w14:textId="7F696480" w:rsidR="00A24C37" w:rsidRPr="00C61313" w:rsidRDefault="00A24C37" w:rsidP="00A24C3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3705E1" w14:textId="66DB0C4A" w:rsidR="00A24C37" w:rsidRPr="00C61313" w:rsidRDefault="00A24C37" w:rsidP="00A24C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1313">
        <w:rPr>
          <w:rFonts w:ascii="Arial" w:hAnsi="Arial" w:cs="Arial"/>
          <w:color w:val="000000" w:themeColor="text1"/>
          <w:sz w:val="24"/>
          <w:szCs w:val="24"/>
        </w:rPr>
        <w:t>You should discuss the need for a PAMS assessment with your Team Manager in the first instance, to seek agreement.  The standard referral form should then be completed and sent to Lauren Durkan and Natalie Bell.  A copy should be uploaded onto the child’s file.</w:t>
      </w:r>
    </w:p>
    <w:p w14:paraId="711CA2A2" w14:textId="77777777" w:rsidR="00A24C37" w:rsidRPr="00C61313" w:rsidRDefault="00A24C37" w:rsidP="00A24C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3BFC6B" w14:textId="53F1873A" w:rsidR="00A24C37" w:rsidRPr="00C61313" w:rsidRDefault="00A24C37" w:rsidP="00A24C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1313">
        <w:rPr>
          <w:rFonts w:ascii="Arial" w:hAnsi="Arial" w:cs="Arial"/>
          <w:color w:val="000000" w:themeColor="text1"/>
          <w:sz w:val="24"/>
          <w:szCs w:val="24"/>
        </w:rPr>
        <w:t>When an Assessor is allocated, they will meet the Social Worker, to complete the ‘initial screening tool’</w:t>
      </w:r>
      <w:r w:rsidR="00A43EB1" w:rsidRPr="00C61313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401C9A" w:rsidRPr="00C61313">
        <w:rPr>
          <w:rFonts w:ascii="Arial" w:hAnsi="Arial" w:cs="Arial"/>
          <w:color w:val="000000" w:themeColor="text1"/>
          <w:sz w:val="24"/>
          <w:szCs w:val="24"/>
        </w:rPr>
        <w:t xml:space="preserve">then </w:t>
      </w:r>
      <w:r w:rsidR="00A43EB1" w:rsidRPr="00C61313">
        <w:rPr>
          <w:rFonts w:ascii="Arial" w:hAnsi="Arial" w:cs="Arial"/>
          <w:color w:val="000000" w:themeColor="text1"/>
          <w:sz w:val="24"/>
          <w:szCs w:val="24"/>
        </w:rPr>
        <w:t>progress with the assessment following this</w:t>
      </w:r>
      <w:r w:rsidRPr="00C6131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186EF4" w14:textId="5A6544AE" w:rsidR="00614CDF" w:rsidRPr="00C61313" w:rsidRDefault="00614CDF" w:rsidP="00A24C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08B055" w14:textId="0C78AECB" w:rsidR="00614CDF" w:rsidRPr="00C61313" w:rsidRDefault="00614CDF" w:rsidP="00A24C3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61313">
        <w:rPr>
          <w:rFonts w:ascii="Arial" w:hAnsi="Arial" w:cs="Arial"/>
          <w:color w:val="000000" w:themeColor="text1"/>
          <w:sz w:val="24"/>
          <w:szCs w:val="24"/>
        </w:rPr>
        <w:t>If a PAMS assessment is directed by the Courts, the referral form should be completed urgently to avoid drift and delay, as the 12-week assessment timescale should not be reduced</w:t>
      </w:r>
      <w:r w:rsidR="00401C9A" w:rsidRPr="00C61313">
        <w:rPr>
          <w:rFonts w:ascii="Arial" w:hAnsi="Arial" w:cs="Arial"/>
          <w:color w:val="000000" w:themeColor="text1"/>
          <w:sz w:val="24"/>
          <w:szCs w:val="24"/>
        </w:rPr>
        <w:t xml:space="preserve"> and is required. </w:t>
      </w:r>
    </w:p>
    <w:p w14:paraId="45079678" w14:textId="2DBE7A82" w:rsidR="00A24C37" w:rsidRPr="00C61313" w:rsidRDefault="00A24C37" w:rsidP="00A24C3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F6E905C" w14:textId="5AD33F3C" w:rsidR="00A24C37" w:rsidRPr="00C61313" w:rsidRDefault="00A24C37" w:rsidP="00A24C3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>What do PAMS Workers do/don’t do: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</w:tblGrid>
      <w:tr w:rsidR="00A24C37" w:rsidRPr="00C61313" w14:paraId="5C4362B1" w14:textId="77777777" w:rsidTr="006F1CF2">
        <w:tc>
          <w:tcPr>
            <w:tcW w:w="4957" w:type="dxa"/>
            <w:shd w:val="clear" w:color="auto" w:fill="4472C4" w:themeFill="accent1"/>
          </w:tcPr>
          <w:p w14:paraId="7B39C827" w14:textId="72DB1C22" w:rsidR="00A24C37" w:rsidRPr="00C61313" w:rsidRDefault="00A24C37" w:rsidP="00A24C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C613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They do:</w:t>
            </w:r>
          </w:p>
        </w:tc>
        <w:tc>
          <w:tcPr>
            <w:tcW w:w="5103" w:type="dxa"/>
            <w:shd w:val="clear" w:color="auto" w:fill="4472C4" w:themeFill="accent1"/>
          </w:tcPr>
          <w:p w14:paraId="72C07487" w14:textId="18C6894B" w:rsidR="00A24C37" w:rsidRPr="00C61313" w:rsidRDefault="00A24C37" w:rsidP="00A24C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They don’t:</w:t>
            </w:r>
          </w:p>
        </w:tc>
      </w:tr>
      <w:tr w:rsidR="00A24C37" w:rsidRPr="00C61313" w14:paraId="40D1230C" w14:textId="77777777" w:rsidTr="006F1CF2">
        <w:tc>
          <w:tcPr>
            <w:tcW w:w="4957" w:type="dxa"/>
          </w:tcPr>
          <w:p w14:paraId="202DFFB0" w14:textId="16CEA2EC" w:rsidR="00A24C37" w:rsidRPr="00C61313" w:rsidRDefault="00A24C37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Discuss the case with the Social Worker</w:t>
            </w:r>
            <w:r w:rsidR="00401C9A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keep them updated throughout the assessment process</w:t>
            </w: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FB6BF2F" w14:textId="267D6C63" w:rsidR="00A24C37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Hold case responsibility</w:t>
            </w:r>
            <w:r w:rsidR="00401C9A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/management</w:t>
            </w:r>
            <w:r w:rsidR="00AC4F41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include completing statutory visits. </w:t>
            </w:r>
          </w:p>
        </w:tc>
      </w:tr>
      <w:tr w:rsidR="00A24C37" w:rsidRPr="00C61313" w14:paraId="01A64F6A" w14:textId="77777777" w:rsidTr="006F1CF2">
        <w:tc>
          <w:tcPr>
            <w:tcW w:w="4957" w:type="dxa"/>
          </w:tcPr>
          <w:p w14:paraId="323A6D4F" w14:textId="3B86C73C" w:rsidR="00A24C37" w:rsidRPr="00C61313" w:rsidRDefault="00A24C37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Arrange assessment sessions with the </w:t>
            </w:r>
            <w:r w:rsidR="00401C9A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</w:t>
            </w: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directly.</w:t>
            </w:r>
          </w:p>
        </w:tc>
        <w:tc>
          <w:tcPr>
            <w:tcW w:w="5103" w:type="dxa"/>
          </w:tcPr>
          <w:p w14:paraId="06804366" w14:textId="7707C16D" w:rsidR="00A24C37" w:rsidRPr="00C61313" w:rsidRDefault="00AC4F41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Chair, p</w:t>
            </w:r>
            <w:r w:rsidR="008935AE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articipate in</w:t>
            </w: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935AE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43EB1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 attend </w:t>
            </w:r>
            <w:r w:rsidR="008935AE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meetings</w:t>
            </w:r>
            <w:r w:rsidR="00A43EB1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, unless for observation purposes</w:t>
            </w:r>
            <w:r w:rsidR="008935AE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24C37" w:rsidRPr="00C61313" w14:paraId="5361ED91" w14:textId="77777777" w:rsidTr="006F1CF2">
        <w:trPr>
          <w:trHeight w:val="70"/>
        </w:trPr>
        <w:tc>
          <w:tcPr>
            <w:tcW w:w="4957" w:type="dxa"/>
          </w:tcPr>
          <w:p w14:paraId="64414130" w14:textId="538D97E4" w:rsidR="00A24C37" w:rsidRPr="00C61313" w:rsidRDefault="00A24C37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Consider any other expert</w:t>
            </w:r>
            <w:r w:rsidR="006F1CF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</w:t>
            </w: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eports</w:t>
            </w:r>
            <w:r w:rsidR="008935AE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/professional opinions.</w:t>
            </w:r>
          </w:p>
        </w:tc>
        <w:tc>
          <w:tcPr>
            <w:tcW w:w="5103" w:type="dxa"/>
          </w:tcPr>
          <w:p w14:paraId="366ECAAC" w14:textId="6E858A38" w:rsidR="00A24C37" w:rsidRPr="00C61313" w:rsidRDefault="00A24C37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4C37" w:rsidRPr="00C61313" w14:paraId="45BE570E" w14:textId="77777777" w:rsidTr="006F1CF2">
        <w:tc>
          <w:tcPr>
            <w:tcW w:w="4957" w:type="dxa"/>
          </w:tcPr>
          <w:p w14:paraId="7788413F" w14:textId="031A6BCC" w:rsidR="00A24C37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Observe family time sessions</w:t>
            </w:r>
            <w:r w:rsidR="00A43EB1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6EE3BFA5" w14:textId="75C3E72B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3C1354" w14:textId="77777777" w:rsidR="00A24C37" w:rsidRPr="00C61313" w:rsidRDefault="00A24C37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35AE" w:rsidRPr="00C61313" w14:paraId="4170F262" w14:textId="77777777" w:rsidTr="006F1CF2">
        <w:tc>
          <w:tcPr>
            <w:tcW w:w="4957" w:type="dxa"/>
          </w:tcPr>
          <w:p w14:paraId="37A4DDB9" w14:textId="77777777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Give evidence in Court, if required.</w:t>
            </w:r>
          </w:p>
          <w:p w14:paraId="507A7FE0" w14:textId="413C0BFE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6889962" w14:textId="77777777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935AE" w:rsidRPr="00C61313" w14:paraId="1C5C72A2" w14:textId="77777777" w:rsidTr="006F1CF2">
        <w:tc>
          <w:tcPr>
            <w:tcW w:w="4957" w:type="dxa"/>
          </w:tcPr>
          <w:p w14:paraId="4A3E1E43" w14:textId="36C42BE7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formal supervision</w:t>
            </w:r>
            <w:r w:rsidR="00A43EB1" w:rsidRPr="00C61313">
              <w:rPr>
                <w:rFonts w:ascii="Arial" w:hAnsi="Arial" w:cs="Arial"/>
                <w:color w:val="000000" w:themeColor="text1"/>
                <w:sz w:val="24"/>
                <w:szCs w:val="24"/>
              </w:rPr>
              <w:t>, which is recorded on the child’s file.</w:t>
            </w:r>
          </w:p>
          <w:p w14:paraId="4D05E494" w14:textId="4ADAE2DD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1EF2FB" w14:textId="77777777" w:rsidR="008935AE" w:rsidRPr="00C61313" w:rsidRDefault="008935AE" w:rsidP="00A24C3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9CF71EE" w14:textId="440100A1" w:rsidR="00A24C37" w:rsidRPr="00C61313" w:rsidRDefault="00A24C37" w:rsidP="0014499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9418AB9" w14:textId="621487CE" w:rsidR="00A24C37" w:rsidRPr="00C61313" w:rsidRDefault="00A24C37" w:rsidP="0014499E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 xml:space="preserve">If </w:t>
      </w:r>
      <w:r w:rsidR="00D65858" w:rsidRPr="00C61313">
        <w:rPr>
          <w:rFonts w:ascii="Arial" w:hAnsi="Arial" w:cs="Arial"/>
          <w:b/>
          <w:bCs/>
          <w:color w:val="FF0000"/>
          <w:sz w:val="24"/>
          <w:szCs w:val="24"/>
        </w:rPr>
        <w:t>you</w:t>
      </w:r>
      <w:r w:rsidRPr="00C61313">
        <w:rPr>
          <w:rFonts w:ascii="Arial" w:hAnsi="Arial" w:cs="Arial"/>
          <w:b/>
          <w:bCs/>
          <w:color w:val="FF0000"/>
          <w:sz w:val="24"/>
          <w:szCs w:val="24"/>
        </w:rPr>
        <w:t xml:space="preserve"> have any queries</w:t>
      </w:r>
      <w:r w:rsidR="0014499E" w:rsidRPr="00C61313">
        <w:rPr>
          <w:rFonts w:ascii="Arial" w:hAnsi="Arial" w:cs="Arial"/>
          <w:b/>
          <w:bCs/>
          <w:color w:val="FF0000"/>
          <w:sz w:val="24"/>
          <w:szCs w:val="24"/>
        </w:rPr>
        <w:t xml:space="preserve"> p</w:t>
      </w:r>
      <w:r w:rsidR="008935AE" w:rsidRPr="00C61313">
        <w:rPr>
          <w:rFonts w:ascii="Arial" w:hAnsi="Arial" w:cs="Arial"/>
          <w:b/>
          <w:bCs/>
          <w:color w:val="FF0000"/>
          <w:sz w:val="24"/>
          <w:szCs w:val="24"/>
        </w:rPr>
        <w:t>lease feel free to contact Lauren Durkan or Natalie Bell to arrange a case consultation.</w:t>
      </w:r>
    </w:p>
    <w:sectPr w:rsidR="00A24C37" w:rsidRPr="00C61313" w:rsidSect="00C6131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88E2" w14:textId="77777777" w:rsidR="00C61313" w:rsidRDefault="00C61313" w:rsidP="00C61313">
      <w:pPr>
        <w:spacing w:after="0" w:line="240" w:lineRule="auto"/>
      </w:pPr>
      <w:r>
        <w:separator/>
      </w:r>
    </w:p>
  </w:endnote>
  <w:endnote w:type="continuationSeparator" w:id="0">
    <w:p w14:paraId="02A0C6D0" w14:textId="77777777" w:rsidR="00C61313" w:rsidRDefault="00C61313" w:rsidP="00C6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B79B" w14:textId="09D16D26" w:rsidR="00C61313" w:rsidRDefault="00C61313">
    <w:pPr>
      <w:pStyle w:val="Footer"/>
    </w:pPr>
  </w:p>
  <w:p w14:paraId="70868A4D" w14:textId="6180049D" w:rsidR="00C61313" w:rsidRDefault="00C61313">
    <w:pPr>
      <w:pStyle w:val="Footer"/>
    </w:pPr>
    <w:r>
      <w:rPr>
        <w:noProof/>
      </w:rPr>
      <w:drawing>
        <wp:inline distT="0" distB="0" distL="0" distR="0" wp14:anchorId="073DE031" wp14:editId="6BCE7384">
          <wp:extent cx="5730875" cy="7073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8D99" w14:textId="77777777" w:rsidR="00C61313" w:rsidRDefault="00C61313" w:rsidP="00C61313">
      <w:pPr>
        <w:spacing w:after="0" w:line="240" w:lineRule="auto"/>
      </w:pPr>
      <w:r>
        <w:separator/>
      </w:r>
    </w:p>
  </w:footnote>
  <w:footnote w:type="continuationSeparator" w:id="0">
    <w:p w14:paraId="4B27BA77" w14:textId="77777777" w:rsidR="00C61313" w:rsidRDefault="00C61313" w:rsidP="00C61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37"/>
    <w:rsid w:val="0014499E"/>
    <w:rsid w:val="00401C9A"/>
    <w:rsid w:val="004A7C4C"/>
    <w:rsid w:val="00614CDF"/>
    <w:rsid w:val="006F1CF2"/>
    <w:rsid w:val="007E37E3"/>
    <w:rsid w:val="008935AE"/>
    <w:rsid w:val="00A222B4"/>
    <w:rsid w:val="00A24C37"/>
    <w:rsid w:val="00A43EB1"/>
    <w:rsid w:val="00AC4F41"/>
    <w:rsid w:val="00C26FF1"/>
    <w:rsid w:val="00C61313"/>
    <w:rsid w:val="00D36530"/>
    <w:rsid w:val="00D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8C4E"/>
  <w15:chartTrackingRefBased/>
  <w15:docId w15:val="{13A7A61C-9FA4-498E-84A6-ECE8B5A0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313"/>
  </w:style>
  <w:style w:type="paragraph" w:styleId="Footer">
    <w:name w:val="footer"/>
    <w:basedOn w:val="Normal"/>
    <w:link w:val="FooterChar"/>
    <w:uiPriority w:val="99"/>
    <w:unhideWhenUsed/>
    <w:rsid w:val="00C6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Leanne</dc:creator>
  <cp:keywords/>
  <dc:description/>
  <cp:lastModifiedBy>Blenkinsop, Catherine</cp:lastModifiedBy>
  <cp:revision>3</cp:revision>
  <dcterms:created xsi:type="dcterms:W3CDTF">2020-09-25T11:47:00Z</dcterms:created>
  <dcterms:modified xsi:type="dcterms:W3CDTF">2020-09-25T11:52:00Z</dcterms:modified>
</cp:coreProperties>
</file>