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FD024D" w14:textId="3D44E934" w:rsidR="00663797" w:rsidRDefault="00663797" w:rsidP="004C03C3">
      <w:pPr>
        <w:shd w:val="clear" w:color="auto" w:fill="FFFFFF"/>
        <w:spacing w:after="120" w:line="360" w:lineRule="auto"/>
        <w:jc w:val="both"/>
        <w:outlineLvl w:val="3"/>
        <w:rPr>
          <w:rFonts w:ascii="Arial" w:eastAsia="Times New Roman" w:hAnsi="Arial" w:cs="Arial"/>
          <w:b/>
          <w:bCs/>
          <w:color w:val="000000"/>
          <w:u w:val="single"/>
          <w:lang w:val="en-GB"/>
        </w:rPr>
      </w:pPr>
      <w:r>
        <w:rPr>
          <w:rFonts w:ascii="Arial" w:eastAsia="Times New Roman" w:hAnsi="Arial" w:cs="Arial"/>
          <w:noProof/>
          <w:color w:val="000000"/>
          <w:shd w:val="clear" w:color="auto" w:fill="FFFFFF"/>
          <w:lang w:val="en-GB" w:eastAsia="en-GB"/>
        </w:rPr>
        <w:drawing>
          <wp:anchor distT="0" distB="0" distL="114300" distR="114300" simplePos="0" relativeHeight="251659264" behindDoc="0" locked="0" layoutInCell="1" allowOverlap="1" wp14:anchorId="1E04C542" wp14:editId="667F8706">
            <wp:simplePos x="0" y="0"/>
            <wp:positionH relativeFrom="margin">
              <wp:align>left</wp:align>
            </wp:positionH>
            <wp:positionV relativeFrom="paragraph">
              <wp:posOffset>339725</wp:posOffset>
            </wp:positionV>
            <wp:extent cx="2987675" cy="1572895"/>
            <wp:effectExtent l="0" t="0" r="317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y Logo JPG.jpg"/>
                    <pic:cNvPicPr/>
                  </pic:nvPicPr>
                  <pic:blipFill>
                    <a:blip r:embed="rId5"/>
                    <a:stretch>
                      <a:fillRect/>
                    </a:stretch>
                  </pic:blipFill>
                  <pic:spPr>
                    <a:xfrm>
                      <a:off x="0" y="0"/>
                      <a:ext cx="2987675" cy="1572895"/>
                    </a:xfrm>
                    <a:prstGeom prst="rect">
                      <a:avLst/>
                    </a:prstGeom>
                  </pic:spPr>
                </pic:pic>
              </a:graphicData>
            </a:graphic>
            <wp14:sizeRelH relativeFrom="page">
              <wp14:pctWidth>0</wp14:pctWidth>
            </wp14:sizeRelH>
            <wp14:sizeRelV relativeFrom="page">
              <wp14:pctHeight>0</wp14:pctHeight>
            </wp14:sizeRelV>
          </wp:anchor>
        </w:drawing>
      </w:r>
    </w:p>
    <w:p w14:paraId="19BEFCD9" w14:textId="7A5A29F8" w:rsidR="00663797" w:rsidRPr="00663797" w:rsidRDefault="006F0098" w:rsidP="00663797">
      <w:pPr>
        <w:spacing w:line="360" w:lineRule="auto"/>
        <w:rPr>
          <w:rFonts w:ascii="Arial" w:eastAsia="Times New Roman" w:hAnsi="Arial" w:cs="Arial"/>
          <w:b/>
          <w:lang w:val="en-GB"/>
        </w:rPr>
      </w:pPr>
      <w:r>
        <w:rPr>
          <w:rFonts w:ascii="Arial" w:eastAsia="Times New Roman" w:hAnsi="Arial" w:cs="Arial"/>
          <w:b/>
          <w:lang w:val="en-GB"/>
        </w:rPr>
        <w:t xml:space="preserve">    </w:t>
      </w:r>
      <w:bookmarkStart w:id="0" w:name="_GoBack"/>
      <w:bookmarkEnd w:id="0"/>
    </w:p>
    <w:p w14:paraId="7064E7DD" w14:textId="5850C55A" w:rsidR="00663797" w:rsidRPr="0027568B" w:rsidRDefault="00663797" w:rsidP="00663797">
      <w:pPr>
        <w:spacing w:line="360" w:lineRule="auto"/>
        <w:rPr>
          <w:rFonts w:ascii="Arial" w:eastAsia="Times New Roman" w:hAnsi="Arial" w:cs="Arial"/>
          <w:b/>
          <w:lang w:val="en-GB"/>
        </w:rPr>
      </w:pPr>
      <w:r>
        <w:rPr>
          <w:rFonts w:ascii="Arial" w:eastAsia="Times New Roman" w:hAnsi="Arial" w:cs="Arial"/>
          <w:b/>
          <w:lang w:val="en-GB"/>
        </w:rPr>
        <w:t xml:space="preserve">    </w:t>
      </w:r>
      <w:r w:rsidRPr="0027568B">
        <w:rPr>
          <w:rFonts w:ascii="Arial" w:eastAsia="Times New Roman" w:hAnsi="Arial" w:cs="Arial"/>
          <w:b/>
          <w:lang w:val="en-GB"/>
        </w:rPr>
        <w:t>2-4 Lower Mounts</w:t>
      </w:r>
    </w:p>
    <w:p w14:paraId="6A1FF182" w14:textId="6191B90E" w:rsidR="00663797" w:rsidRPr="0027568B" w:rsidRDefault="00663797" w:rsidP="00663797">
      <w:pPr>
        <w:spacing w:line="360" w:lineRule="auto"/>
        <w:rPr>
          <w:rFonts w:ascii="Arial" w:eastAsia="Times New Roman" w:hAnsi="Arial" w:cs="Arial"/>
          <w:b/>
          <w:lang w:val="en-GB"/>
        </w:rPr>
      </w:pPr>
      <w:r>
        <w:rPr>
          <w:rFonts w:ascii="Arial" w:eastAsia="Times New Roman" w:hAnsi="Arial" w:cs="Arial"/>
          <w:b/>
          <w:lang w:val="en-GB"/>
        </w:rPr>
        <w:t xml:space="preserve">    </w:t>
      </w:r>
      <w:r w:rsidRPr="0027568B">
        <w:rPr>
          <w:rFonts w:ascii="Arial" w:eastAsia="Times New Roman" w:hAnsi="Arial" w:cs="Arial"/>
          <w:b/>
          <w:lang w:val="en-GB"/>
        </w:rPr>
        <w:t>Northampton</w:t>
      </w:r>
    </w:p>
    <w:p w14:paraId="6680FB8A" w14:textId="226B68CC" w:rsidR="00663797" w:rsidRDefault="00663797" w:rsidP="00663797">
      <w:pPr>
        <w:spacing w:line="360" w:lineRule="auto"/>
        <w:rPr>
          <w:rFonts w:ascii="Arial" w:eastAsia="Times New Roman" w:hAnsi="Arial" w:cs="Arial"/>
          <w:b/>
          <w:lang w:val="en-GB"/>
        </w:rPr>
      </w:pPr>
      <w:r>
        <w:rPr>
          <w:rFonts w:ascii="Arial" w:eastAsia="Times New Roman" w:hAnsi="Arial" w:cs="Arial"/>
          <w:b/>
          <w:lang w:val="en-GB"/>
        </w:rPr>
        <w:t xml:space="preserve">    </w:t>
      </w:r>
      <w:r w:rsidRPr="0027568B">
        <w:rPr>
          <w:rFonts w:ascii="Arial" w:eastAsia="Times New Roman" w:hAnsi="Arial" w:cs="Arial"/>
          <w:b/>
          <w:lang w:val="en-GB"/>
        </w:rPr>
        <w:t xml:space="preserve">NN1 3DE </w:t>
      </w:r>
    </w:p>
    <w:p w14:paraId="7D3ECBE0" w14:textId="3CD60A69" w:rsidR="00663797" w:rsidRPr="0027568B" w:rsidRDefault="00663797" w:rsidP="002F5800">
      <w:pPr>
        <w:spacing w:line="360" w:lineRule="auto"/>
        <w:rPr>
          <w:rFonts w:ascii="Arial" w:hAnsi="Arial" w:cs="Arial"/>
          <w:b/>
        </w:rPr>
      </w:pPr>
      <w:r>
        <w:rPr>
          <w:rFonts w:ascii="Arial" w:eastAsia="Times New Roman" w:hAnsi="Arial" w:cs="Arial"/>
          <w:b/>
          <w:lang w:val="en-GB"/>
        </w:rPr>
        <w:t xml:space="preserve">    </w:t>
      </w:r>
    </w:p>
    <w:p w14:paraId="3891DD02" w14:textId="77777777" w:rsidR="00663797" w:rsidRDefault="00663797" w:rsidP="004C03C3">
      <w:pPr>
        <w:shd w:val="clear" w:color="auto" w:fill="FFFFFF"/>
        <w:spacing w:after="120" w:line="360" w:lineRule="auto"/>
        <w:jc w:val="both"/>
        <w:outlineLvl w:val="3"/>
        <w:rPr>
          <w:rFonts w:ascii="Arial" w:eastAsia="Times New Roman" w:hAnsi="Arial" w:cs="Arial"/>
          <w:b/>
          <w:bCs/>
          <w:color w:val="000000"/>
          <w:u w:val="single"/>
          <w:lang w:val="en-GB"/>
        </w:rPr>
      </w:pPr>
    </w:p>
    <w:p w14:paraId="31E12933" w14:textId="7291EB06" w:rsidR="006E0AE7" w:rsidRPr="00663797" w:rsidRDefault="00E0698B" w:rsidP="004C03C3">
      <w:pPr>
        <w:shd w:val="clear" w:color="auto" w:fill="FFFFFF"/>
        <w:spacing w:after="120" w:line="360" w:lineRule="auto"/>
        <w:jc w:val="both"/>
        <w:outlineLvl w:val="3"/>
        <w:rPr>
          <w:rFonts w:ascii="Arial" w:eastAsia="Times New Roman" w:hAnsi="Arial" w:cs="Arial"/>
          <w:b/>
          <w:bCs/>
          <w:color w:val="000000"/>
          <w:u w:val="single"/>
          <w:lang w:val="en-GB"/>
        </w:rPr>
      </w:pPr>
      <w:r w:rsidRPr="00E41E70">
        <w:rPr>
          <w:rFonts w:ascii="Arial" w:eastAsia="Times New Roman" w:hAnsi="Arial" w:cs="Arial"/>
          <w:b/>
          <w:bCs/>
          <w:color w:val="000000"/>
          <w:u w:val="single"/>
          <w:lang w:val="en-GB"/>
        </w:rPr>
        <w:t>Section 37 Children Act 1989</w:t>
      </w:r>
    </w:p>
    <w:p w14:paraId="27BD46B3" w14:textId="600B7054" w:rsidR="00C654C3" w:rsidRPr="00E41E70" w:rsidRDefault="00C654C3" w:rsidP="004C03C3">
      <w:pPr>
        <w:shd w:val="clear" w:color="auto" w:fill="FFFFFF"/>
        <w:spacing w:after="120" w:line="360" w:lineRule="auto"/>
        <w:jc w:val="both"/>
        <w:outlineLvl w:val="3"/>
        <w:rPr>
          <w:rFonts w:ascii="Arial" w:eastAsia="Times New Roman" w:hAnsi="Arial" w:cs="Arial"/>
          <w:bCs/>
          <w:color w:val="000000"/>
          <w:lang w:val="en-GB"/>
        </w:rPr>
      </w:pPr>
      <w:r w:rsidRPr="00E41E70">
        <w:rPr>
          <w:rFonts w:ascii="Arial" w:eastAsia="Times New Roman" w:hAnsi="Arial" w:cs="Arial"/>
          <w:bCs/>
          <w:color w:val="000000"/>
          <w:lang w:val="en-GB"/>
        </w:rPr>
        <w:t>The section states:</w:t>
      </w:r>
    </w:p>
    <w:p w14:paraId="4422781C" w14:textId="698080BE" w:rsidR="00825664" w:rsidRPr="00E41E70" w:rsidRDefault="00825664" w:rsidP="004C03C3">
      <w:pPr>
        <w:shd w:val="clear" w:color="auto" w:fill="FFFFFF"/>
        <w:spacing w:after="120" w:line="360" w:lineRule="auto"/>
        <w:jc w:val="both"/>
        <w:outlineLvl w:val="3"/>
        <w:rPr>
          <w:rFonts w:ascii="Arial" w:eastAsia="Times New Roman" w:hAnsi="Arial" w:cs="Arial"/>
          <w:b/>
          <w:bCs/>
          <w:i/>
          <w:color w:val="000000"/>
          <w:lang w:val="en-GB"/>
        </w:rPr>
      </w:pPr>
      <w:r w:rsidRPr="00E41E70">
        <w:rPr>
          <w:rFonts w:ascii="Arial" w:eastAsia="Times New Roman" w:hAnsi="Arial" w:cs="Arial"/>
          <w:b/>
          <w:bCs/>
          <w:i/>
          <w:color w:val="000000"/>
          <w:lang w:val="en-GB"/>
        </w:rPr>
        <w:t>Powers of cour</w:t>
      </w:r>
      <w:r w:rsidR="00E41E70">
        <w:rPr>
          <w:rFonts w:ascii="Arial" w:eastAsia="Times New Roman" w:hAnsi="Arial" w:cs="Arial"/>
          <w:b/>
          <w:bCs/>
          <w:i/>
          <w:color w:val="000000"/>
          <w:lang w:val="en-GB"/>
        </w:rPr>
        <w:t>t in certain family proceedings</w:t>
      </w:r>
    </w:p>
    <w:p w14:paraId="7966915A" w14:textId="39FF6B17" w:rsidR="00825664" w:rsidRPr="00E41E70" w:rsidRDefault="00825664" w:rsidP="004C03C3">
      <w:pPr>
        <w:shd w:val="clear" w:color="auto" w:fill="FFFFFF"/>
        <w:spacing w:after="120" w:line="360" w:lineRule="auto"/>
        <w:jc w:val="both"/>
        <w:rPr>
          <w:rFonts w:ascii="Arial" w:hAnsi="Arial" w:cs="Arial"/>
          <w:i/>
          <w:color w:val="000000"/>
          <w:lang w:val="en-GB"/>
        </w:rPr>
      </w:pPr>
      <w:r w:rsidRPr="00E41E70">
        <w:rPr>
          <w:rFonts w:ascii="Arial" w:hAnsi="Arial" w:cs="Arial"/>
          <w:i/>
          <w:color w:val="000000"/>
          <w:lang w:val="en-GB"/>
        </w:rPr>
        <w:t>(1)</w:t>
      </w:r>
      <w:r w:rsidR="00E41E70">
        <w:rPr>
          <w:rFonts w:ascii="Arial" w:hAnsi="Arial" w:cs="Arial"/>
          <w:i/>
          <w:color w:val="000000"/>
          <w:lang w:val="en-GB"/>
        </w:rPr>
        <w:t xml:space="preserve"> </w:t>
      </w:r>
      <w:r w:rsidRPr="00E41E70">
        <w:rPr>
          <w:rFonts w:ascii="Arial" w:hAnsi="Arial" w:cs="Arial"/>
          <w:i/>
          <w:color w:val="000000"/>
          <w:lang w:val="en-GB"/>
        </w:rPr>
        <w:t>Where, in any family proceedings in which a question arises with respect to the welfare of any child, it appears to the court that it may be appropriate for a care or supervision order to be made with respect to him, the court may direct the appropriate authority to undertake an investigation of the child’s circumstances.</w:t>
      </w:r>
    </w:p>
    <w:p w14:paraId="6EE318F6" w14:textId="5192E501" w:rsidR="00825664" w:rsidRPr="00E41E70" w:rsidRDefault="00825664" w:rsidP="004C03C3">
      <w:pPr>
        <w:shd w:val="clear" w:color="auto" w:fill="FFFFFF"/>
        <w:spacing w:after="120" w:line="360" w:lineRule="auto"/>
        <w:jc w:val="both"/>
        <w:rPr>
          <w:rFonts w:ascii="Arial" w:hAnsi="Arial" w:cs="Arial"/>
          <w:i/>
          <w:color w:val="000000"/>
          <w:lang w:val="en-GB"/>
        </w:rPr>
      </w:pPr>
      <w:r w:rsidRPr="00E41E70">
        <w:rPr>
          <w:rFonts w:ascii="Arial" w:hAnsi="Arial" w:cs="Arial"/>
          <w:i/>
          <w:color w:val="000000"/>
          <w:lang w:val="en-GB"/>
        </w:rPr>
        <w:t>(2)</w:t>
      </w:r>
      <w:r w:rsidR="00E41E70">
        <w:rPr>
          <w:rFonts w:ascii="Arial" w:hAnsi="Arial" w:cs="Arial"/>
          <w:i/>
          <w:color w:val="000000"/>
          <w:lang w:val="en-GB"/>
        </w:rPr>
        <w:t xml:space="preserve"> </w:t>
      </w:r>
      <w:r w:rsidRPr="00E41E70">
        <w:rPr>
          <w:rFonts w:ascii="Arial" w:hAnsi="Arial" w:cs="Arial"/>
          <w:i/>
          <w:color w:val="000000"/>
          <w:lang w:val="en-GB"/>
        </w:rPr>
        <w:t>Where the court gives a direction under this section the local authority concerned shall, when undertaking the investigation, consider whether they should—</w:t>
      </w:r>
    </w:p>
    <w:p w14:paraId="19418B88" w14:textId="2EB92233" w:rsidR="00825664" w:rsidRPr="00E41E70" w:rsidRDefault="00825664" w:rsidP="00E41E70">
      <w:pPr>
        <w:shd w:val="clear" w:color="auto" w:fill="FFFFFF"/>
        <w:spacing w:after="120" w:line="360" w:lineRule="auto"/>
        <w:ind w:left="720"/>
        <w:jc w:val="both"/>
        <w:rPr>
          <w:rFonts w:ascii="Arial" w:hAnsi="Arial" w:cs="Arial"/>
          <w:i/>
          <w:color w:val="000000"/>
          <w:lang w:val="en-GB"/>
        </w:rPr>
      </w:pPr>
      <w:r w:rsidRPr="00E41E70">
        <w:rPr>
          <w:rFonts w:ascii="Arial" w:hAnsi="Arial" w:cs="Arial"/>
          <w:i/>
          <w:color w:val="000000"/>
          <w:lang w:val="en-GB"/>
        </w:rPr>
        <w:t>(a)</w:t>
      </w:r>
      <w:r w:rsidR="00E41E70">
        <w:rPr>
          <w:rFonts w:ascii="Arial" w:hAnsi="Arial" w:cs="Arial"/>
          <w:i/>
          <w:color w:val="000000"/>
          <w:lang w:val="en-GB"/>
        </w:rPr>
        <w:t xml:space="preserve"> </w:t>
      </w:r>
      <w:r w:rsidRPr="00E41E70">
        <w:rPr>
          <w:rFonts w:ascii="Arial" w:hAnsi="Arial" w:cs="Arial"/>
          <w:i/>
          <w:color w:val="000000"/>
          <w:lang w:val="en-GB"/>
        </w:rPr>
        <w:t>apply for a care order or for a supervision order with respect to the child;</w:t>
      </w:r>
    </w:p>
    <w:p w14:paraId="0292A51F" w14:textId="0844C9F9" w:rsidR="00825664" w:rsidRPr="00E41E70" w:rsidRDefault="00825664" w:rsidP="00E41E70">
      <w:pPr>
        <w:shd w:val="clear" w:color="auto" w:fill="FFFFFF"/>
        <w:spacing w:after="120" w:line="360" w:lineRule="auto"/>
        <w:ind w:firstLine="720"/>
        <w:jc w:val="both"/>
        <w:rPr>
          <w:rFonts w:ascii="Arial" w:hAnsi="Arial" w:cs="Arial"/>
          <w:i/>
          <w:color w:val="000000"/>
          <w:lang w:val="en-GB"/>
        </w:rPr>
      </w:pPr>
      <w:r w:rsidRPr="00E41E70">
        <w:rPr>
          <w:rFonts w:ascii="Arial" w:hAnsi="Arial" w:cs="Arial"/>
          <w:i/>
          <w:color w:val="000000"/>
          <w:lang w:val="en-GB"/>
        </w:rPr>
        <w:t>(b)</w:t>
      </w:r>
      <w:r w:rsidR="00E41E70">
        <w:rPr>
          <w:rFonts w:ascii="Arial" w:hAnsi="Arial" w:cs="Arial"/>
          <w:i/>
          <w:color w:val="000000"/>
          <w:lang w:val="en-GB"/>
        </w:rPr>
        <w:t xml:space="preserve"> </w:t>
      </w:r>
      <w:r w:rsidRPr="00E41E70">
        <w:rPr>
          <w:rFonts w:ascii="Arial" w:hAnsi="Arial" w:cs="Arial"/>
          <w:i/>
          <w:color w:val="000000"/>
          <w:lang w:val="en-GB"/>
        </w:rPr>
        <w:t>provide services or assistance for the child or his family; or</w:t>
      </w:r>
    </w:p>
    <w:p w14:paraId="4ED53907" w14:textId="2A961F6F" w:rsidR="00825664" w:rsidRPr="00E41E70" w:rsidRDefault="00825664" w:rsidP="00E41E70">
      <w:pPr>
        <w:shd w:val="clear" w:color="auto" w:fill="FFFFFF"/>
        <w:spacing w:after="120" w:line="360" w:lineRule="auto"/>
        <w:ind w:firstLine="720"/>
        <w:jc w:val="both"/>
        <w:rPr>
          <w:rFonts w:ascii="Arial" w:hAnsi="Arial" w:cs="Arial"/>
          <w:i/>
          <w:color w:val="000000"/>
          <w:lang w:val="en-GB"/>
        </w:rPr>
      </w:pPr>
      <w:r w:rsidRPr="00E41E70">
        <w:rPr>
          <w:rFonts w:ascii="Arial" w:hAnsi="Arial" w:cs="Arial"/>
          <w:i/>
          <w:color w:val="000000"/>
          <w:lang w:val="en-GB"/>
        </w:rPr>
        <w:t>(c)</w:t>
      </w:r>
      <w:r w:rsidR="00E41E70">
        <w:rPr>
          <w:rFonts w:ascii="Arial" w:hAnsi="Arial" w:cs="Arial"/>
          <w:i/>
          <w:color w:val="000000"/>
          <w:lang w:val="en-GB"/>
        </w:rPr>
        <w:t xml:space="preserve"> </w:t>
      </w:r>
      <w:r w:rsidRPr="00E41E70">
        <w:rPr>
          <w:rFonts w:ascii="Arial" w:hAnsi="Arial" w:cs="Arial"/>
          <w:i/>
          <w:color w:val="000000"/>
          <w:lang w:val="en-GB"/>
        </w:rPr>
        <w:t>take any other action with respect to the child.</w:t>
      </w:r>
    </w:p>
    <w:p w14:paraId="64F9A62C" w14:textId="2CAF6F4F" w:rsidR="00825664" w:rsidRPr="00E41E70" w:rsidRDefault="00825664" w:rsidP="004C03C3">
      <w:pPr>
        <w:shd w:val="clear" w:color="auto" w:fill="FFFFFF"/>
        <w:spacing w:after="120" w:line="360" w:lineRule="auto"/>
        <w:jc w:val="both"/>
        <w:rPr>
          <w:rFonts w:ascii="Arial" w:hAnsi="Arial" w:cs="Arial"/>
          <w:i/>
          <w:color w:val="000000"/>
          <w:lang w:val="en-GB"/>
        </w:rPr>
      </w:pPr>
      <w:r w:rsidRPr="00E41E70">
        <w:rPr>
          <w:rFonts w:ascii="Arial" w:hAnsi="Arial" w:cs="Arial"/>
          <w:i/>
          <w:color w:val="000000"/>
          <w:lang w:val="en-GB"/>
        </w:rPr>
        <w:t>(3)</w:t>
      </w:r>
      <w:r w:rsidR="00E41E70">
        <w:rPr>
          <w:rFonts w:ascii="Arial" w:hAnsi="Arial" w:cs="Arial"/>
          <w:i/>
          <w:color w:val="000000"/>
          <w:lang w:val="en-GB"/>
        </w:rPr>
        <w:t xml:space="preserve"> </w:t>
      </w:r>
      <w:r w:rsidRPr="00E41E70">
        <w:rPr>
          <w:rFonts w:ascii="Arial" w:hAnsi="Arial" w:cs="Arial"/>
          <w:i/>
          <w:color w:val="000000"/>
          <w:lang w:val="en-GB"/>
        </w:rPr>
        <w:t>Where a local authority undertake</w:t>
      </w:r>
      <w:r w:rsidR="00663797">
        <w:rPr>
          <w:rFonts w:ascii="Arial" w:hAnsi="Arial" w:cs="Arial"/>
          <w:i/>
          <w:color w:val="000000"/>
          <w:lang w:val="en-GB"/>
        </w:rPr>
        <w:t>s</w:t>
      </w:r>
      <w:r w:rsidRPr="00E41E70">
        <w:rPr>
          <w:rFonts w:ascii="Arial" w:hAnsi="Arial" w:cs="Arial"/>
          <w:i/>
          <w:color w:val="000000"/>
          <w:lang w:val="en-GB"/>
        </w:rPr>
        <w:t xml:space="preserve"> an investigation under this section, and decide not to apply for a care order or supervision order with respect to the child concerned, they shall inform the court of—</w:t>
      </w:r>
    </w:p>
    <w:p w14:paraId="5868D4A7" w14:textId="3A92D9C5" w:rsidR="00825664" w:rsidRPr="00E41E70" w:rsidRDefault="00825664" w:rsidP="00E41E70">
      <w:pPr>
        <w:shd w:val="clear" w:color="auto" w:fill="FFFFFF"/>
        <w:spacing w:after="120" w:line="360" w:lineRule="auto"/>
        <w:ind w:firstLine="720"/>
        <w:jc w:val="both"/>
        <w:rPr>
          <w:rFonts w:ascii="Arial" w:hAnsi="Arial" w:cs="Arial"/>
          <w:i/>
          <w:color w:val="000000"/>
          <w:lang w:val="en-GB"/>
        </w:rPr>
      </w:pPr>
      <w:r w:rsidRPr="00E41E70">
        <w:rPr>
          <w:rFonts w:ascii="Arial" w:hAnsi="Arial" w:cs="Arial"/>
          <w:i/>
          <w:color w:val="000000"/>
          <w:lang w:val="en-GB"/>
        </w:rPr>
        <w:t>(a)</w:t>
      </w:r>
      <w:r w:rsidR="00E41E70">
        <w:rPr>
          <w:rFonts w:ascii="Arial" w:hAnsi="Arial" w:cs="Arial"/>
          <w:i/>
          <w:color w:val="000000"/>
          <w:lang w:val="en-GB"/>
        </w:rPr>
        <w:t xml:space="preserve"> </w:t>
      </w:r>
      <w:r w:rsidRPr="00E41E70">
        <w:rPr>
          <w:rFonts w:ascii="Arial" w:hAnsi="Arial" w:cs="Arial"/>
          <w:i/>
          <w:color w:val="000000"/>
          <w:lang w:val="en-GB"/>
        </w:rPr>
        <w:t>their reasons for so deciding;</w:t>
      </w:r>
    </w:p>
    <w:p w14:paraId="48B2EF5F" w14:textId="6104605C" w:rsidR="00825664" w:rsidRPr="00E41E70" w:rsidRDefault="00825664" w:rsidP="00E41E70">
      <w:pPr>
        <w:shd w:val="clear" w:color="auto" w:fill="FFFFFF"/>
        <w:spacing w:after="120" w:line="360" w:lineRule="auto"/>
        <w:ind w:left="720"/>
        <w:jc w:val="both"/>
        <w:rPr>
          <w:rFonts w:ascii="Arial" w:hAnsi="Arial" w:cs="Arial"/>
          <w:i/>
          <w:color w:val="000000"/>
          <w:lang w:val="en-GB"/>
        </w:rPr>
      </w:pPr>
      <w:r w:rsidRPr="00E41E70">
        <w:rPr>
          <w:rFonts w:ascii="Arial" w:hAnsi="Arial" w:cs="Arial"/>
          <w:i/>
          <w:color w:val="000000"/>
          <w:lang w:val="en-GB"/>
        </w:rPr>
        <w:t>(b)</w:t>
      </w:r>
      <w:r w:rsidR="00E41E70">
        <w:rPr>
          <w:rFonts w:ascii="Arial" w:hAnsi="Arial" w:cs="Arial"/>
          <w:i/>
          <w:color w:val="000000"/>
          <w:lang w:val="en-GB"/>
        </w:rPr>
        <w:t xml:space="preserve"> </w:t>
      </w:r>
      <w:r w:rsidRPr="00E41E70">
        <w:rPr>
          <w:rFonts w:ascii="Arial" w:hAnsi="Arial" w:cs="Arial"/>
          <w:i/>
          <w:color w:val="000000"/>
          <w:lang w:val="en-GB"/>
        </w:rPr>
        <w:t>any service or assistance which they have provided, or intend to provide, for the child and his family; and</w:t>
      </w:r>
    </w:p>
    <w:p w14:paraId="1395EE26" w14:textId="30EA7722" w:rsidR="00825664" w:rsidRPr="00E41E70" w:rsidRDefault="00825664" w:rsidP="00E41E70">
      <w:pPr>
        <w:shd w:val="clear" w:color="auto" w:fill="FFFFFF"/>
        <w:spacing w:after="120" w:line="360" w:lineRule="auto"/>
        <w:ind w:left="720"/>
        <w:jc w:val="both"/>
        <w:rPr>
          <w:rFonts w:ascii="Arial" w:hAnsi="Arial" w:cs="Arial"/>
          <w:i/>
          <w:color w:val="000000"/>
          <w:lang w:val="en-GB"/>
        </w:rPr>
      </w:pPr>
      <w:r w:rsidRPr="00E41E70">
        <w:rPr>
          <w:rFonts w:ascii="Arial" w:hAnsi="Arial" w:cs="Arial"/>
          <w:i/>
          <w:color w:val="000000"/>
          <w:lang w:val="en-GB"/>
        </w:rPr>
        <w:lastRenderedPageBreak/>
        <w:t>(c)</w:t>
      </w:r>
      <w:r w:rsidR="00E41E70">
        <w:rPr>
          <w:rFonts w:ascii="Arial" w:hAnsi="Arial" w:cs="Arial"/>
          <w:i/>
          <w:color w:val="000000"/>
          <w:lang w:val="en-GB"/>
        </w:rPr>
        <w:t xml:space="preserve"> </w:t>
      </w:r>
      <w:r w:rsidRPr="00E41E70">
        <w:rPr>
          <w:rFonts w:ascii="Arial" w:hAnsi="Arial" w:cs="Arial"/>
          <w:i/>
          <w:color w:val="000000"/>
          <w:lang w:val="en-GB"/>
        </w:rPr>
        <w:t>any other action which they have taken, or propose to take, with respect to the child.</w:t>
      </w:r>
    </w:p>
    <w:p w14:paraId="79DDEB16" w14:textId="06A31110" w:rsidR="00825664" w:rsidRPr="00E41E70" w:rsidRDefault="00825664" w:rsidP="004C03C3">
      <w:pPr>
        <w:shd w:val="clear" w:color="auto" w:fill="FFFFFF"/>
        <w:spacing w:after="120" w:line="360" w:lineRule="auto"/>
        <w:jc w:val="both"/>
        <w:rPr>
          <w:rFonts w:ascii="Arial" w:hAnsi="Arial" w:cs="Arial"/>
          <w:i/>
          <w:color w:val="000000"/>
          <w:lang w:val="en-GB"/>
        </w:rPr>
      </w:pPr>
      <w:r w:rsidRPr="00E41E70">
        <w:rPr>
          <w:rFonts w:ascii="Arial" w:hAnsi="Arial" w:cs="Arial"/>
          <w:i/>
          <w:color w:val="000000"/>
          <w:lang w:val="en-GB"/>
        </w:rPr>
        <w:t>(4)</w:t>
      </w:r>
      <w:r w:rsidR="00E41E70">
        <w:rPr>
          <w:rFonts w:ascii="Arial" w:hAnsi="Arial" w:cs="Arial"/>
          <w:i/>
          <w:color w:val="000000"/>
          <w:lang w:val="en-GB"/>
        </w:rPr>
        <w:t xml:space="preserve"> </w:t>
      </w:r>
      <w:r w:rsidRPr="00E41E70">
        <w:rPr>
          <w:rFonts w:ascii="Arial" w:hAnsi="Arial" w:cs="Arial"/>
          <w:i/>
          <w:color w:val="000000"/>
          <w:lang w:val="en-GB"/>
        </w:rPr>
        <w:t xml:space="preserve">The information shall be given to the court before the end of the period of eight weeks beginning with the date of the </w:t>
      </w:r>
      <w:r w:rsidR="00663797" w:rsidRPr="00E41E70">
        <w:rPr>
          <w:rFonts w:ascii="Arial" w:hAnsi="Arial" w:cs="Arial"/>
          <w:i/>
          <w:color w:val="000000"/>
          <w:lang w:val="en-GB"/>
        </w:rPr>
        <w:t>direction unless</w:t>
      </w:r>
      <w:r w:rsidRPr="00E41E70">
        <w:rPr>
          <w:rFonts w:ascii="Arial" w:hAnsi="Arial" w:cs="Arial"/>
          <w:i/>
          <w:color w:val="000000"/>
          <w:lang w:val="en-GB"/>
        </w:rPr>
        <w:t xml:space="preserve"> the court otherwise directs.</w:t>
      </w:r>
    </w:p>
    <w:p w14:paraId="5190AF8A" w14:textId="3CE60DDD" w:rsidR="00825664" w:rsidRPr="00E41E70" w:rsidRDefault="00825664" w:rsidP="004C03C3">
      <w:pPr>
        <w:shd w:val="clear" w:color="auto" w:fill="FFFFFF"/>
        <w:spacing w:after="120" w:line="360" w:lineRule="auto"/>
        <w:jc w:val="both"/>
        <w:rPr>
          <w:rFonts w:ascii="Arial" w:hAnsi="Arial" w:cs="Arial"/>
          <w:i/>
          <w:color w:val="000000"/>
          <w:lang w:val="en-GB"/>
        </w:rPr>
      </w:pPr>
      <w:r w:rsidRPr="00E41E70">
        <w:rPr>
          <w:rFonts w:ascii="Arial" w:hAnsi="Arial" w:cs="Arial"/>
          <w:i/>
          <w:color w:val="000000"/>
          <w:lang w:val="en-GB"/>
        </w:rPr>
        <w:t>(5)</w:t>
      </w:r>
      <w:r w:rsidR="00E41E70">
        <w:rPr>
          <w:rFonts w:ascii="Arial" w:hAnsi="Arial" w:cs="Arial"/>
          <w:i/>
          <w:color w:val="000000"/>
          <w:lang w:val="en-GB"/>
        </w:rPr>
        <w:t xml:space="preserve"> </w:t>
      </w:r>
      <w:r w:rsidRPr="00E41E70">
        <w:rPr>
          <w:rFonts w:ascii="Arial" w:hAnsi="Arial" w:cs="Arial"/>
          <w:i/>
          <w:color w:val="000000"/>
          <w:lang w:val="en-GB"/>
        </w:rPr>
        <w:t>The local authority named in a direction under subsection (1) must be—</w:t>
      </w:r>
    </w:p>
    <w:p w14:paraId="36AB2769" w14:textId="726F4D91" w:rsidR="00825664" w:rsidRPr="00E41E70" w:rsidRDefault="00825664" w:rsidP="00E41E70">
      <w:pPr>
        <w:shd w:val="clear" w:color="auto" w:fill="FFFFFF"/>
        <w:spacing w:after="120" w:line="360" w:lineRule="auto"/>
        <w:ind w:firstLine="720"/>
        <w:jc w:val="both"/>
        <w:rPr>
          <w:rFonts w:ascii="Arial" w:hAnsi="Arial" w:cs="Arial"/>
          <w:i/>
          <w:color w:val="000000"/>
          <w:lang w:val="en-GB"/>
        </w:rPr>
      </w:pPr>
      <w:r w:rsidRPr="00E41E70">
        <w:rPr>
          <w:rFonts w:ascii="Arial" w:hAnsi="Arial" w:cs="Arial"/>
          <w:i/>
          <w:color w:val="000000"/>
          <w:lang w:val="en-GB"/>
        </w:rPr>
        <w:t>(a)</w:t>
      </w:r>
      <w:r w:rsidR="00E41E70">
        <w:rPr>
          <w:rFonts w:ascii="Arial" w:hAnsi="Arial" w:cs="Arial"/>
          <w:i/>
          <w:color w:val="000000"/>
          <w:lang w:val="en-GB"/>
        </w:rPr>
        <w:t xml:space="preserve"> </w:t>
      </w:r>
      <w:r w:rsidRPr="00E41E70">
        <w:rPr>
          <w:rFonts w:ascii="Arial" w:hAnsi="Arial" w:cs="Arial"/>
          <w:i/>
          <w:color w:val="000000"/>
          <w:lang w:val="en-GB"/>
        </w:rPr>
        <w:t>the authority in whose area the child is ordinarily resident; or</w:t>
      </w:r>
    </w:p>
    <w:p w14:paraId="5F13BEA9" w14:textId="6332DD96" w:rsidR="00825664" w:rsidRPr="00E41E70" w:rsidRDefault="00825664" w:rsidP="00E41E70">
      <w:pPr>
        <w:shd w:val="clear" w:color="auto" w:fill="FFFFFF"/>
        <w:spacing w:after="120" w:line="360" w:lineRule="auto"/>
        <w:ind w:left="720"/>
        <w:jc w:val="both"/>
        <w:rPr>
          <w:rFonts w:ascii="Arial" w:hAnsi="Arial" w:cs="Arial"/>
          <w:i/>
          <w:color w:val="000000"/>
          <w:lang w:val="en-GB"/>
        </w:rPr>
      </w:pPr>
      <w:r w:rsidRPr="00E41E70">
        <w:rPr>
          <w:rFonts w:ascii="Arial" w:hAnsi="Arial" w:cs="Arial"/>
          <w:i/>
          <w:color w:val="000000"/>
          <w:lang w:val="en-GB"/>
        </w:rPr>
        <w:t>(b)</w:t>
      </w:r>
      <w:r w:rsidR="00E41E70">
        <w:rPr>
          <w:rFonts w:ascii="Arial" w:hAnsi="Arial" w:cs="Arial"/>
          <w:i/>
          <w:color w:val="000000"/>
          <w:lang w:val="en-GB"/>
        </w:rPr>
        <w:t xml:space="preserve"> </w:t>
      </w:r>
      <w:r w:rsidRPr="00E41E70">
        <w:rPr>
          <w:rFonts w:ascii="Arial" w:hAnsi="Arial" w:cs="Arial"/>
          <w:i/>
          <w:color w:val="000000"/>
          <w:lang w:val="en-GB"/>
        </w:rPr>
        <w:t>where the child </w:t>
      </w:r>
      <w:r w:rsidRPr="00E41E70">
        <w:rPr>
          <w:rFonts w:ascii="Arial" w:hAnsi="Arial" w:cs="Arial"/>
          <w:b/>
          <w:bCs/>
          <w:i/>
          <w:color w:val="000000"/>
          <w:lang w:val="en-GB"/>
        </w:rPr>
        <w:t>[</w:t>
      </w:r>
      <w:r w:rsidRPr="00E41E70">
        <w:rPr>
          <w:rFonts w:ascii="Arial" w:hAnsi="Arial" w:cs="Arial"/>
          <w:i/>
          <w:color w:val="000000"/>
          <w:lang w:val="en-GB"/>
        </w:rPr>
        <w:t>is not ordinarily resident</w:t>
      </w:r>
      <w:r w:rsidRPr="00E41E70">
        <w:rPr>
          <w:rFonts w:ascii="Arial" w:hAnsi="Arial" w:cs="Arial"/>
          <w:b/>
          <w:bCs/>
          <w:i/>
          <w:color w:val="000000"/>
          <w:lang w:val="en-GB"/>
        </w:rPr>
        <w:t>]</w:t>
      </w:r>
      <w:r w:rsidRPr="00E41E70">
        <w:rPr>
          <w:rFonts w:ascii="Arial" w:hAnsi="Arial" w:cs="Arial"/>
          <w:i/>
          <w:color w:val="000000"/>
          <w:lang w:val="en-GB"/>
        </w:rPr>
        <w:t> in the area of a local authority, the authority within whose area any circumstances arose in consequence of whi</w:t>
      </w:r>
      <w:r w:rsidR="00E41E70">
        <w:rPr>
          <w:rFonts w:ascii="Arial" w:hAnsi="Arial" w:cs="Arial"/>
          <w:i/>
          <w:color w:val="000000"/>
          <w:lang w:val="en-GB"/>
        </w:rPr>
        <w:t>ch the direction is being given.</w:t>
      </w:r>
    </w:p>
    <w:p w14:paraId="1386393B" w14:textId="06FBB2EF" w:rsidR="00825664" w:rsidRPr="00E41E70" w:rsidRDefault="00825664" w:rsidP="00E41E70">
      <w:pPr>
        <w:shd w:val="clear" w:color="auto" w:fill="FFFFFF"/>
        <w:spacing w:after="120" w:line="360" w:lineRule="auto"/>
        <w:jc w:val="both"/>
        <w:rPr>
          <w:rFonts w:ascii="Arial" w:hAnsi="Arial" w:cs="Arial"/>
          <w:i/>
          <w:color w:val="000000"/>
          <w:lang w:val="en-GB"/>
        </w:rPr>
      </w:pPr>
      <w:r w:rsidRPr="00E41E70">
        <w:rPr>
          <w:rFonts w:ascii="Arial" w:hAnsi="Arial" w:cs="Arial"/>
          <w:i/>
          <w:color w:val="000000"/>
          <w:lang w:val="en-GB"/>
        </w:rPr>
        <w:t>(6)</w:t>
      </w:r>
      <w:r w:rsidR="00E41E70">
        <w:rPr>
          <w:rFonts w:ascii="Arial" w:hAnsi="Arial" w:cs="Arial"/>
          <w:i/>
          <w:color w:val="000000"/>
          <w:lang w:val="en-GB"/>
        </w:rPr>
        <w:t xml:space="preserve"> </w:t>
      </w:r>
      <w:r w:rsidRPr="00E41E70">
        <w:rPr>
          <w:rFonts w:ascii="Arial" w:hAnsi="Arial" w:cs="Arial"/>
          <w:i/>
          <w:color w:val="000000"/>
          <w:lang w:val="en-GB"/>
        </w:rPr>
        <w:t>If, on the conclusion of any investigation or review under this section, the authority decide not to apply for a care order or supervision order with respect to the child—</w:t>
      </w:r>
    </w:p>
    <w:p w14:paraId="1F4E4C20" w14:textId="7507DBB6" w:rsidR="00825664" w:rsidRPr="00E41E70" w:rsidRDefault="00825664" w:rsidP="00E41E70">
      <w:pPr>
        <w:shd w:val="clear" w:color="auto" w:fill="FFFFFF"/>
        <w:spacing w:after="120" w:line="360" w:lineRule="auto"/>
        <w:ind w:left="720"/>
        <w:jc w:val="both"/>
        <w:rPr>
          <w:rFonts w:ascii="Arial" w:hAnsi="Arial" w:cs="Arial"/>
          <w:i/>
          <w:color w:val="000000"/>
          <w:lang w:val="en-GB"/>
        </w:rPr>
      </w:pPr>
      <w:r w:rsidRPr="00E41E70">
        <w:rPr>
          <w:rFonts w:ascii="Arial" w:hAnsi="Arial" w:cs="Arial"/>
          <w:i/>
          <w:color w:val="000000"/>
          <w:lang w:val="en-GB"/>
        </w:rPr>
        <w:t>(a)</w:t>
      </w:r>
      <w:r w:rsidR="00E41E70">
        <w:rPr>
          <w:rFonts w:ascii="Arial" w:hAnsi="Arial" w:cs="Arial"/>
          <w:i/>
          <w:color w:val="000000"/>
          <w:lang w:val="en-GB"/>
        </w:rPr>
        <w:t xml:space="preserve"> </w:t>
      </w:r>
      <w:r w:rsidRPr="00E41E70">
        <w:rPr>
          <w:rFonts w:ascii="Arial" w:hAnsi="Arial" w:cs="Arial"/>
          <w:i/>
          <w:color w:val="000000"/>
          <w:lang w:val="en-GB"/>
        </w:rPr>
        <w:t>they shall consider whether it would be appropriate to review the case at a later date; and</w:t>
      </w:r>
    </w:p>
    <w:p w14:paraId="22202BFF" w14:textId="74B18422" w:rsidR="00195D58" w:rsidRPr="00663797" w:rsidRDefault="00825664" w:rsidP="00663797">
      <w:pPr>
        <w:shd w:val="clear" w:color="auto" w:fill="FFFFFF"/>
        <w:spacing w:after="120" w:line="360" w:lineRule="auto"/>
        <w:ind w:left="720"/>
        <w:jc w:val="both"/>
        <w:rPr>
          <w:rFonts w:ascii="Arial" w:hAnsi="Arial" w:cs="Arial"/>
          <w:i/>
          <w:color w:val="000000"/>
          <w:lang w:val="en-GB"/>
        </w:rPr>
      </w:pPr>
      <w:r w:rsidRPr="00E41E70">
        <w:rPr>
          <w:rFonts w:ascii="Arial" w:hAnsi="Arial" w:cs="Arial"/>
          <w:i/>
          <w:color w:val="000000"/>
          <w:lang w:val="en-GB"/>
        </w:rPr>
        <w:t>(b)</w:t>
      </w:r>
      <w:r w:rsidR="00E41E70">
        <w:rPr>
          <w:rFonts w:ascii="Arial" w:hAnsi="Arial" w:cs="Arial"/>
          <w:i/>
          <w:color w:val="000000"/>
          <w:lang w:val="en-GB"/>
        </w:rPr>
        <w:t xml:space="preserve"> </w:t>
      </w:r>
      <w:r w:rsidRPr="00E41E70">
        <w:rPr>
          <w:rFonts w:ascii="Arial" w:hAnsi="Arial" w:cs="Arial"/>
          <w:i/>
          <w:color w:val="000000"/>
          <w:lang w:val="en-GB"/>
        </w:rPr>
        <w:t>if they decide that it would be, they shall determine the date on which that review is to begin.</w:t>
      </w:r>
    </w:p>
    <w:p w14:paraId="47449434" w14:textId="4C5713AA" w:rsidR="00195D58" w:rsidRPr="00E41E70" w:rsidRDefault="00195D58" w:rsidP="00E41E70">
      <w:pPr>
        <w:shd w:val="clear" w:color="auto" w:fill="FFFFFF"/>
        <w:spacing w:line="360" w:lineRule="auto"/>
        <w:jc w:val="both"/>
        <w:outlineLvl w:val="3"/>
        <w:rPr>
          <w:rFonts w:ascii="Arial" w:eastAsia="Times New Roman" w:hAnsi="Arial" w:cs="Arial"/>
          <w:bCs/>
          <w:color w:val="000000"/>
          <w:lang w:val="en-GB"/>
        </w:rPr>
      </w:pPr>
      <w:r w:rsidRPr="00E41E70">
        <w:rPr>
          <w:rFonts w:ascii="Arial" w:eastAsia="Times New Roman" w:hAnsi="Arial" w:cs="Arial"/>
          <w:bCs/>
          <w:color w:val="000000"/>
          <w:lang w:val="en-GB"/>
        </w:rPr>
        <w:t>This section empowers the Court, of its own initiative, to direct the Local Authority to look into circumstances of a child with a view to the possibility of taking action with respect to the child and to report to the Court above what, if any, action it intends to take.</w:t>
      </w:r>
    </w:p>
    <w:p w14:paraId="31297D73" w14:textId="77777777" w:rsidR="00E41E70" w:rsidRDefault="00E41E70" w:rsidP="00E41E70">
      <w:pPr>
        <w:shd w:val="clear" w:color="auto" w:fill="FFFFFF"/>
        <w:spacing w:line="360" w:lineRule="auto"/>
        <w:jc w:val="both"/>
        <w:outlineLvl w:val="3"/>
        <w:rPr>
          <w:rFonts w:ascii="Arial" w:eastAsia="Times New Roman" w:hAnsi="Arial" w:cs="Arial"/>
          <w:bCs/>
          <w:color w:val="000000"/>
          <w:lang w:val="en-GB"/>
        </w:rPr>
      </w:pPr>
    </w:p>
    <w:p w14:paraId="0CA7EF2E" w14:textId="448F215E" w:rsidR="00195D58" w:rsidRDefault="00195D58" w:rsidP="00663797">
      <w:pPr>
        <w:shd w:val="clear" w:color="auto" w:fill="FFFFFF"/>
        <w:spacing w:line="360" w:lineRule="auto"/>
        <w:jc w:val="both"/>
        <w:outlineLvl w:val="3"/>
        <w:rPr>
          <w:rFonts w:ascii="Arial" w:eastAsia="Times New Roman" w:hAnsi="Arial" w:cs="Arial"/>
          <w:bCs/>
          <w:color w:val="000000"/>
          <w:lang w:val="en-GB"/>
        </w:rPr>
      </w:pPr>
      <w:r w:rsidRPr="00E41E70">
        <w:rPr>
          <w:rFonts w:ascii="Arial" w:eastAsia="Times New Roman" w:hAnsi="Arial" w:cs="Arial"/>
          <w:bCs/>
          <w:color w:val="000000"/>
          <w:lang w:val="en-GB"/>
        </w:rPr>
        <w:t>The Court is not limited to one s37 direction for each set of pro</w:t>
      </w:r>
      <w:r w:rsidR="00A77BC2" w:rsidRPr="00E41E70">
        <w:rPr>
          <w:rFonts w:ascii="Arial" w:eastAsia="Times New Roman" w:hAnsi="Arial" w:cs="Arial"/>
          <w:bCs/>
          <w:color w:val="000000"/>
          <w:lang w:val="en-GB"/>
        </w:rPr>
        <w:t>c</w:t>
      </w:r>
      <w:r w:rsidRPr="00E41E70">
        <w:rPr>
          <w:rFonts w:ascii="Arial" w:eastAsia="Times New Roman" w:hAnsi="Arial" w:cs="Arial"/>
          <w:bCs/>
          <w:color w:val="000000"/>
          <w:lang w:val="en-GB"/>
        </w:rPr>
        <w:t>eedings.  Where a Judge is satisfied that the Local Authority has either not complied with a direction under s37 or failed to conduct an investigation that met the Court’s concerns, the Court may extend or renew its direction under s37.</w:t>
      </w:r>
    </w:p>
    <w:p w14:paraId="41FFEE56" w14:textId="77777777" w:rsidR="00663797" w:rsidRPr="00E41E70" w:rsidRDefault="00663797" w:rsidP="00663797">
      <w:pPr>
        <w:shd w:val="clear" w:color="auto" w:fill="FFFFFF"/>
        <w:spacing w:line="360" w:lineRule="auto"/>
        <w:jc w:val="both"/>
        <w:outlineLvl w:val="3"/>
        <w:rPr>
          <w:rFonts w:ascii="Arial" w:eastAsia="Times New Roman" w:hAnsi="Arial" w:cs="Arial"/>
          <w:bCs/>
          <w:color w:val="000000"/>
          <w:lang w:val="en-GB"/>
        </w:rPr>
      </w:pPr>
    </w:p>
    <w:p w14:paraId="218F6CFD" w14:textId="189C1A20" w:rsidR="00195D58" w:rsidRPr="00E41E70" w:rsidRDefault="005176B9" w:rsidP="00E41E70">
      <w:pPr>
        <w:shd w:val="clear" w:color="auto" w:fill="FFFFFF"/>
        <w:spacing w:line="360" w:lineRule="auto"/>
        <w:jc w:val="both"/>
        <w:outlineLvl w:val="3"/>
        <w:rPr>
          <w:rFonts w:ascii="Arial" w:eastAsia="Times New Roman" w:hAnsi="Arial" w:cs="Arial"/>
          <w:bCs/>
          <w:color w:val="000000"/>
          <w:lang w:val="en-GB"/>
        </w:rPr>
      </w:pPr>
      <w:r w:rsidRPr="00E41E70">
        <w:rPr>
          <w:rFonts w:ascii="Arial" w:eastAsia="Times New Roman" w:hAnsi="Arial" w:cs="Arial"/>
          <w:bCs/>
          <w:color w:val="000000"/>
          <w:lang w:val="en-GB"/>
        </w:rPr>
        <w:t>An interim Order (Care or Supervision) may be made pending the results of the investigation (s38(1)(b) Children Act 1989).</w:t>
      </w:r>
    </w:p>
    <w:p w14:paraId="1654F601" w14:textId="77777777" w:rsidR="005176B9" w:rsidRPr="00E41E70" w:rsidRDefault="005176B9" w:rsidP="00E41E70">
      <w:pPr>
        <w:shd w:val="clear" w:color="auto" w:fill="FFFFFF"/>
        <w:spacing w:line="360" w:lineRule="auto"/>
        <w:jc w:val="both"/>
        <w:outlineLvl w:val="3"/>
        <w:rPr>
          <w:rFonts w:ascii="Arial" w:eastAsia="Times New Roman" w:hAnsi="Arial" w:cs="Arial"/>
          <w:bCs/>
          <w:color w:val="000000"/>
          <w:lang w:val="en-GB"/>
        </w:rPr>
      </w:pPr>
    </w:p>
    <w:p w14:paraId="666AF65D" w14:textId="40FFF133" w:rsidR="00A77BC2" w:rsidRPr="00E41E70" w:rsidRDefault="00A77BC2" w:rsidP="00E41E70">
      <w:pPr>
        <w:shd w:val="clear" w:color="auto" w:fill="FFFFFF"/>
        <w:spacing w:line="360" w:lineRule="auto"/>
        <w:jc w:val="both"/>
        <w:outlineLvl w:val="3"/>
        <w:rPr>
          <w:rFonts w:ascii="Arial" w:eastAsia="Times New Roman" w:hAnsi="Arial" w:cs="Arial"/>
          <w:bCs/>
          <w:color w:val="000000"/>
          <w:lang w:val="en-GB"/>
        </w:rPr>
      </w:pPr>
      <w:r w:rsidRPr="00E41E70">
        <w:rPr>
          <w:rFonts w:ascii="Arial" w:eastAsia="Times New Roman" w:hAnsi="Arial" w:cs="Arial"/>
          <w:bCs/>
          <w:color w:val="000000"/>
          <w:lang w:val="en-GB"/>
        </w:rPr>
        <w:lastRenderedPageBreak/>
        <w:t>Where an Order under s37 is made, the Local Authority will be sufficiently closely connected to the litigation to justify a non-party costs order against it in circumstances where failings on the part of the Local Authority reach the threshold for making such an Order.</w:t>
      </w:r>
    </w:p>
    <w:p w14:paraId="498703CD" w14:textId="1C72DA8E" w:rsidR="00E41E70" w:rsidRDefault="00E41E70" w:rsidP="004C03C3">
      <w:pPr>
        <w:shd w:val="clear" w:color="auto" w:fill="FFFFFF"/>
        <w:spacing w:after="120" w:line="360" w:lineRule="auto"/>
        <w:jc w:val="both"/>
        <w:outlineLvl w:val="3"/>
        <w:rPr>
          <w:rFonts w:ascii="Arial" w:eastAsia="Times New Roman" w:hAnsi="Arial" w:cs="Arial"/>
          <w:b/>
          <w:bCs/>
          <w:color w:val="000000"/>
          <w:u w:val="single"/>
          <w:lang w:val="en-GB"/>
        </w:rPr>
      </w:pPr>
    </w:p>
    <w:p w14:paraId="546E2F42" w14:textId="19791633" w:rsidR="005176B9" w:rsidRPr="00E41E70" w:rsidRDefault="005176B9" w:rsidP="004C03C3">
      <w:pPr>
        <w:shd w:val="clear" w:color="auto" w:fill="FFFFFF"/>
        <w:spacing w:after="120" w:line="360" w:lineRule="auto"/>
        <w:jc w:val="both"/>
        <w:outlineLvl w:val="3"/>
        <w:rPr>
          <w:rFonts w:ascii="Arial" w:eastAsia="Times New Roman" w:hAnsi="Arial" w:cs="Arial"/>
          <w:b/>
          <w:bCs/>
          <w:color w:val="000000"/>
          <w:u w:val="single"/>
          <w:lang w:val="en-GB"/>
        </w:rPr>
      </w:pPr>
      <w:r w:rsidRPr="00E41E70">
        <w:rPr>
          <w:rFonts w:ascii="Arial" w:eastAsia="Times New Roman" w:hAnsi="Arial" w:cs="Arial"/>
          <w:b/>
          <w:bCs/>
          <w:color w:val="000000"/>
          <w:u w:val="single"/>
          <w:lang w:val="en-GB"/>
        </w:rPr>
        <w:t>Procedure</w:t>
      </w:r>
    </w:p>
    <w:p w14:paraId="7885FBA5" w14:textId="46307094" w:rsidR="005176B9" w:rsidRDefault="005176B9" w:rsidP="004C03C3">
      <w:pPr>
        <w:shd w:val="clear" w:color="auto" w:fill="FFFFFF"/>
        <w:spacing w:after="120" w:line="360" w:lineRule="auto"/>
        <w:jc w:val="both"/>
        <w:outlineLvl w:val="3"/>
        <w:rPr>
          <w:rFonts w:ascii="Arial" w:eastAsia="Times New Roman" w:hAnsi="Arial" w:cs="Arial"/>
          <w:bCs/>
          <w:color w:val="000000"/>
          <w:lang w:val="en-GB"/>
        </w:rPr>
      </w:pPr>
      <w:r w:rsidRPr="00E41E70">
        <w:rPr>
          <w:rFonts w:ascii="Arial" w:eastAsia="Times New Roman" w:hAnsi="Arial" w:cs="Arial"/>
          <w:bCs/>
          <w:color w:val="000000"/>
          <w:lang w:val="en-GB"/>
        </w:rPr>
        <w:t>This is governed by Rule 12.17 Family Procedure Rules 2010 which states:</w:t>
      </w:r>
    </w:p>
    <w:p w14:paraId="4B5BACF7" w14:textId="77777777" w:rsidR="00663797" w:rsidRPr="00663797" w:rsidRDefault="00663797" w:rsidP="004C03C3">
      <w:pPr>
        <w:shd w:val="clear" w:color="auto" w:fill="FFFFFF"/>
        <w:spacing w:after="120" w:line="360" w:lineRule="auto"/>
        <w:jc w:val="both"/>
        <w:outlineLvl w:val="3"/>
        <w:rPr>
          <w:rFonts w:ascii="Arial" w:eastAsia="Times New Roman" w:hAnsi="Arial" w:cs="Arial"/>
          <w:bCs/>
          <w:color w:val="000000"/>
          <w:lang w:val="en-GB"/>
        </w:rPr>
      </w:pPr>
    </w:p>
    <w:p w14:paraId="0665E5A2" w14:textId="77777777" w:rsidR="00E41E70" w:rsidRDefault="005176B9" w:rsidP="00E41E70">
      <w:pPr>
        <w:shd w:val="clear" w:color="auto" w:fill="FFFFFF"/>
        <w:spacing w:after="120" w:line="360" w:lineRule="auto"/>
        <w:jc w:val="both"/>
        <w:outlineLvl w:val="3"/>
        <w:rPr>
          <w:rFonts w:ascii="Arial" w:eastAsia="Times New Roman" w:hAnsi="Arial" w:cs="Arial"/>
          <w:b/>
          <w:bCs/>
          <w:i/>
          <w:color w:val="000000"/>
          <w:lang w:val="en-GB"/>
        </w:rPr>
      </w:pPr>
      <w:r w:rsidRPr="00E41E70">
        <w:rPr>
          <w:rFonts w:ascii="Arial" w:eastAsia="Times New Roman" w:hAnsi="Arial" w:cs="Arial"/>
          <w:b/>
          <w:bCs/>
          <w:i/>
          <w:color w:val="000000"/>
          <w:lang w:val="en-GB"/>
        </w:rPr>
        <w:t>Investigation under section 37 of the 1989 Act</w:t>
      </w:r>
    </w:p>
    <w:p w14:paraId="60267628" w14:textId="11E68DF9" w:rsidR="005176B9" w:rsidRPr="00E41E70" w:rsidRDefault="005176B9" w:rsidP="00E41E70">
      <w:pPr>
        <w:shd w:val="clear" w:color="auto" w:fill="FFFFFF"/>
        <w:spacing w:after="120" w:line="360" w:lineRule="auto"/>
        <w:jc w:val="both"/>
        <w:outlineLvl w:val="3"/>
        <w:rPr>
          <w:rFonts w:ascii="Arial" w:eastAsia="Times New Roman" w:hAnsi="Arial" w:cs="Arial"/>
          <w:b/>
          <w:bCs/>
          <w:i/>
          <w:color w:val="000000"/>
          <w:lang w:val="en-GB"/>
        </w:rPr>
      </w:pPr>
      <w:r w:rsidRPr="00E41E70">
        <w:rPr>
          <w:rFonts w:ascii="Arial" w:hAnsi="Arial" w:cs="Arial"/>
          <w:b/>
          <w:bCs/>
          <w:i/>
          <w:color w:val="494949"/>
          <w:lang w:val="en-GB"/>
        </w:rPr>
        <w:t>12.17.</w:t>
      </w:r>
      <w:r w:rsidRPr="00E41E70">
        <w:rPr>
          <w:rFonts w:ascii="Arial" w:hAnsi="Arial" w:cs="Arial"/>
          <w:i/>
          <w:color w:val="494949"/>
          <w:lang w:val="en-GB"/>
        </w:rPr>
        <w:t xml:space="preserve">—(1) This rule applies where a direction is given to an appropriate authority by the court under section 37(1) of the 1989 Act. </w:t>
      </w:r>
    </w:p>
    <w:p w14:paraId="3E8FCEDF" w14:textId="77777777" w:rsidR="005176B9" w:rsidRPr="00E41E70" w:rsidRDefault="005176B9" w:rsidP="004C03C3">
      <w:pPr>
        <w:shd w:val="clear" w:color="auto" w:fill="FFFFFF"/>
        <w:spacing w:after="120" w:line="360" w:lineRule="auto"/>
        <w:ind w:firstLine="240"/>
        <w:jc w:val="both"/>
        <w:rPr>
          <w:rFonts w:ascii="Arial" w:hAnsi="Arial" w:cs="Arial"/>
          <w:i/>
          <w:color w:val="494949"/>
          <w:lang w:val="en-GB"/>
        </w:rPr>
      </w:pPr>
      <w:r w:rsidRPr="00E41E70">
        <w:rPr>
          <w:rFonts w:ascii="Arial" w:hAnsi="Arial" w:cs="Arial"/>
          <w:i/>
          <w:color w:val="494949"/>
          <w:lang w:val="en-GB"/>
        </w:rPr>
        <w:t xml:space="preserve">(2) On giving the direction the court may adjourn the proceedings. </w:t>
      </w:r>
    </w:p>
    <w:p w14:paraId="2E0021E5" w14:textId="59C0EAD2" w:rsidR="005176B9" w:rsidRPr="00E41E70" w:rsidRDefault="005176B9" w:rsidP="00E41E70">
      <w:pPr>
        <w:shd w:val="clear" w:color="auto" w:fill="FFFFFF"/>
        <w:spacing w:after="120" w:line="360" w:lineRule="auto"/>
        <w:ind w:left="240"/>
        <w:jc w:val="both"/>
        <w:rPr>
          <w:rFonts w:ascii="Arial" w:hAnsi="Arial" w:cs="Arial"/>
          <w:i/>
          <w:color w:val="494949"/>
          <w:lang w:val="en-GB"/>
        </w:rPr>
      </w:pPr>
      <w:r w:rsidRPr="00E41E70">
        <w:rPr>
          <w:rFonts w:ascii="Arial" w:hAnsi="Arial" w:cs="Arial"/>
          <w:i/>
          <w:color w:val="494949"/>
          <w:lang w:val="en-GB"/>
        </w:rPr>
        <w:t xml:space="preserve">(3) As soon as practicable after the direction is given the court will record the direction. </w:t>
      </w:r>
    </w:p>
    <w:p w14:paraId="562122B6" w14:textId="77777777" w:rsidR="005176B9" w:rsidRPr="00E41E70" w:rsidRDefault="005176B9" w:rsidP="004C03C3">
      <w:pPr>
        <w:shd w:val="clear" w:color="auto" w:fill="FFFFFF"/>
        <w:spacing w:after="120" w:line="360" w:lineRule="auto"/>
        <w:ind w:firstLine="240"/>
        <w:jc w:val="both"/>
        <w:rPr>
          <w:rFonts w:ascii="Arial" w:hAnsi="Arial" w:cs="Arial"/>
          <w:i/>
          <w:color w:val="494949"/>
          <w:lang w:val="en-GB"/>
        </w:rPr>
      </w:pPr>
      <w:r w:rsidRPr="00E41E70">
        <w:rPr>
          <w:rFonts w:ascii="Arial" w:hAnsi="Arial" w:cs="Arial"/>
          <w:i/>
          <w:color w:val="494949"/>
          <w:lang w:val="en-GB"/>
        </w:rPr>
        <w:t xml:space="preserve">(4) As soon as practicable after the direction is given the court officer will— </w:t>
      </w:r>
    </w:p>
    <w:p w14:paraId="503D75C2" w14:textId="7C37E4DC" w:rsidR="005176B9" w:rsidRPr="00E41E70" w:rsidRDefault="005176B9" w:rsidP="00E41E70">
      <w:pPr>
        <w:shd w:val="clear" w:color="auto" w:fill="FFFFFF"/>
        <w:spacing w:after="120" w:line="360" w:lineRule="auto"/>
        <w:ind w:firstLine="720"/>
        <w:jc w:val="both"/>
        <w:rPr>
          <w:rFonts w:ascii="Arial" w:hAnsi="Arial" w:cs="Arial"/>
          <w:i/>
          <w:color w:val="494949"/>
          <w:lang w:val="en-GB"/>
        </w:rPr>
      </w:pPr>
      <w:r w:rsidRPr="00E41E70">
        <w:rPr>
          <w:rFonts w:ascii="Arial" w:hAnsi="Arial" w:cs="Arial"/>
          <w:i/>
          <w:color w:val="494949"/>
          <w:lang w:val="en-GB"/>
        </w:rPr>
        <w:t>(a)</w:t>
      </w:r>
      <w:r w:rsidR="004C6478">
        <w:rPr>
          <w:rFonts w:ascii="Arial" w:hAnsi="Arial" w:cs="Arial"/>
          <w:i/>
          <w:color w:val="494949"/>
          <w:lang w:val="en-GB"/>
        </w:rPr>
        <w:t xml:space="preserve"> </w:t>
      </w:r>
      <w:r w:rsidRPr="00E41E70">
        <w:rPr>
          <w:rFonts w:ascii="Arial" w:hAnsi="Arial" w:cs="Arial"/>
          <w:i/>
          <w:color w:val="494949"/>
          <w:lang w:val="en-GB"/>
        </w:rPr>
        <w:t>serve the direction on—</w:t>
      </w:r>
    </w:p>
    <w:p w14:paraId="60DB84EB" w14:textId="5D44E882" w:rsidR="005176B9" w:rsidRPr="00E41E70" w:rsidRDefault="005176B9" w:rsidP="00E41E70">
      <w:pPr>
        <w:shd w:val="clear" w:color="auto" w:fill="FFFFFF"/>
        <w:spacing w:after="120" w:line="360" w:lineRule="auto"/>
        <w:ind w:left="1440"/>
        <w:jc w:val="both"/>
        <w:rPr>
          <w:rFonts w:ascii="Arial" w:hAnsi="Arial" w:cs="Arial"/>
          <w:i/>
          <w:color w:val="494949"/>
          <w:lang w:val="en-GB"/>
        </w:rPr>
      </w:pPr>
      <w:r w:rsidRPr="00E41E70">
        <w:rPr>
          <w:rFonts w:ascii="Arial" w:hAnsi="Arial" w:cs="Arial"/>
          <w:i/>
          <w:color w:val="494949"/>
          <w:lang w:val="en-GB"/>
        </w:rPr>
        <w:t>(</w:t>
      </w:r>
      <w:r w:rsidR="004C6478">
        <w:rPr>
          <w:rFonts w:ascii="Arial" w:hAnsi="Arial" w:cs="Arial"/>
          <w:i/>
          <w:color w:val="494949"/>
          <w:lang w:val="en-GB"/>
        </w:rPr>
        <w:t>I</w:t>
      </w:r>
      <w:r w:rsidRPr="00E41E70">
        <w:rPr>
          <w:rFonts w:ascii="Arial" w:hAnsi="Arial" w:cs="Arial"/>
          <w:i/>
          <w:color w:val="494949"/>
          <w:lang w:val="en-GB"/>
        </w:rPr>
        <w:t>)</w:t>
      </w:r>
      <w:r w:rsidR="004C6478">
        <w:rPr>
          <w:rFonts w:ascii="Arial" w:hAnsi="Arial" w:cs="Arial"/>
          <w:i/>
          <w:color w:val="494949"/>
          <w:lang w:val="en-GB"/>
        </w:rPr>
        <w:t xml:space="preserve"> </w:t>
      </w:r>
      <w:r w:rsidRPr="00E41E70">
        <w:rPr>
          <w:rFonts w:ascii="Arial" w:hAnsi="Arial" w:cs="Arial"/>
          <w:i/>
          <w:color w:val="494949"/>
          <w:lang w:val="en-GB"/>
        </w:rPr>
        <w:t>the parties to the proceedings in which the direction is given; and</w:t>
      </w:r>
    </w:p>
    <w:p w14:paraId="6087055C" w14:textId="3032FE4A" w:rsidR="005176B9" w:rsidRPr="00E41E70" w:rsidRDefault="005176B9" w:rsidP="00E41E70">
      <w:pPr>
        <w:shd w:val="clear" w:color="auto" w:fill="FFFFFF"/>
        <w:spacing w:after="120" w:line="360" w:lineRule="auto"/>
        <w:ind w:left="720" w:firstLine="720"/>
        <w:jc w:val="both"/>
        <w:rPr>
          <w:rFonts w:ascii="Arial" w:hAnsi="Arial" w:cs="Arial"/>
          <w:i/>
          <w:color w:val="494949"/>
          <w:lang w:val="en-GB"/>
        </w:rPr>
      </w:pPr>
      <w:r w:rsidRPr="00E41E70">
        <w:rPr>
          <w:rFonts w:ascii="Arial" w:hAnsi="Arial" w:cs="Arial"/>
          <w:i/>
          <w:color w:val="494949"/>
          <w:lang w:val="en-GB"/>
        </w:rPr>
        <w:t>(ii)</w:t>
      </w:r>
      <w:r w:rsidR="004C6478">
        <w:rPr>
          <w:rFonts w:ascii="Arial" w:hAnsi="Arial" w:cs="Arial"/>
          <w:i/>
          <w:color w:val="494949"/>
          <w:lang w:val="en-GB"/>
        </w:rPr>
        <w:t xml:space="preserve"> </w:t>
      </w:r>
      <w:r w:rsidRPr="00E41E70">
        <w:rPr>
          <w:rFonts w:ascii="Arial" w:hAnsi="Arial" w:cs="Arial"/>
          <w:i/>
          <w:color w:val="494949"/>
          <w:lang w:val="en-GB"/>
        </w:rPr>
        <w:t>the appropriate authority where it is not a party;</w:t>
      </w:r>
    </w:p>
    <w:p w14:paraId="36E57A08" w14:textId="1187F963" w:rsidR="005176B9" w:rsidRPr="00E41E70" w:rsidRDefault="005176B9" w:rsidP="00E41E70">
      <w:pPr>
        <w:shd w:val="clear" w:color="auto" w:fill="FFFFFF"/>
        <w:spacing w:after="120" w:line="360" w:lineRule="auto"/>
        <w:ind w:left="720"/>
        <w:jc w:val="both"/>
        <w:rPr>
          <w:rFonts w:ascii="Arial" w:hAnsi="Arial" w:cs="Arial"/>
          <w:i/>
          <w:color w:val="494949"/>
          <w:lang w:val="en-GB"/>
        </w:rPr>
      </w:pPr>
      <w:r w:rsidRPr="00E41E70">
        <w:rPr>
          <w:rFonts w:ascii="Arial" w:hAnsi="Arial" w:cs="Arial"/>
          <w:i/>
          <w:color w:val="494949"/>
          <w:lang w:val="en-GB"/>
        </w:rPr>
        <w:t>(b)</w:t>
      </w:r>
      <w:r w:rsidR="004C6478">
        <w:rPr>
          <w:rFonts w:ascii="Arial" w:hAnsi="Arial" w:cs="Arial"/>
          <w:i/>
          <w:color w:val="494949"/>
          <w:lang w:val="en-GB"/>
        </w:rPr>
        <w:t xml:space="preserve"> </w:t>
      </w:r>
      <w:r w:rsidRPr="00E41E70">
        <w:rPr>
          <w:rFonts w:ascii="Arial" w:hAnsi="Arial" w:cs="Arial"/>
          <w:i/>
          <w:color w:val="494949"/>
          <w:lang w:val="en-GB"/>
        </w:rPr>
        <w:t>serve any documentary evidence directed by the court on the appropriate authority.</w:t>
      </w:r>
    </w:p>
    <w:p w14:paraId="1C87560E" w14:textId="7C6E7101" w:rsidR="005176B9" w:rsidRPr="00E41E70" w:rsidRDefault="005176B9" w:rsidP="00E41E70">
      <w:pPr>
        <w:shd w:val="clear" w:color="auto" w:fill="FFFFFF"/>
        <w:spacing w:after="120" w:line="360" w:lineRule="auto"/>
        <w:ind w:left="240"/>
        <w:jc w:val="both"/>
        <w:rPr>
          <w:rFonts w:ascii="Arial" w:hAnsi="Arial" w:cs="Arial"/>
          <w:i/>
          <w:color w:val="494949"/>
          <w:lang w:val="en-GB"/>
        </w:rPr>
      </w:pPr>
      <w:r w:rsidRPr="00E41E70">
        <w:rPr>
          <w:rFonts w:ascii="Arial" w:hAnsi="Arial" w:cs="Arial"/>
          <w:i/>
          <w:color w:val="494949"/>
          <w:lang w:val="en-GB"/>
        </w:rPr>
        <w:t xml:space="preserve">(5) Where a local authority informs the court of any of the matters set out in section 37(3)(a) to (c) of the 1989 Act it will do so in writing. </w:t>
      </w:r>
    </w:p>
    <w:p w14:paraId="0EFD2610" w14:textId="2C8D3651" w:rsidR="005176B9" w:rsidRPr="00E41E70" w:rsidRDefault="005176B9" w:rsidP="004C03C3">
      <w:pPr>
        <w:shd w:val="clear" w:color="auto" w:fill="FFFFFF"/>
        <w:spacing w:after="120" w:line="360" w:lineRule="auto"/>
        <w:ind w:firstLine="240"/>
        <w:jc w:val="both"/>
        <w:rPr>
          <w:rFonts w:ascii="Arial" w:hAnsi="Arial" w:cs="Arial"/>
          <w:i/>
          <w:color w:val="494949"/>
          <w:lang w:val="en-GB"/>
        </w:rPr>
      </w:pPr>
      <w:r w:rsidRPr="00E41E70">
        <w:rPr>
          <w:rFonts w:ascii="Arial" w:hAnsi="Arial" w:cs="Arial"/>
          <w:i/>
          <w:color w:val="494949"/>
          <w:lang w:val="en-GB"/>
        </w:rPr>
        <w:t xml:space="preserve">(6) Unless the court directs otherwise, the court officer will serve a copy of any report to the court under section 37 of the 1989 Act on the parties. </w:t>
      </w:r>
    </w:p>
    <w:p w14:paraId="20A9F886" w14:textId="77777777" w:rsidR="005176B9" w:rsidRPr="00E41E70" w:rsidRDefault="005176B9" w:rsidP="004C03C3">
      <w:pPr>
        <w:shd w:val="clear" w:color="auto" w:fill="FFFFFF"/>
        <w:spacing w:after="120" w:line="360" w:lineRule="auto"/>
        <w:jc w:val="both"/>
        <w:outlineLvl w:val="3"/>
        <w:rPr>
          <w:rFonts w:ascii="Arial" w:eastAsia="Times New Roman" w:hAnsi="Arial" w:cs="Arial"/>
          <w:bCs/>
          <w:color w:val="000000"/>
          <w:lang w:val="en-GB"/>
        </w:rPr>
      </w:pPr>
    </w:p>
    <w:p w14:paraId="3CE55D13" w14:textId="17075959" w:rsidR="00663797" w:rsidRDefault="004B2FC5" w:rsidP="004C03C3">
      <w:pPr>
        <w:spacing w:line="360" w:lineRule="auto"/>
        <w:jc w:val="both"/>
        <w:rPr>
          <w:rFonts w:ascii="Arial" w:hAnsi="Arial" w:cs="Arial"/>
        </w:rPr>
      </w:pPr>
      <w:r w:rsidRPr="00E41E70">
        <w:rPr>
          <w:rFonts w:ascii="Arial" w:hAnsi="Arial" w:cs="Arial"/>
        </w:rPr>
        <w:t>Furthermore, as per paragraph 14.13 Practice Direction 12B FPR 2010, i</w:t>
      </w:r>
      <w:r w:rsidR="005176B9" w:rsidRPr="00E41E70">
        <w:rPr>
          <w:rFonts w:ascii="Arial" w:hAnsi="Arial" w:cs="Arial"/>
        </w:rPr>
        <w:t xml:space="preserve">t is a requirement of the Child Arrangements Programme (CAP) </w:t>
      </w:r>
      <w:r w:rsidR="00C654C3" w:rsidRPr="00E41E70">
        <w:rPr>
          <w:rFonts w:ascii="Arial" w:hAnsi="Arial" w:cs="Arial"/>
        </w:rPr>
        <w:t xml:space="preserve">that </w:t>
      </w:r>
      <w:r w:rsidR="005176B9" w:rsidRPr="00E41E70">
        <w:rPr>
          <w:rFonts w:ascii="Arial" w:hAnsi="Arial" w:cs="Arial"/>
        </w:rPr>
        <w:t xml:space="preserve">the need for a s37 investigation be considered </w:t>
      </w:r>
      <w:r w:rsidRPr="00E41E70">
        <w:rPr>
          <w:rFonts w:ascii="Arial" w:hAnsi="Arial" w:cs="Arial"/>
        </w:rPr>
        <w:t>at the First Hearing Dispute Resolution Appointment (FHDRA).</w:t>
      </w:r>
    </w:p>
    <w:p w14:paraId="0FFB681A" w14:textId="77777777" w:rsidR="00663797" w:rsidRDefault="00663797" w:rsidP="004C03C3">
      <w:pPr>
        <w:spacing w:line="360" w:lineRule="auto"/>
        <w:jc w:val="both"/>
        <w:rPr>
          <w:rFonts w:ascii="Arial" w:hAnsi="Arial" w:cs="Arial"/>
        </w:rPr>
      </w:pPr>
    </w:p>
    <w:p w14:paraId="46BE9EAF" w14:textId="1AAEBF16" w:rsidR="004B2FC5" w:rsidRPr="00663797" w:rsidRDefault="004B2FC5" w:rsidP="004C03C3">
      <w:pPr>
        <w:spacing w:line="360" w:lineRule="auto"/>
        <w:jc w:val="both"/>
        <w:rPr>
          <w:rFonts w:ascii="Arial" w:hAnsi="Arial" w:cs="Arial"/>
        </w:rPr>
      </w:pPr>
      <w:r w:rsidRPr="00E41E70">
        <w:rPr>
          <w:rFonts w:ascii="Arial" w:hAnsi="Arial" w:cs="Arial"/>
          <w:b/>
          <w:u w:val="single"/>
        </w:rPr>
        <w:t>Best Practic</w:t>
      </w:r>
      <w:r w:rsidR="0027568B">
        <w:rPr>
          <w:rFonts w:ascii="Arial" w:hAnsi="Arial" w:cs="Arial"/>
          <w:b/>
          <w:u w:val="single"/>
        </w:rPr>
        <w:t>e Guidance on s37(1) directions</w:t>
      </w:r>
    </w:p>
    <w:p w14:paraId="19DA66FC" w14:textId="77777777" w:rsidR="004B2FC5" w:rsidRPr="00E41E70" w:rsidRDefault="004B2FC5" w:rsidP="004C03C3">
      <w:pPr>
        <w:spacing w:line="360" w:lineRule="auto"/>
        <w:jc w:val="both"/>
        <w:rPr>
          <w:rFonts w:ascii="Arial" w:hAnsi="Arial" w:cs="Arial"/>
        </w:rPr>
      </w:pPr>
    </w:p>
    <w:p w14:paraId="6AAD9475" w14:textId="77777777" w:rsidR="004B2FC5" w:rsidRPr="00E41E70" w:rsidRDefault="004B2FC5" w:rsidP="004C03C3">
      <w:pPr>
        <w:pStyle w:val="ListParagraph"/>
        <w:numPr>
          <w:ilvl w:val="0"/>
          <w:numId w:val="1"/>
        </w:numPr>
        <w:spacing w:line="360" w:lineRule="auto"/>
        <w:jc w:val="both"/>
        <w:rPr>
          <w:rFonts w:ascii="Arial" w:hAnsi="Arial" w:cs="Arial"/>
        </w:rPr>
      </w:pPr>
      <w:r w:rsidRPr="00E41E70">
        <w:rPr>
          <w:rFonts w:ascii="Arial" w:hAnsi="Arial" w:cs="Arial"/>
        </w:rPr>
        <w:t>A direction under s37(1) is appropriate where the Court desires an investigation because ‘it appears that it may be appropriate for a Care or Supervision Order to be made’.</w:t>
      </w:r>
    </w:p>
    <w:p w14:paraId="20252E36" w14:textId="2BB759DB" w:rsidR="004B2FC5" w:rsidRPr="00E41E70" w:rsidRDefault="004B2FC5" w:rsidP="004C03C3">
      <w:pPr>
        <w:pStyle w:val="ListParagraph"/>
        <w:numPr>
          <w:ilvl w:val="0"/>
          <w:numId w:val="1"/>
        </w:numPr>
        <w:spacing w:line="360" w:lineRule="auto"/>
        <w:jc w:val="both"/>
        <w:rPr>
          <w:rFonts w:ascii="Arial" w:hAnsi="Arial" w:cs="Arial"/>
        </w:rPr>
      </w:pPr>
      <w:r w:rsidRPr="00E41E70">
        <w:rPr>
          <w:rFonts w:ascii="Arial" w:hAnsi="Arial" w:cs="Arial"/>
        </w:rPr>
        <w:t>A direction under s37(1) is not lawful unless it appears to the Court that a Care or Supervision Order may be appropriate.  Thus, in private law proceedings, a direction under s37(1) should not be used as a device for the purpose of enabling the Court to appoint a Guardian.  Unless ‘it appears to the Court that it may be appropriate for a Care or Supervision Order to be made’, any referral for a welfare investigation should be made under s7.</w:t>
      </w:r>
    </w:p>
    <w:p w14:paraId="4D6AA210" w14:textId="73643786" w:rsidR="004B2FC5" w:rsidRPr="00E41E70" w:rsidRDefault="004B2FC5" w:rsidP="004C03C3">
      <w:pPr>
        <w:pStyle w:val="ListParagraph"/>
        <w:numPr>
          <w:ilvl w:val="0"/>
          <w:numId w:val="1"/>
        </w:numPr>
        <w:spacing w:line="360" w:lineRule="auto"/>
        <w:jc w:val="both"/>
        <w:rPr>
          <w:rFonts w:ascii="Arial" w:hAnsi="Arial" w:cs="Arial"/>
        </w:rPr>
      </w:pPr>
      <w:r w:rsidRPr="00E41E70">
        <w:rPr>
          <w:rFonts w:ascii="Arial" w:hAnsi="Arial" w:cs="Arial"/>
        </w:rPr>
        <w:t xml:space="preserve">The purpose of a s37(1) direction is to enable the Court to cause the Local Authority to assess whether a Care or Supervision Order is needed.  It is not to obtain a general welfare report.  However, the making of a s37(1) direction will also cause the Local Authority to consider whether and which child welfare support services should be provided by the Local </w:t>
      </w:r>
      <w:r w:rsidR="00C654C3" w:rsidRPr="00E41E70">
        <w:rPr>
          <w:rFonts w:ascii="Arial" w:hAnsi="Arial" w:cs="Arial"/>
        </w:rPr>
        <w:t>Authority</w:t>
      </w:r>
      <w:r w:rsidRPr="00E41E70">
        <w:rPr>
          <w:rFonts w:ascii="Arial" w:hAnsi="Arial" w:cs="Arial"/>
        </w:rPr>
        <w:t>, or other action taken, as well as or instead of a Care or Supervision Order.</w:t>
      </w:r>
    </w:p>
    <w:p w14:paraId="0ED80E7E" w14:textId="77777777" w:rsidR="004B2FC5" w:rsidRPr="00E41E70" w:rsidRDefault="004B2FC5" w:rsidP="004C03C3">
      <w:pPr>
        <w:pStyle w:val="ListParagraph"/>
        <w:numPr>
          <w:ilvl w:val="0"/>
          <w:numId w:val="1"/>
        </w:numPr>
        <w:spacing w:line="360" w:lineRule="auto"/>
        <w:jc w:val="both"/>
        <w:rPr>
          <w:rFonts w:ascii="Arial" w:hAnsi="Arial" w:cs="Arial"/>
        </w:rPr>
      </w:pPr>
      <w:r w:rsidRPr="00E41E70">
        <w:rPr>
          <w:rFonts w:ascii="Arial" w:hAnsi="Arial" w:cs="Arial"/>
        </w:rPr>
        <w:t xml:space="preserve">Upon a direction under s37, the Local Authority must report back within 8 weeks unless the Court otherwise directs.  </w:t>
      </w:r>
    </w:p>
    <w:p w14:paraId="11B0A09D" w14:textId="77777777" w:rsidR="004B2FC5" w:rsidRPr="00E41E70" w:rsidRDefault="004B2FC5" w:rsidP="004C03C3">
      <w:pPr>
        <w:spacing w:line="360" w:lineRule="auto"/>
        <w:jc w:val="both"/>
        <w:rPr>
          <w:rFonts w:ascii="Arial" w:hAnsi="Arial" w:cs="Arial"/>
        </w:rPr>
      </w:pPr>
    </w:p>
    <w:p w14:paraId="400E5A49" w14:textId="77777777" w:rsidR="00BF44D3" w:rsidRPr="00E41E70" w:rsidRDefault="00BF44D3" w:rsidP="004C03C3">
      <w:pPr>
        <w:spacing w:line="360" w:lineRule="auto"/>
        <w:jc w:val="both"/>
        <w:rPr>
          <w:rFonts w:ascii="Arial" w:hAnsi="Arial" w:cs="Arial"/>
          <w:b/>
          <w:u w:val="single"/>
        </w:rPr>
      </w:pPr>
      <w:r w:rsidRPr="00E41E70">
        <w:rPr>
          <w:rFonts w:ascii="Arial" w:hAnsi="Arial" w:cs="Arial"/>
          <w:b/>
          <w:u w:val="single"/>
        </w:rPr>
        <w:t>Appointment of a Children’s Guardian</w:t>
      </w:r>
    </w:p>
    <w:p w14:paraId="01AA85A7" w14:textId="3F528606" w:rsidR="00BF44D3" w:rsidRPr="00E41E70" w:rsidRDefault="00BF44D3" w:rsidP="004C03C3">
      <w:pPr>
        <w:spacing w:line="360" w:lineRule="auto"/>
        <w:jc w:val="both"/>
        <w:rPr>
          <w:rFonts w:ascii="Arial" w:hAnsi="Arial" w:cs="Arial"/>
        </w:rPr>
      </w:pPr>
    </w:p>
    <w:p w14:paraId="05D61710" w14:textId="03EF9476" w:rsidR="00BF44D3" w:rsidRPr="00E41E70" w:rsidRDefault="00BF44D3" w:rsidP="004C03C3">
      <w:pPr>
        <w:spacing w:line="360" w:lineRule="auto"/>
        <w:jc w:val="both"/>
        <w:rPr>
          <w:rFonts w:ascii="Arial" w:hAnsi="Arial" w:cs="Arial"/>
        </w:rPr>
      </w:pPr>
      <w:r w:rsidRPr="00E41E70">
        <w:rPr>
          <w:rFonts w:ascii="Arial" w:hAnsi="Arial" w:cs="Arial"/>
        </w:rPr>
        <w:t>There are certain cases that, upon issue, the Court is required to consider the appointment of a Children’s Guardian to represent the interests of the subject chi</w:t>
      </w:r>
      <w:r w:rsidR="00E41E70">
        <w:rPr>
          <w:rFonts w:ascii="Arial" w:hAnsi="Arial" w:cs="Arial"/>
        </w:rPr>
        <w:t>ld/ren (S41 Children Act 1989).</w:t>
      </w:r>
      <w:r w:rsidRPr="00E41E70">
        <w:rPr>
          <w:rFonts w:ascii="Arial" w:hAnsi="Arial" w:cs="Arial"/>
        </w:rPr>
        <w:t xml:space="preserve"> This applies as follows:</w:t>
      </w:r>
    </w:p>
    <w:p w14:paraId="013F678F" w14:textId="77777777" w:rsidR="00BF44D3" w:rsidRPr="00E41E70" w:rsidRDefault="00BF44D3" w:rsidP="004C03C3">
      <w:pPr>
        <w:spacing w:line="360" w:lineRule="auto"/>
        <w:jc w:val="both"/>
        <w:rPr>
          <w:rFonts w:ascii="Arial" w:hAnsi="Arial" w:cs="Arial"/>
        </w:rPr>
      </w:pPr>
    </w:p>
    <w:p w14:paraId="78747988" w14:textId="28BD1AD8" w:rsidR="00BF44D3" w:rsidRPr="00E41E70" w:rsidRDefault="00BF44D3" w:rsidP="004C6478">
      <w:pPr>
        <w:spacing w:line="360" w:lineRule="auto"/>
        <w:jc w:val="both"/>
        <w:rPr>
          <w:rFonts w:ascii="Arial" w:eastAsia="Times New Roman" w:hAnsi="Arial" w:cs="Arial"/>
          <w:i/>
          <w:color w:val="000000"/>
          <w:shd w:val="clear" w:color="auto" w:fill="FFFFFF"/>
          <w:lang w:val="en-GB"/>
        </w:rPr>
      </w:pPr>
      <w:r w:rsidRPr="002519E7">
        <w:rPr>
          <w:rFonts w:ascii="Arial" w:eastAsia="Times New Roman" w:hAnsi="Arial" w:cs="Arial"/>
          <w:i/>
          <w:color w:val="000000"/>
          <w:shd w:val="clear" w:color="auto" w:fill="FFFFFF"/>
          <w:lang w:val="en-GB"/>
        </w:rPr>
        <w:t>(b)</w:t>
      </w:r>
      <w:r w:rsidR="006E0AE7" w:rsidRPr="002519E7">
        <w:rPr>
          <w:rFonts w:ascii="Arial" w:eastAsia="Times New Roman" w:hAnsi="Arial" w:cs="Arial"/>
          <w:i/>
          <w:color w:val="000000"/>
          <w:shd w:val="clear" w:color="auto" w:fill="FFFFFF"/>
          <w:lang w:val="en-GB"/>
        </w:rPr>
        <w:t xml:space="preserve"> </w:t>
      </w:r>
      <w:r w:rsidRPr="002519E7">
        <w:rPr>
          <w:rFonts w:ascii="Arial" w:eastAsia="Times New Roman" w:hAnsi="Arial" w:cs="Arial"/>
          <w:i/>
          <w:color w:val="000000"/>
          <w:shd w:val="clear" w:color="auto" w:fill="FFFFFF"/>
          <w:lang w:val="en-GB"/>
        </w:rPr>
        <w:t>in which</w:t>
      </w:r>
      <w:r w:rsidRPr="00E41E70">
        <w:rPr>
          <w:rFonts w:ascii="Arial" w:eastAsia="Times New Roman" w:hAnsi="Arial" w:cs="Arial"/>
          <w:i/>
          <w:color w:val="000000"/>
          <w:shd w:val="clear" w:color="auto" w:fill="FFFFFF"/>
          <w:lang w:val="en-GB"/>
        </w:rPr>
        <w:t xml:space="preserve"> the court has given a direction under section 37(1) and has made, or is considering whether to make, an interim care or</w:t>
      </w:r>
      <w:r w:rsidRPr="00663797">
        <w:rPr>
          <w:rFonts w:ascii="Arial" w:eastAsia="Times New Roman" w:hAnsi="Arial" w:cs="Arial"/>
          <w:i/>
          <w:color w:val="000000"/>
          <w:shd w:val="clear" w:color="auto" w:fill="FFFFFF"/>
          <w:lang w:val="en-GB"/>
        </w:rPr>
        <w:t>d</w:t>
      </w:r>
      <w:r w:rsidR="00663797" w:rsidRPr="00663797">
        <w:rPr>
          <w:rFonts w:ascii="Arial" w:eastAsia="Times New Roman" w:hAnsi="Arial" w:cs="Arial"/>
          <w:i/>
          <w:color w:val="000000"/>
          <w:shd w:val="clear" w:color="auto" w:fill="FFFFFF"/>
          <w:lang w:val="en-GB"/>
        </w:rPr>
        <w:t>er</w:t>
      </w:r>
    </w:p>
    <w:p w14:paraId="276747E1" w14:textId="24F27050" w:rsidR="00BF44D3" w:rsidRPr="00E41E70" w:rsidRDefault="00BF44D3" w:rsidP="004C03C3">
      <w:pPr>
        <w:spacing w:line="360" w:lineRule="auto"/>
        <w:jc w:val="both"/>
        <w:rPr>
          <w:rFonts w:ascii="Arial" w:eastAsia="Times New Roman" w:hAnsi="Arial" w:cs="Arial"/>
          <w:color w:val="000000"/>
          <w:shd w:val="clear" w:color="auto" w:fill="FFFFFF"/>
          <w:lang w:val="en-GB"/>
        </w:rPr>
      </w:pPr>
    </w:p>
    <w:p w14:paraId="403D4965" w14:textId="77777777" w:rsidR="00BF44D3" w:rsidRPr="00E41E70" w:rsidRDefault="00BF44D3"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 xml:space="preserve">This requirement is time limited to when the s37(1) direction has been complied with.  </w:t>
      </w:r>
    </w:p>
    <w:p w14:paraId="3744A45D" w14:textId="35F75EEF" w:rsidR="00C654C3" w:rsidRPr="00E41E70" w:rsidRDefault="00C654C3"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(The question of whether a Children’s Guardian is required for a longer period is governed by r16.4 FPR 2010).</w:t>
      </w:r>
    </w:p>
    <w:p w14:paraId="435D9D11" w14:textId="77777777" w:rsidR="00BF44D3" w:rsidRPr="00E41E70" w:rsidRDefault="00BF44D3" w:rsidP="004C03C3">
      <w:pPr>
        <w:spacing w:line="360" w:lineRule="auto"/>
        <w:jc w:val="both"/>
        <w:rPr>
          <w:rFonts w:ascii="Arial" w:eastAsia="Times New Roman" w:hAnsi="Arial" w:cs="Arial"/>
          <w:color w:val="000000"/>
          <w:shd w:val="clear" w:color="auto" w:fill="FFFFFF"/>
          <w:lang w:val="en-GB"/>
        </w:rPr>
      </w:pPr>
    </w:p>
    <w:p w14:paraId="795F7694" w14:textId="3C4D6D9A" w:rsidR="00BF44D3" w:rsidRPr="00E41E70" w:rsidRDefault="00BF44D3" w:rsidP="004C03C3">
      <w:pPr>
        <w:spacing w:line="360" w:lineRule="auto"/>
        <w:jc w:val="both"/>
        <w:rPr>
          <w:rFonts w:ascii="Arial" w:eastAsia="Times New Roman" w:hAnsi="Arial" w:cs="Arial"/>
          <w:b/>
          <w:color w:val="000000"/>
          <w:u w:val="single"/>
          <w:shd w:val="clear" w:color="auto" w:fill="FFFFFF"/>
          <w:lang w:val="en-GB"/>
        </w:rPr>
      </w:pPr>
      <w:r w:rsidRPr="00E41E70">
        <w:rPr>
          <w:rFonts w:ascii="Arial" w:eastAsia="Times New Roman" w:hAnsi="Arial" w:cs="Arial"/>
          <w:b/>
          <w:color w:val="000000"/>
          <w:u w:val="single"/>
          <w:shd w:val="clear" w:color="auto" w:fill="FFFFFF"/>
          <w:lang w:val="en-GB"/>
        </w:rPr>
        <w:t xml:space="preserve">Communication to Local </w:t>
      </w:r>
      <w:r w:rsidR="004C6478">
        <w:rPr>
          <w:rFonts w:ascii="Arial" w:eastAsia="Times New Roman" w:hAnsi="Arial" w:cs="Arial"/>
          <w:b/>
          <w:color w:val="000000"/>
          <w:u w:val="single"/>
          <w:shd w:val="clear" w:color="auto" w:fill="FFFFFF"/>
          <w:lang w:val="en-GB"/>
        </w:rPr>
        <w:t>Authority of a s37(1) direction</w:t>
      </w:r>
    </w:p>
    <w:p w14:paraId="5E551110" w14:textId="77777777" w:rsidR="00BF44D3" w:rsidRPr="00E41E70" w:rsidRDefault="00BF44D3" w:rsidP="004C03C3">
      <w:pPr>
        <w:spacing w:line="360" w:lineRule="auto"/>
        <w:jc w:val="both"/>
        <w:rPr>
          <w:rFonts w:ascii="Arial" w:eastAsia="Times New Roman" w:hAnsi="Arial" w:cs="Arial"/>
          <w:color w:val="000000"/>
          <w:shd w:val="clear" w:color="auto" w:fill="FFFFFF"/>
          <w:lang w:val="en-GB"/>
        </w:rPr>
      </w:pPr>
    </w:p>
    <w:p w14:paraId="007C720D" w14:textId="40E7371E" w:rsidR="00BF44D3" w:rsidRPr="00E41E70" w:rsidRDefault="00BC7201"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 xml:space="preserve">It is important that whenever a Court makes a s37(1) direction, the Local Authority should be informed as </w:t>
      </w:r>
      <w:r w:rsidR="00C654C3" w:rsidRPr="00E41E70">
        <w:rPr>
          <w:rFonts w:ascii="Arial" w:eastAsia="Times New Roman" w:hAnsi="Arial" w:cs="Arial"/>
          <w:color w:val="000000"/>
          <w:shd w:val="clear" w:color="auto" w:fill="FFFFFF"/>
          <w:lang w:val="en-GB"/>
        </w:rPr>
        <w:t>quickly</w:t>
      </w:r>
      <w:r w:rsidRPr="00E41E70">
        <w:rPr>
          <w:rFonts w:ascii="Arial" w:eastAsia="Times New Roman" w:hAnsi="Arial" w:cs="Arial"/>
          <w:color w:val="000000"/>
          <w:shd w:val="clear" w:color="auto" w:fill="FFFFFF"/>
          <w:lang w:val="en-GB"/>
        </w:rPr>
        <w:t xml:space="preserve"> as possible.</w:t>
      </w:r>
      <w:r w:rsidR="00886D2A" w:rsidRPr="00E41E70">
        <w:rPr>
          <w:rFonts w:ascii="Arial" w:eastAsia="Times New Roman" w:hAnsi="Arial" w:cs="Arial"/>
          <w:color w:val="000000"/>
          <w:shd w:val="clear" w:color="auto" w:fill="FFFFFF"/>
          <w:lang w:val="en-GB"/>
        </w:rPr>
        <w:t xml:space="preserve">  Thereafter, the rules require that a copy of the s37(1) direction shall be served on the Local Authority as soon as practicable.  In addition, the Court must direct which parts of the documentary evidence should be served on the Local Authority.</w:t>
      </w:r>
    </w:p>
    <w:p w14:paraId="3EDF0ADB" w14:textId="77777777" w:rsidR="00886D2A" w:rsidRPr="00E41E70" w:rsidRDefault="00886D2A" w:rsidP="004C03C3">
      <w:pPr>
        <w:spacing w:line="360" w:lineRule="auto"/>
        <w:jc w:val="both"/>
        <w:rPr>
          <w:rFonts w:ascii="Arial" w:eastAsia="Times New Roman" w:hAnsi="Arial" w:cs="Arial"/>
          <w:color w:val="000000"/>
          <w:shd w:val="clear" w:color="auto" w:fill="FFFFFF"/>
          <w:lang w:val="en-GB"/>
        </w:rPr>
      </w:pPr>
    </w:p>
    <w:p w14:paraId="3E542236" w14:textId="78C557E1" w:rsidR="00886D2A" w:rsidRPr="00E41E70" w:rsidRDefault="00886D2A"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Furthermore, the Court must spell out the reasons for making the s37 order very carefully and a transcript (or very full note) of the judgment should be made available to the Local Authority at the earliest opportunity.  It is not sufficient for the Local Authority simply to be told that the Judge has Ordered a s37 report.  The Court should be clear about how, and by whom, the Order is going to be communicated to the Local Authority.</w:t>
      </w:r>
    </w:p>
    <w:p w14:paraId="3CB14C35" w14:textId="77777777" w:rsidR="00886D2A" w:rsidRPr="00E41E70" w:rsidRDefault="00886D2A" w:rsidP="004C03C3">
      <w:pPr>
        <w:spacing w:line="360" w:lineRule="auto"/>
        <w:jc w:val="both"/>
        <w:rPr>
          <w:rFonts w:ascii="Arial" w:eastAsia="Times New Roman" w:hAnsi="Arial" w:cs="Arial"/>
          <w:color w:val="000000"/>
          <w:shd w:val="clear" w:color="auto" w:fill="FFFFFF"/>
          <w:lang w:val="en-GB"/>
        </w:rPr>
      </w:pPr>
    </w:p>
    <w:p w14:paraId="45C94FA5" w14:textId="65DA45C7" w:rsidR="00886D2A" w:rsidRPr="00E41E70" w:rsidRDefault="00886D2A" w:rsidP="004C03C3">
      <w:pPr>
        <w:spacing w:line="360" w:lineRule="auto"/>
        <w:jc w:val="both"/>
        <w:rPr>
          <w:rFonts w:ascii="Arial" w:eastAsia="Times New Roman" w:hAnsi="Arial" w:cs="Arial"/>
          <w:b/>
          <w:color w:val="000000"/>
          <w:u w:val="single"/>
          <w:shd w:val="clear" w:color="auto" w:fill="FFFFFF"/>
          <w:lang w:val="en-GB"/>
        </w:rPr>
      </w:pPr>
      <w:r w:rsidRPr="00E41E70">
        <w:rPr>
          <w:rFonts w:ascii="Arial" w:eastAsia="Times New Roman" w:hAnsi="Arial" w:cs="Arial"/>
          <w:b/>
          <w:color w:val="000000"/>
          <w:u w:val="single"/>
          <w:shd w:val="clear" w:color="auto" w:fill="FFFFFF"/>
          <w:lang w:val="en-GB"/>
        </w:rPr>
        <w:t>Risks</w:t>
      </w:r>
    </w:p>
    <w:p w14:paraId="57013EFD" w14:textId="77777777" w:rsidR="00886D2A" w:rsidRPr="00E41E70" w:rsidRDefault="00886D2A" w:rsidP="004C03C3">
      <w:pPr>
        <w:spacing w:line="360" w:lineRule="auto"/>
        <w:jc w:val="both"/>
        <w:rPr>
          <w:rFonts w:ascii="Arial" w:eastAsia="Times New Roman" w:hAnsi="Arial" w:cs="Arial"/>
          <w:color w:val="000000"/>
          <w:shd w:val="clear" w:color="auto" w:fill="FFFFFF"/>
          <w:lang w:val="en-GB"/>
        </w:rPr>
      </w:pPr>
    </w:p>
    <w:p w14:paraId="01B3C348" w14:textId="79E7DA00" w:rsidR="00886D2A" w:rsidRPr="00E41E70" w:rsidRDefault="00886D2A"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 xml:space="preserve">The ‘child’s circumstances’ under s37(1) must be widely construed and should include any situation which might have a bearing on the child being likely to suffer significant harm in the future.  However, the Court must not fetter the Local Authority in the execution of its statutory function under s37.  </w:t>
      </w:r>
    </w:p>
    <w:p w14:paraId="1706C608" w14:textId="77777777" w:rsidR="00886D2A" w:rsidRPr="00E41E70" w:rsidRDefault="00886D2A" w:rsidP="004C03C3">
      <w:pPr>
        <w:spacing w:line="360" w:lineRule="auto"/>
        <w:jc w:val="both"/>
        <w:rPr>
          <w:rFonts w:ascii="Arial" w:eastAsia="Times New Roman" w:hAnsi="Arial" w:cs="Arial"/>
          <w:color w:val="000000"/>
          <w:shd w:val="clear" w:color="auto" w:fill="FFFFFF"/>
          <w:lang w:val="en-GB"/>
        </w:rPr>
      </w:pPr>
    </w:p>
    <w:p w14:paraId="5C6363B9" w14:textId="77777777" w:rsidR="0027568B" w:rsidRDefault="00886D2A"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 xml:space="preserve">Section 37 can be used in intractable contact disputes to remove children who are being denied all contact with the parent with whom they are not living and are suffering significant harm because of the false and distorted belief system of the parent with whom the child is living about the other parent.  However, </w:t>
      </w:r>
      <w:r w:rsidR="00A77BC2" w:rsidRPr="00E41E70">
        <w:rPr>
          <w:rFonts w:ascii="Arial" w:eastAsia="Times New Roman" w:hAnsi="Arial" w:cs="Arial"/>
          <w:color w:val="000000"/>
          <w:shd w:val="clear" w:color="auto" w:fill="FFFFFF"/>
          <w:lang w:val="en-GB"/>
        </w:rPr>
        <w:t>the use of s37 in this type of situation must only be used when the circumstances truly justify it.</w:t>
      </w:r>
    </w:p>
    <w:p w14:paraId="4183A7A5" w14:textId="6503C32C" w:rsidR="00A23555" w:rsidRPr="00E41E70" w:rsidRDefault="00A23555"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b/>
          <w:color w:val="000000"/>
          <w:u w:val="single"/>
          <w:shd w:val="clear" w:color="auto" w:fill="FFFFFF"/>
          <w:lang w:val="en-GB"/>
        </w:rPr>
        <w:t>What to avoid</w:t>
      </w:r>
    </w:p>
    <w:p w14:paraId="48186725" w14:textId="77777777" w:rsidR="00A23555" w:rsidRPr="00E41E70" w:rsidRDefault="00A23555" w:rsidP="004C03C3">
      <w:pPr>
        <w:spacing w:line="360" w:lineRule="auto"/>
        <w:jc w:val="both"/>
        <w:rPr>
          <w:rFonts w:ascii="Arial" w:eastAsia="Times New Roman" w:hAnsi="Arial" w:cs="Arial"/>
          <w:color w:val="000000"/>
          <w:shd w:val="clear" w:color="auto" w:fill="FFFFFF"/>
          <w:lang w:val="en-GB"/>
        </w:rPr>
      </w:pPr>
    </w:p>
    <w:p w14:paraId="6B39DE37" w14:textId="14B2E018" w:rsidR="00A23555" w:rsidRPr="00E41E70" w:rsidRDefault="00A23555"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 xml:space="preserve">A s37 direction </w:t>
      </w:r>
      <w:r w:rsidRPr="00E41E70">
        <w:rPr>
          <w:rFonts w:ascii="Arial" w:eastAsia="Times New Roman" w:hAnsi="Arial" w:cs="Arial"/>
          <w:color w:val="000000"/>
          <w:u w:val="single"/>
          <w:shd w:val="clear" w:color="auto" w:fill="FFFFFF"/>
          <w:lang w:val="en-GB"/>
        </w:rPr>
        <w:t>is not</w:t>
      </w:r>
      <w:r w:rsidRPr="00E41E70">
        <w:rPr>
          <w:rFonts w:ascii="Arial" w:eastAsia="Times New Roman" w:hAnsi="Arial" w:cs="Arial"/>
          <w:color w:val="000000"/>
          <w:shd w:val="clear" w:color="auto" w:fill="FFFFFF"/>
          <w:lang w:val="en-GB"/>
        </w:rPr>
        <w:t xml:space="preserve"> a s7 direction.  The Local Authority is not being asked to consider child arrangements or to provide an overview of the s1(3) welfare checklist.  S37 is prescriptive; helpfully setting out exactly what is to be considered.  </w:t>
      </w:r>
    </w:p>
    <w:p w14:paraId="1D710AAA" w14:textId="77777777" w:rsidR="00A23555" w:rsidRPr="00E41E70" w:rsidRDefault="00A23555" w:rsidP="004C03C3">
      <w:pPr>
        <w:spacing w:line="360" w:lineRule="auto"/>
        <w:jc w:val="both"/>
        <w:rPr>
          <w:rFonts w:ascii="Arial" w:eastAsia="Times New Roman" w:hAnsi="Arial" w:cs="Arial"/>
          <w:color w:val="000000"/>
          <w:shd w:val="clear" w:color="auto" w:fill="FFFFFF"/>
          <w:lang w:val="en-GB"/>
        </w:rPr>
      </w:pPr>
    </w:p>
    <w:p w14:paraId="2D4BC55F" w14:textId="5E7891E8" w:rsidR="00A23555" w:rsidRPr="00E41E70" w:rsidRDefault="00A23555"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The investigation to be undertaken should be completed by a Social Worker with a clear understanding of Care/Supervision proceedings.  The Court cannot require a Local Authority to issue proceedings but the author of the report should set out their careful analysis of the risks identified by the Court. A report concluding with ‘no further role for the Local Authority’ is unlikely to be considered acceptable.</w:t>
      </w:r>
      <w:r w:rsidR="00C654C3" w:rsidRPr="00E41E70">
        <w:rPr>
          <w:rFonts w:ascii="Arial" w:eastAsia="Times New Roman" w:hAnsi="Arial" w:cs="Arial"/>
          <w:color w:val="000000"/>
          <w:shd w:val="clear" w:color="auto" w:fill="FFFFFF"/>
          <w:lang w:val="en-GB"/>
        </w:rPr>
        <w:t xml:space="preserve">  </w:t>
      </w:r>
    </w:p>
    <w:p w14:paraId="52826B57" w14:textId="77777777" w:rsidR="00C654C3" w:rsidRPr="00E41E70" w:rsidRDefault="00C654C3" w:rsidP="004C03C3">
      <w:pPr>
        <w:spacing w:line="360" w:lineRule="auto"/>
        <w:jc w:val="both"/>
        <w:rPr>
          <w:rFonts w:ascii="Arial" w:eastAsia="Times New Roman" w:hAnsi="Arial" w:cs="Arial"/>
          <w:color w:val="000000"/>
          <w:shd w:val="clear" w:color="auto" w:fill="FFFFFF"/>
          <w:lang w:val="en-GB"/>
        </w:rPr>
      </w:pPr>
    </w:p>
    <w:p w14:paraId="03329F8C" w14:textId="77777777" w:rsidR="00C654C3" w:rsidRPr="00E41E70" w:rsidRDefault="00C654C3"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 xml:space="preserve">A s37 investigation requires multi-agency involvement.  Liaison only with the adult parties and subject children will not enable the Local Authority to answer the question of whether public law proceedings need to be issued.  </w:t>
      </w:r>
    </w:p>
    <w:p w14:paraId="79D2DBD6" w14:textId="77777777" w:rsidR="00C654C3" w:rsidRPr="00E41E70" w:rsidRDefault="00C654C3" w:rsidP="004C03C3">
      <w:pPr>
        <w:spacing w:line="360" w:lineRule="auto"/>
        <w:jc w:val="both"/>
        <w:rPr>
          <w:rFonts w:ascii="Arial" w:eastAsia="Times New Roman" w:hAnsi="Arial" w:cs="Arial"/>
          <w:color w:val="000000"/>
          <w:shd w:val="clear" w:color="auto" w:fill="FFFFFF"/>
          <w:lang w:val="en-GB"/>
        </w:rPr>
      </w:pPr>
    </w:p>
    <w:p w14:paraId="705CBE52" w14:textId="0AA1D67F" w:rsidR="00C654C3" w:rsidRPr="00E41E70" w:rsidRDefault="00C654C3"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A s37 investigation is not a small piece of work; hence the Statute providing 8 weeks for the Local Authority to conduct their enquiries.  Swift allocation of the case should occur following notification being provided to the Local Authority.</w:t>
      </w:r>
    </w:p>
    <w:p w14:paraId="7DAE7E54" w14:textId="77777777" w:rsidR="00C654C3" w:rsidRPr="00E41E70" w:rsidRDefault="00C654C3" w:rsidP="004C03C3">
      <w:pPr>
        <w:spacing w:line="360" w:lineRule="auto"/>
        <w:jc w:val="both"/>
        <w:rPr>
          <w:rFonts w:ascii="Arial" w:eastAsia="Times New Roman" w:hAnsi="Arial" w:cs="Arial"/>
          <w:color w:val="000000"/>
          <w:shd w:val="clear" w:color="auto" w:fill="FFFFFF"/>
          <w:lang w:val="en-GB"/>
        </w:rPr>
      </w:pPr>
    </w:p>
    <w:p w14:paraId="2A316590" w14:textId="4FF9B0AE" w:rsidR="00C654C3" w:rsidRPr="00E41E70" w:rsidRDefault="00C654C3" w:rsidP="004C03C3">
      <w:pPr>
        <w:spacing w:line="360" w:lineRule="auto"/>
        <w:jc w:val="both"/>
        <w:rPr>
          <w:rFonts w:ascii="Arial" w:eastAsia="Times New Roman" w:hAnsi="Arial" w:cs="Arial"/>
          <w:color w:val="000000"/>
          <w:shd w:val="clear" w:color="auto" w:fill="FFFFFF"/>
          <w:lang w:val="en-GB"/>
        </w:rPr>
      </w:pPr>
      <w:r w:rsidRPr="00E41E70">
        <w:rPr>
          <w:rFonts w:ascii="Arial" w:eastAsia="Times New Roman" w:hAnsi="Arial" w:cs="Arial"/>
          <w:color w:val="000000"/>
          <w:shd w:val="clear" w:color="auto" w:fill="FFFFFF"/>
          <w:lang w:val="en-GB"/>
        </w:rPr>
        <w:t xml:space="preserve">Upon completion of the report, the Local Authority must file a copy with the Court </w:t>
      </w:r>
      <w:r w:rsidRPr="00E41E70">
        <w:rPr>
          <w:rFonts w:ascii="Arial" w:eastAsia="Times New Roman" w:hAnsi="Arial" w:cs="Arial"/>
          <w:color w:val="000000"/>
          <w:u w:val="single"/>
          <w:shd w:val="clear" w:color="auto" w:fill="FFFFFF"/>
          <w:lang w:val="en-GB"/>
        </w:rPr>
        <w:t>and</w:t>
      </w:r>
      <w:r w:rsidRPr="00E41E70">
        <w:rPr>
          <w:rFonts w:ascii="Arial" w:eastAsia="Times New Roman" w:hAnsi="Arial" w:cs="Arial"/>
          <w:color w:val="000000"/>
          <w:shd w:val="clear" w:color="auto" w:fill="FFFFFF"/>
          <w:lang w:val="en-GB"/>
        </w:rPr>
        <w:t xml:space="preserve"> serve a copy on the parties to the proceedings (unless Ordered otherwise).  </w:t>
      </w:r>
    </w:p>
    <w:p w14:paraId="09BA2912" w14:textId="1B248D65" w:rsidR="00A77BC2" w:rsidRDefault="00A77BC2" w:rsidP="00BF44D3">
      <w:pPr>
        <w:rPr>
          <w:rFonts w:ascii="Arial" w:eastAsia="Times New Roman" w:hAnsi="Arial" w:cs="Arial"/>
          <w:color w:val="000000"/>
          <w:shd w:val="clear" w:color="auto" w:fill="FFFFFF"/>
          <w:lang w:val="en-GB"/>
        </w:rPr>
      </w:pPr>
    </w:p>
    <w:p w14:paraId="64512246" w14:textId="77777777" w:rsidR="00663797" w:rsidRDefault="00663797" w:rsidP="00BF44D3">
      <w:pPr>
        <w:rPr>
          <w:rFonts w:ascii="Arial" w:eastAsia="Times New Roman" w:hAnsi="Arial" w:cs="Arial"/>
          <w:color w:val="000000"/>
          <w:shd w:val="clear" w:color="auto" w:fill="FFFFFF"/>
          <w:lang w:val="en-GB"/>
        </w:rPr>
      </w:pPr>
    </w:p>
    <w:p w14:paraId="653987D4" w14:textId="123F22BE" w:rsidR="00663797" w:rsidRPr="00E41E70" w:rsidRDefault="00663797" w:rsidP="00663797">
      <w:pPr>
        <w:jc w:val="center"/>
        <w:rPr>
          <w:rFonts w:ascii="Arial" w:eastAsia="Times New Roman" w:hAnsi="Arial" w:cs="Arial"/>
          <w:color w:val="000000"/>
          <w:shd w:val="clear" w:color="auto" w:fill="FFFFFF"/>
          <w:lang w:val="en-GB"/>
        </w:rPr>
      </w:pPr>
      <w:r>
        <w:rPr>
          <w:rFonts w:ascii="Arial" w:eastAsia="Times New Roman" w:hAnsi="Arial" w:cs="Arial"/>
          <w:color w:val="000000"/>
          <w:shd w:val="clear" w:color="auto" w:fill="FFFFFF"/>
          <w:lang w:val="en-GB"/>
        </w:rPr>
        <w:t>--------------------------</w:t>
      </w:r>
    </w:p>
    <w:sectPr w:rsidR="00663797" w:rsidRPr="00E41E70" w:rsidSect="00412C7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293770"/>
    <w:multiLevelType w:val="hybridMultilevel"/>
    <w:tmpl w:val="F6FA7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4B8"/>
    <w:rsid w:val="00195D58"/>
    <w:rsid w:val="002519E7"/>
    <w:rsid w:val="0027568B"/>
    <w:rsid w:val="002F5800"/>
    <w:rsid w:val="00412C75"/>
    <w:rsid w:val="004B2FC5"/>
    <w:rsid w:val="004C03C3"/>
    <w:rsid w:val="004C6478"/>
    <w:rsid w:val="005176B9"/>
    <w:rsid w:val="00663797"/>
    <w:rsid w:val="006E0AE7"/>
    <w:rsid w:val="006F0098"/>
    <w:rsid w:val="00825664"/>
    <w:rsid w:val="00886D2A"/>
    <w:rsid w:val="00A23555"/>
    <w:rsid w:val="00A77BC2"/>
    <w:rsid w:val="00AD2120"/>
    <w:rsid w:val="00BC7201"/>
    <w:rsid w:val="00BF44D3"/>
    <w:rsid w:val="00C334B8"/>
    <w:rsid w:val="00C654C3"/>
    <w:rsid w:val="00E0698B"/>
    <w:rsid w:val="00E41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996CEC"/>
  <w14:defaultImageDpi w14:val="300"/>
  <w15:docId w15:val="{EA7A6EBA-C44E-44B4-9DEB-A5A5D0778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825664"/>
    <w:pPr>
      <w:spacing w:before="100" w:beforeAutospacing="1" w:after="100" w:afterAutospacing="1"/>
      <w:outlineLvl w:val="3"/>
    </w:pPr>
    <w:rPr>
      <w:rFonts w:ascii="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25664"/>
    <w:rPr>
      <w:rFonts w:ascii="Times New Roman" w:hAnsi="Times New Roman" w:cs="Times New Roman"/>
      <w:b/>
      <w:bCs/>
      <w:lang w:val="en-GB"/>
    </w:rPr>
  </w:style>
  <w:style w:type="character" w:customStyle="1" w:styleId="legds">
    <w:name w:val="legds"/>
    <w:basedOn w:val="DefaultParagraphFont"/>
    <w:rsid w:val="00825664"/>
  </w:style>
  <w:style w:type="paragraph" w:customStyle="1" w:styleId="legclearfix">
    <w:name w:val="legclearfix"/>
    <w:basedOn w:val="Normal"/>
    <w:rsid w:val="00825664"/>
    <w:pPr>
      <w:spacing w:before="100" w:beforeAutospacing="1" w:after="100" w:afterAutospacing="1"/>
    </w:pPr>
    <w:rPr>
      <w:rFonts w:ascii="Times New Roman" w:hAnsi="Times New Roman" w:cs="Times New Roman"/>
      <w:sz w:val="20"/>
      <w:szCs w:val="20"/>
      <w:lang w:val="en-GB"/>
    </w:rPr>
  </w:style>
  <w:style w:type="character" w:customStyle="1" w:styleId="apple-converted-space">
    <w:name w:val="apple-converted-space"/>
    <w:basedOn w:val="DefaultParagraphFont"/>
    <w:rsid w:val="00825664"/>
  </w:style>
  <w:style w:type="character" w:customStyle="1" w:styleId="legchangedelimiter">
    <w:name w:val="legchangedelimiter"/>
    <w:basedOn w:val="DefaultParagraphFont"/>
    <w:rsid w:val="00825664"/>
  </w:style>
  <w:style w:type="character" w:styleId="Hyperlink">
    <w:name w:val="Hyperlink"/>
    <w:basedOn w:val="DefaultParagraphFont"/>
    <w:uiPriority w:val="99"/>
    <w:semiHidden/>
    <w:unhideWhenUsed/>
    <w:rsid w:val="00825664"/>
    <w:rPr>
      <w:color w:val="0000FF"/>
      <w:u w:val="single"/>
    </w:rPr>
  </w:style>
  <w:style w:type="character" w:customStyle="1" w:styleId="legaddition">
    <w:name w:val="legaddition"/>
    <w:basedOn w:val="DefaultParagraphFont"/>
    <w:rsid w:val="00825664"/>
  </w:style>
  <w:style w:type="paragraph" w:customStyle="1" w:styleId="legp1paratext">
    <w:name w:val="legp1paratext"/>
    <w:basedOn w:val="Normal"/>
    <w:rsid w:val="005176B9"/>
    <w:pPr>
      <w:spacing w:before="100" w:beforeAutospacing="1" w:after="100" w:afterAutospacing="1"/>
    </w:pPr>
    <w:rPr>
      <w:rFonts w:ascii="Times New Roman" w:hAnsi="Times New Roman" w:cs="Times New Roman"/>
      <w:sz w:val="20"/>
      <w:szCs w:val="20"/>
      <w:lang w:val="en-GB"/>
    </w:rPr>
  </w:style>
  <w:style w:type="character" w:customStyle="1" w:styleId="legp1no">
    <w:name w:val="legp1no"/>
    <w:basedOn w:val="DefaultParagraphFont"/>
    <w:rsid w:val="005176B9"/>
  </w:style>
  <w:style w:type="paragraph" w:customStyle="1" w:styleId="legp2paratext">
    <w:name w:val="legp2paratext"/>
    <w:basedOn w:val="Normal"/>
    <w:rsid w:val="005176B9"/>
    <w:pPr>
      <w:spacing w:before="100" w:beforeAutospacing="1" w:after="100" w:afterAutospacing="1"/>
    </w:pPr>
    <w:rPr>
      <w:rFonts w:ascii="Times New Roman" w:hAnsi="Times New Roman" w:cs="Times New Roman"/>
      <w:sz w:val="20"/>
      <w:szCs w:val="20"/>
      <w:lang w:val="en-GB"/>
    </w:rPr>
  </w:style>
  <w:style w:type="paragraph" w:styleId="ListParagraph">
    <w:name w:val="List Paragraph"/>
    <w:basedOn w:val="Normal"/>
    <w:uiPriority w:val="34"/>
    <w:qFormat/>
    <w:rsid w:val="004B2FC5"/>
    <w:pPr>
      <w:ind w:left="720"/>
      <w:contextualSpacing/>
    </w:pPr>
  </w:style>
  <w:style w:type="paragraph" w:styleId="BalloonText">
    <w:name w:val="Balloon Text"/>
    <w:basedOn w:val="Normal"/>
    <w:link w:val="BalloonTextChar"/>
    <w:uiPriority w:val="99"/>
    <w:semiHidden/>
    <w:unhideWhenUsed/>
    <w:rsid w:val="00AD21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21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73341">
      <w:bodyDiv w:val="1"/>
      <w:marLeft w:val="0"/>
      <w:marRight w:val="0"/>
      <w:marTop w:val="0"/>
      <w:marBottom w:val="0"/>
      <w:divBdr>
        <w:top w:val="none" w:sz="0" w:space="0" w:color="auto"/>
        <w:left w:val="none" w:sz="0" w:space="0" w:color="auto"/>
        <w:bottom w:val="none" w:sz="0" w:space="0" w:color="auto"/>
        <w:right w:val="none" w:sz="0" w:space="0" w:color="auto"/>
      </w:divBdr>
    </w:div>
    <w:div w:id="572739205">
      <w:bodyDiv w:val="1"/>
      <w:marLeft w:val="0"/>
      <w:marRight w:val="0"/>
      <w:marTop w:val="0"/>
      <w:marBottom w:val="0"/>
      <w:divBdr>
        <w:top w:val="none" w:sz="0" w:space="0" w:color="auto"/>
        <w:left w:val="none" w:sz="0" w:space="0" w:color="auto"/>
        <w:bottom w:val="none" w:sz="0" w:space="0" w:color="auto"/>
        <w:right w:val="none" w:sz="0" w:space="0" w:color="auto"/>
      </w:divBdr>
    </w:div>
    <w:div w:id="8332973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1374</Words>
  <Characters>7837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Flatt</dc:creator>
  <cp:keywords/>
  <dc:description/>
  <cp:lastModifiedBy>CORPNCC\KwWilliams</cp:lastModifiedBy>
  <cp:revision>2</cp:revision>
  <cp:lastPrinted>2018-11-06T14:35:00Z</cp:lastPrinted>
  <dcterms:created xsi:type="dcterms:W3CDTF">2020-10-08T13:08:00Z</dcterms:created>
  <dcterms:modified xsi:type="dcterms:W3CDTF">2020-10-08T13:08:00Z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