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A13C9" w14:textId="77777777" w:rsidR="00B26267" w:rsidRPr="002170C9" w:rsidRDefault="00B26267">
      <w:pPr>
        <w:rPr>
          <w:b/>
          <w:sz w:val="28"/>
          <w:szCs w:val="28"/>
          <w:u w:val="single"/>
        </w:rPr>
      </w:pPr>
    </w:p>
    <w:p w14:paraId="04B60A46" w14:textId="18C33F73" w:rsidR="004631C5" w:rsidRDefault="004631C5">
      <w:pPr>
        <w:rPr>
          <w:rFonts w:ascii="Arial" w:hAnsi="Arial" w:cs="Arial"/>
        </w:rPr>
      </w:pPr>
    </w:p>
    <w:p w14:paraId="1565EE5B" w14:textId="0275C8CB" w:rsidR="00DC284D" w:rsidRDefault="00DC284D">
      <w:pPr>
        <w:rPr>
          <w:rFonts w:ascii="Arial" w:hAnsi="Arial" w:cs="Arial"/>
        </w:rPr>
      </w:pPr>
    </w:p>
    <w:p w14:paraId="7BA4BBE8" w14:textId="79C99AE8" w:rsidR="00DC284D" w:rsidRDefault="00DC284D">
      <w:pPr>
        <w:rPr>
          <w:rFonts w:ascii="Arial" w:hAnsi="Arial" w:cs="Arial"/>
        </w:rPr>
      </w:pPr>
    </w:p>
    <w:p w14:paraId="6FBBBA97" w14:textId="4018548B" w:rsidR="00660485" w:rsidRDefault="00660485">
      <w:pPr>
        <w:rPr>
          <w:rFonts w:ascii="Arial" w:hAnsi="Arial" w:cs="Arial"/>
        </w:rPr>
      </w:pPr>
    </w:p>
    <w:p w14:paraId="0FF2378F" w14:textId="00702E4B" w:rsidR="00660485" w:rsidRDefault="00DC284D">
      <w:pPr>
        <w:rPr>
          <w:rFonts w:ascii="Arial" w:hAnsi="Arial" w:cs="Arial"/>
        </w:rPr>
      </w:pPr>
      <w:r w:rsidRPr="00925598">
        <w:rPr>
          <w:b/>
          <w:bCs/>
          <w:noProof/>
          <w:sz w:val="52"/>
          <w:szCs w:val="52"/>
        </w:rPr>
        <w:drawing>
          <wp:anchor distT="0" distB="0" distL="114300" distR="114300" simplePos="0" relativeHeight="251659264" behindDoc="0" locked="0" layoutInCell="1" allowOverlap="1" wp14:anchorId="44987AF2" wp14:editId="55819192">
            <wp:simplePos x="0" y="0"/>
            <wp:positionH relativeFrom="column">
              <wp:posOffset>2705100</wp:posOffset>
            </wp:positionH>
            <wp:positionV relativeFrom="paragraph">
              <wp:posOffset>266065</wp:posOffset>
            </wp:positionV>
            <wp:extent cx="812800" cy="931545"/>
            <wp:effectExtent l="0" t="0" r="635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4A106F" w14:textId="64BA3AAD" w:rsidR="00660485" w:rsidRDefault="00660485">
      <w:pPr>
        <w:rPr>
          <w:rFonts w:ascii="Arial" w:hAnsi="Arial" w:cs="Arial"/>
        </w:rPr>
      </w:pPr>
    </w:p>
    <w:p w14:paraId="666567F6" w14:textId="77777777" w:rsidR="00660485" w:rsidRDefault="00660485">
      <w:pPr>
        <w:rPr>
          <w:rFonts w:ascii="Arial" w:hAnsi="Arial" w:cs="Arial"/>
        </w:rPr>
      </w:pPr>
    </w:p>
    <w:p w14:paraId="5B5228F3" w14:textId="77777777" w:rsidR="00660485" w:rsidRDefault="00660485">
      <w:pPr>
        <w:rPr>
          <w:rFonts w:ascii="Arial" w:hAnsi="Arial" w:cs="Arial"/>
        </w:rPr>
      </w:pPr>
    </w:p>
    <w:p w14:paraId="79F9D149" w14:textId="77777777" w:rsidR="00660485" w:rsidRDefault="00660485">
      <w:pPr>
        <w:rPr>
          <w:rFonts w:ascii="Arial" w:hAnsi="Arial" w:cs="Arial"/>
        </w:rPr>
      </w:pPr>
    </w:p>
    <w:p w14:paraId="7FDEC3A5" w14:textId="77777777" w:rsidR="00660485" w:rsidRPr="00894C3E" w:rsidRDefault="00660485" w:rsidP="004156E2">
      <w:pPr>
        <w:autoSpaceDE w:val="0"/>
        <w:autoSpaceDN w:val="0"/>
        <w:adjustRightInd w:val="0"/>
        <w:spacing w:after="0" w:line="240" w:lineRule="auto"/>
        <w:jc w:val="center"/>
        <w:rPr>
          <w:rFonts w:cstheme="minorHAnsi"/>
          <w:color w:val="000000"/>
          <w:sz w:val="52"/>
          <w:szCs w:val="52"/>
        </w:rPr>
      </w:pPr>
      <w:r w:rsidRPr="00894C3E">
        <w:rPr>
          <w:rFonts w:cstheme="minorHAnsi"/>
          <w:color w:val="000000"/>
          <w:sz w:val="52"/>
          <w:szCs w:val="52"/>
        </w:rPr>
        <w:t>BCP Children’s Services.</w:t>
      </w:r>
    </w:p>
    <w:p w14:paraId="352B4968" w14:textId="499CA85B" w:rsidR="00660485" w:rsidRPr="00894C3E" w:rsidRDefault="00660485" w:rsidP="004156E2">
      <w:pPr>
        <w:spacing w:line="240" w:lineRule="auto"/>
        <w:jc w:val="center"/>
        <w:rPr>
          <w:rFonts w:cstheme="minorHAnsi"/>
          <w:sz w:val="52"/>
          <w:szCs w:val="52"/>
        </w:rPr>
      </w:pPr>
      <w:r w:rsidRPr="00894C3E">
        <w:rPr>
          <w:rFonts w:cstheme="minorHAnsi"/>
          <w:sz w:val="52"/>
          <w:szCs w:val="52"/>
        </w:rPr>
        <w:t>Allegations against staff and volunteers who work with children</w:t>
      </w:r>
      <w:r w:rsidR="004156E2">
        <w:rPr>
          <w:rFonts w:cstheme="minorHAnsi"/>
          <w:sz w:val="52"/>
          <w:szCs w:val="52"/>
        </w:rPr>
        <w:t xml:space="preserve"> - G</w:t>
      </w:r>
      <w:r w:rsidR="00A92959" w:rsidRPr="00894C3E">
        <w:rPr>
          <w:rFonts w:cstheme="minorHAnsi"/>
          <w:sz w:val="52"/>
          <w:szCs w:val="52"/>
        </w:rPr>
        <w:t>uidance for BCP Practitioners.</w:t>
      </w:r>
    </w:p>
    <w:p w14:paraId="58ABE3D6" w14:textId="77777777" w:rsidR="00660485" w:rsidRDefault="00660485" w:rsidP="00BB1DE6">
      <w:pPr>
        <w:rPr>
          <w:rFonts w:ascii="Arial" w:hAnsi="Arial" w:cs="Arial"/>
          <w:b/>
          <w:sz w:val="24"/>
          <w:szCs w:val="24"/>
          <w:u w:val="single"/>
        </w:rPr>
      </w:pPr>
    </w:p>
    <w:p w14:paraId="017EE5EE" w14:textId="6D73D177" w:rsidR="00660485" w:rsidRDefault="00660485" w:rsidP="00BB1DE6">
      <w:pPr>
        <w:rPr>
          <w:rFonts w:ascii="Arial" w:hAnsi="Arial" w:cs="Arial"/>
          <w:b/>
          <w:sz w:val="24"/>
          <w:szCs w:val="24"/>
          <w:u w:val="single"/>
        </w:rPr>
      </w:pPr>
    </w:p>
    <w:p w14:paraId="0F37B6D2" w14:textId="676D620A" w:rsidR="00DC284D" w:rsidRDefault="00DC284D" w:rsidP="00BB1DE6">
      <w:pPr>
        <w:rPr>
          <w:rFonts w:ascii="Arial" w:hAnsi="Arial" w:cs="Arial"/>
          <w:b/>
          <w:sz w:val="24"/>
          <w:szCs w:val="24"/>
          <w:u w:val="single"/>
        </w:rPr>
      </w:pPr>
    </w:p>
    <w:p w14:paraId="6A570BF9" w14:textId="77777777" w:rsidR="00DC284D" w:rsidRDefault="00DC284D" w:rsidP="00BB1DE6">
      <w:pPr>
        <w:rPr>
          <w:rFonts w:ascii="Arial" w:hAnsi="Arial" w:cs="Arial"/>
          <w:b/>
          <w:sz w:val="24"/>
          <w:szCs w:val="24"/>
          <w:u w:val="single"/>
        </w:rPr>
      </w:pPr>
    </w:p>
    <w:p w14:paraId="4ECC9028" w14:textId="77777777" w:rsidR="00DC284D" w:rsidRDefault="00DC284D" w:rsidP="00BB1DE6">
      <w:pPr>
        <w:rPr>
          <w:rFonts w:ascii="Arial" w:hAnsi="Arial" w:cs="Arial"/>
          <w:b/>
          <w:sz w:val="24"/>
          <w:szCs w:val="24"/>
          <w:u w:val="single"/>
        </w:rPr>
      </w:pPr>
      <w:bookmarkStart w:id="0" w:name="_GoBack"/>
      <w:bookmarkEnd w:id="0"/>
    </w:p>
    <w:p w14:paraId="6FEC2A4F" w14:textId="522008A4" w:rsidR="00894C3E" w:rsidRDefault="00894C3E" w:rsidP="00BB1DE6">
      <w:pPr>
        <w:rPr>
          <w:rFonts w:ascii="Arial" w:hAnsi="Arial" w:cs="Arial"/>
          <w:b/>
          <w:sz w:val="24"/>
          <w:szCs w:val="24"/>
          <w:u w:val="single"/>
        </w:rPr>
      </w:pPr>
    </w:p>
    <w:tbl>
      <w:tblPr>
        <w:tblStyle w:val="TableGrid"/>
        <w:tblW w:w="9355" w:type="dxa"/>
        <w:tblInd w:w="279" w:type="dxa"/>
        <w:tblLook w:val="0000" w:firstRow="0" w:lastRow="0" w:firstColumn="0" w:lastColumn="0" w:noHBand="0" w:noVBand="0"/>
      </w:tblPr>
      <w:tblGrid>
        <w:gridCol w:w="2126"/>
        <w:gridCol w:w="7229"/>
      </w:tblGrid>
      <w:tr w:rsidR="00DC284D" w:rsidRPr="00B1731E" w14:paraId="4D078490" w14:textId="77777777" w:rsidTr="00EA5130">
        <w:trPr>
          <w:trHeight w:val="450"/>
        </w:trPr>
        <w:tc>
          <w:tcPr>
            <w:tcW w:w="9355" w:type="dxa"/>
            <w:gridSpan w:val="2"/>
            <w:shd w:val="clear" w:color="auto" w:fill="D9D9D9" w:themeFill="background1" w:themeFillShade="D9"/>
          </w:tcPr>
          <w:p w14:paraId="61491DC2" w14:textId="77777777" w:rsidR="00DC284D" w:rsidRPr="00AC0DDE" w:rsidRDefault="00DC284D" w:rsidP="00AB7C64">
            <w:pPr>
              <w:rPr>
                <w:rFonts w:ascii="Arial" w:hAnsi="Arial" w:cs="Arial"/>
              </w:rPr>
            </w:pPr>
            <w:r w:rsidRPr="00AC0DDE">
              <w:rPr>
                <w:rFonts w:ascii="Arial" w:hAnsi="Arial" w:cs="Arial"/>
              </w:rPr>
              <w:t>Document control</w:t>
            </w:r>
          </w:p>
        </w:tc>
      </w:tr>
      <w:tr w:rsidR="00DC284D" w:rsidRPr="00B1731E" w14:paraId="3F09C464" w14:textId="77777777" w:rsidTr="00EA5130">
        <w:tblPrEx>
          <w:tblLook w:val="04A0" w:firstRow="1" w:lastRow="0" w:firstColumn="1" w:lastColumn="0" w:noHBand="0" w:noVBand="1"/>
        </w:tblPrEx>
        <w:tc>
          <w:tcPr>
            <w:tcW w:w="2126" w:type="dxa"/>
            <w:shd w:val="clear" w:color="auto" w:fill="D9D9D9" w:themeFill="background1" w:themeFillShade="D9"/>
          </w:tcPr>
          <w:p w14:paraId="34756BD1" w14:textId="77777777" w:rsidR="00DC284D" w:rsidRPr="00AC0DDE" w:rsidRDefault="00DC284D" w:rsidP="00AB7C64">
            <w:pPr>
              <w:rPr>
                <w:rFonts w:ascii="Arial" w:hAnsi="Arial" w:cs="Arial"/>
              </w:rPr>
            </w:pPr>
            <w:r w:rsidRPr="00AC0DDE">
              <w:rPr>
                <w:rFonts w:ascii="Arial" w:hAnsi="Arial" w:cs="Arial"/>
              </w:rPr>
              <w:t>Status</w:t>
            </w:r>
          </w:p>
        </w:tc>
        <w:tc>
          <w:tcPr>
            <w:tcW w:w="7229" w:type="dxa"/>
          </w:tcPr>
          <w:p w14:paraId="17B61329" w14:textId="0BBAC609" w:rsidR="00DC284D" w:rsidRPr="00AC0DDE" w:rsidRDefault="006F09D6" w:rsidP="00AB7C64">
            <w:pPr>
              <w:rPr>
                <w:rFonts w:ascii="Arial" w:hAnsi="Arial" w:cs="Arial"/>
              </w:rPr>
            </w:pPr>
            <w:r>
              <w:rPr>
                <w:rFonts w:ascii="Arial" w:hAnsi="Arial" w:cs="Arial"/>
              </w:rPr>
              <w:t>Guidance</w:t>
            </w:r>
          </w:p>
        </w:tc>
      </w:tr>
      <w:tr w:rsidR="00DC284D" w:rsidRPr="00B1731E" w14:paraId="3B262E0B" w14:textId="77777777" w:rsidTr="00EA5130">
        <w:tblPrEx>
          <w:tblLook w:val="04A0" w:firstRow="1" w:lastRow="0" w:firstColumn="1" w:lastColumn="0" w:noHBand="0" w:noVBand="1"/>
        </w:tblPrEx>
        <w:tc>
          <w:tcPr>
            <w:tcW w:w="2126" w:type="dxa"/>
            <w:shd w:val="clear" w:color="auto" w:fill="D9D9D9" w:themeFill="background1" w:themeFillShade="D9"/>
          </w:tcPr>
          <w:p w14:paraId="74C00884" w14:textId="77777777" w:rsidR="00DC284D" w:rsidRPr="00AC0DDE" w:rsidRDefault="00DC284D" w:rsidP="00AB7C64">
            <w:pPr>
              <w:rPr>
                <w:rFonts w:ascii="Arial" w:hAnsi="Arial" w:cs="Arial"/>
              </w:rPr>
            </w:pPr>
            <w:r w:rsidRPr="00AC0DDE">
              <w:rPr>
                <w:rFonts w:ascii="Arial" w:hAnsi="Arial" w:cs="Arial"/>
              </w:rPr>
              <w:t>Effective from</w:t>
            </w:r>
          </w:p>
        </w:tc>
        <w:tc>
          <w:tcPr>
            <w:tcW w:w="7229" w:type="dxa"/>
          </w:tcPr>
          <w:p w14:paraId="0613A824" w14:textId="77777777" w:rsidR="00DC284D" w:rsidRPr="00AC0DDE" w:rsidRDefault="00DC284D" w:rsidP="00AB7C64">
            <w:pPr>
              <w:rPr>
                <w:rFonts w:ascii="Arial" w:hAnsi="Arial" w:cs="Arial"/>
              </w:rPr>
            </w:pPr>
            <w:r w:rsidRPr="00AC0DDE">
              <w:rPr>
                <w:rFonts w:ascii="Arial" w:hAnsi="Arial" w:cs="Arial"/>
              </w:rPr>
              <w:t>October 2020</w:t>
            </w:r>
          </w:p>
        </w:tc>
      </w:tr>
      <w:tr w:rsidR="00DC284D" w:rsidRPr="00B1731E" w14:paraId="160D32E0" w14:textId="77777777" w:rsidTr="00EA5130">
        <w:tblPrEx>
          <w:tblLook w:val="04A0" w:firstRow="1" w:lastRow="0" w:firstColumn="1" w:lastColumn="0" w:noHBand="0" w:noVBand="1"/>
        </w:tblPrEx>
        <w:tc>
          <w:tcPr>
            <w:tcW w:w="2126" w:type="dxa"/>
            <w:shd w:val="clear" w:color="auto" w:fill="D9D9D9" w:themeFill="background1" w:themeFillShade="D9"/>
          </w:tcPr>
          <w:p w14:paraId="42C121FB" w14:textId="77777777" w:rsidR="00DC284D" w:rsidRPr="00AC0DDE" w:rsidRDefault="00DC284D" w:rsidP="00AB7C64">
            <w:pPr>
              <w:rPr>
                <w:rFonts w:ascii="Arial" w:hAnsi="Arial" w:cs="Arial"/>
              </w:rPr>
            </w:pPr>
            <w:r w:rsidRPr="00AC0DDE">
              <w:rPr>
                <w:rFonts w:ascii="Arial" w:hAnsi="Arial" w:cs="Arial"/>
              </w:rPr>
              <w:t>Who Must Comply with this Guidance?</w:t>
            </w:r>
          </w:p>
        </w:tc>
        <w:tc>
          <w:tcPr>
            <w:tcW w:w="7229" w:type="dxa"/>
          </w:tcPr>
          <w:p w14:paraId="064166B0" w14:textId="77777777" w:rsidR="00DC284D" w:rsidRPr="00AC0DDE" w:rsidRDefault="00DC284D" w:rsidP="00AB7C64">
            <w:pPr>
              <w:rPr>
                <w:rFonts w:ascii="Arial" w:hAnsi="Arial" w:cs="Arial"/>
              </w:rPr>
            </w:pPr>
            <w:r w:rsidRPr="00AC0DDE">
              <w:rPr>
                <w:rFonts w:ascii="Arial" w:hAnsi="Arial" w:cs="Arial"/>
              </w:rPr>
              <w:t xml:space="preserve">All Children’s Services Practitioners </w:t>
            </w:r>
          </w:p>
        </w:tc>
      </w:tr>
      <w:tr w:rsidR="00DC284D" w:rsidRPr="00B1731E" w14:paraId="095CB1EB" w14:textId="77777777" w:rsidTr="00EA5130">
        <w:tblPrEx>
          <w:tblLook w:val="04A0" w:firstRow="1" w:lastRow="0" w:firstColumn="1" w:lastColumn="0" w:noHBand="0" w:noVBand="1"/>
        </w:tblPrEx>
        <w:tc>
          <w:tcPr>
            <w:tcW w:w="2126" w:type="dxa"/>
            <w:shd w:val="clear" w:color="auto" w:fill="D9D9D9" w:themeFill="background1" w:themeFillShade="D9"/>
          </w:tcPr>
          <w:p w14:paraId="1365730D" w14:textId="77777777" w:rsidR="00DC284D" w:rsidRPr="00AC0DDE" w:rsidRDefault="00DC284D" w:rsidP="00AB7C64">
            <w:pPr>
              <w:rPr>
                <w:rFonts w:ascii="Arial" w:hAnsi="Arial" w:cs="Arial"/>
              </w:rPr>
            </w:pPr>
            <w:r w:rsidRPr="00AC0DDE">
              <w:rPr>
                <w:rFonts w:ascii="Arial" w:hAnsi="Arial" w:cs="Arial"/>
              </w:rPr>
              <w:t xml:space="preserve">Who must be aware of this guidance? </w:t>
            </w:r>
          </w:p>
        </w:tc>
        <w:tc>
          <w:tcPr>
            <w:tcW w:w="7229" w:type="dxa"/>
          </w:tcPr>
          <w:p w14:paraId="35FB6BA0" w14:textId="6DD19589" w:rsidR="00DC284D" w:rsidRPr="00AC0DDE" w:rsidRDefault="00DC284D" w:rsidP="00AB7C64">
            <w:pPr>
              <w:rPr>
                <w:rFonts w:ascii="Arial" w:hAnsi="Arial" w:cs="Arial"/>
              </w:rPr>
            </w:pPr>
            <w:r w:rsidRPr="00AC0DDE">
              <w:rPr>
                <w:rFonts w:ascii="Arial" w:hAnsi="Arial" w:cs="Arial"/>
              </w:rPr>
              <w:t>All Children’s Services Practitioners</w:t>
            </w:r>
          </w:p>
        </w:tc>
      </w:tr>
      <w:tr w:rsidR="00DC284D" w:rsidRPr="00B1731E" w14:paraId="58364F96" w14:textId="77777777" w:rsidTr="00EA5130">
        <w:tblPrEx>
          <w:tblLook w:val="04A0" w:firstRow="1" w:lastRow="0" w:firstColumn="1" w:lastColumn="0" w:noHBand="0" w:noVBand="1"/>
        </w:tblPrEx>
        <w:tc>
          <w:tcPr>
            <w:tcW w:w="2126" w:type="dxa"/>
            <w:shd w:val="clear" w:color="auto" w:fill="D9D9D9" w:themeFill="background1" w:themeFillShade="D9"/>
          </w:tcPr>
          <w:p w14:paraId="44224137" w14:textId="77777777" w:rsidR="00DC284D" w:rsidRPr="00AC0DDE" w:rsidRDefault="00DC284D" w:rsidP="00AB7C64">
            <w:pPr>
              <w:rPr>
                <w:rFonts w:ascii="Arial" w:hAnsi="Arial" w:cs="Arial"/>
              </w:rPr>
            </w:pPr>
            <w:r w:rsidRPr="00AC0DDE">
              <w:rPr>
                <w:rFonts w:ascii="Arial" w:hAnsi="Arial" w:cs="Arial"/>
              </w:rPr>
              <w:t>Review Frequency</w:t>
            </w:r>
          </w:p>
        </w:tc>
        <w:tc>
          <w:tcPr>
            <w:tcW w:w="7229" w:type="dxa"/>
          </w:tcPr>
          <w:p w14:paraId="712CA156" w14:textId="77777777" w:rsidR="00DC284D" w:rsidRPr="00AC0DDE" w:rsidRDefault="00DC284D" w:rsidP="00AB7C64">
            <w:pPr>
              <w:rPr>
                <w:rFonts w:ascii="Arial" w:hAnsi="Arial" w:cs="Arial"/>
              </w:rPr>
            </w:pPr>
            <w:r w:rsidRPr="00AC0DDE">
              <w:rPr>
                <w:rFonts w:ascii="Arial" w:hAnsi="Arial" w:cs="Arial"/>
              </w:rPr>
              <w:t>Annual</w:t>
            </w:r>
          </w:p>
        </w:tc>
      </w:tr>
      <w:tr w:rsidR="00DC284D" w:rsidRPr="00B1731E" w14:paraId="570683FC" w14:textId="77777777" w:rsidTr="00EA5130">
        <w:tblPrEx>
          <w:tblLook w:val="04A0" w:firstRow="1" w:lastRow="0" w:firstColumn="1" w:lastColumn="0" w:noHBand="0" w:noVBand="1"/>
        </w:tblPrEx>
        <w:tc>
          <w:tcPr>
            <w:tcW w:w="2126" w:type="dxa"/>
            <w:shd w:val="clear" w:color="auto" w:fill="D9D9D9" w:themeFill="background1" w:themeFillShade="D9"/>
          </w:tcPr>
          <w:p w14:paraId="36980456" w14:textId="77777777" w:rsidR="00DC284D" w:rsidRPr="00AC0DDE" w:rsidRDefault="00DC284D" w:rsidP="00AB7C64">
            <w:pPr>
              <w:rPr>
                <w:rFonts w:ascii="Arial" w:hAnsi="Arial" w:cs="Arial"/>
              </w:rPr>
            </w:pPr>
            <w:r w:rsidRPr="00AC0DDE">
              <w:rPr>
                <w:rFonts w:ascii="Arial" w:hAnsi="Arial" w:cs="Arial"/>
              </w:rPr>
              <w:t xml:space="preserve">Policy Lead and Approval Body </w:t>
            </w:r>
          </w:p>
        </w:tc>
        <w:tc>
          <w:tcPr>
            <w:tcW w:w="7229" w:type="dxa"/>
          </w:tcPr>
          <w:p w14:paraId="00EB1EBA" w14:textId="77777777" w:rsidR="00DC284D" w:rsidRPr="00AC0DDE" w:rsidRDefault="00DC284D" w:rsidP="00AB7C64">
            <w:pPr>
              <w:rPr>
                <w:rFonts w:ascii="Arial" w:hAnsi="Arial" w:cs="Arial"/>
              </w:rPr>
            </w:pPr>
            <w:r w:rsidRPr="00AC0DDE">
              <w:rPr>
                <w:rFonts w:ascii="Arial" w:hAnsi="Arial" w:cs="Arial"/>
              </w:rPr>
              <w:t>CDMB</w:t>
            </w:r>
          </w:p>
        </w:tc>
      </w:tr>
      <w:tr w:rsidR="00DC284D" w:rsidRPr="00B1731E" w14:paraId="3EA112A4" w14:textId="77777777" w:rsidTr="00EA5130">
        <w:tblPrEx>
          <w:tblLook w:val="04A0" w:firstRow="1" w:lastRow="0" w:firstColumn="1" w:lastColumn="0" w:noHBand="0" w:noVBand="1"/>
        </w:tblPrEx>
        <w:tc>
          <w:tcPr>
            <w:tcW w:w="2126" w:type="dxa"/>
            <w:shd w:val="clear" w:color="auto" w:fill="D9D9D9" w:themeFill="background1" w:themeFillShade="D9"/>
          </w:tcPr>
          <w:p w14:paraId="30024027" w14:textId="77777777" w:rsidR="00DC284D" w:rsidRPr="00AC0DDE" w:rsidRDefault="00DC284D" w:rsidP="00AB7C64">
            <w:pPr>
              <w:rPr>
                <w:rFonts w:ascii="Arial" w:hAnsi="Arial" w:cs="Arial"/>
              </w:rPr>
            </w:pPr>
            <w:r w:rsidRPr="00AC0DDE">
              <w:rPr>
                <w:rFonts w:ascii="Arial" w:hAnsi="Arial" w:cs="Arial"/>
              </w:rPr>
              <w:t xml:space="preserve">Produced By </w:t>
            </w:r>
          </w:p>
          <w:p w14:paraId="6163E2CB" w14:textId="77777777" w:rsidR="00DC284D" w:rsidRPr="00AC0DDE" w:rsidRDefault="00DC284D" w:rsidP="00AB7C64">
            <w:pPr>
              <w:rPr>
                <w:rFonts w:ascii="Arial" w:hAnsi="Arial" w:cs="Arial"/>
              </w:rPr>
            </w:pPr>
          </w:p>
        </w:tc>
        <w:tc>
          <w:tcPr>
            <w:tcW w:w="7229" w:type="dxa"/>
          </w:tcPr>
          <w:p w14:paraId="500082A7" w14:textId="53A50FC4" w:rsidR="00DC284D" w:rsidRPr="00AC0DDE" w:rsidRDefault="00DC284D" w:rsidP="00AB7C64">
            <w:pPr>
              <w:rPr>
                <w:rFonts w:ascii="Arial" w:hAnsi="Arial" w:cs="Arial"/>
              </w:rPr>
            </w:pPr>
            <w:r>
              <w:rPr>
                <w:rFonts w:ascii="Arial" w:hAnsi="Arial" w:cs="Arial"/>
              </w:rPr>
              <w:t>Tracey Newcombe</w:t>
            </w:r>
          </w:p>
        </w:tc>
      </w:tr>
    </w:tbl>
    <w:sdt>
      <w:sdtPr>
        <w:rPr>
          <w:rFonts w:asciiTheme="minorHAnsi" w:eastAsiaTheme="minorHAnsi" w:hAnsiTheme="minorHAnsi" w:cstheme="minorBidi"/>
          <w:color w:val="auto"/>
          <w:sz w:val="22"/>
          <w:szCs w:val="22"/>
          <w:lang w:val="en-GB"/>
        </w:rPr>
        <w:id w:val="1966995990"/>
        <w:docPartObj>
          <w:docPartGallery w:val="Table of Contents"/>
          <w:docPartUnique/>
        </w:docPartObj>
      </w:sdtPr>
      <w:sdtEndPr>
        <w:rPr>
          <w:b/>
          <w:bCs/>
          <w:noProof/>
        </w:rPr>
      </w:sdtEndPr>
      <w:sdtContent>
        <w:p w14:paraId="3F18C0FA" w14:textId="0C1FCA41" w:rsidR="004156E2" w:rsidRDefault="004156E2">
          <w:pPr>
            <w:pStyle w:val="TOCHeading"/>
          </w:pPr>
          <w:r>
            <w:t>Table of Contents</w:t>
          </w:r>
        </w:p>
        <w:p w14:paraId="30D4CA97" w14:textId="0AD83E38" w:rsidR="004156E2" w:rsidRPr="00DC284D" w:rsidRDefault="004156E2">
          <w:pPr>
            <w:pStyle w:val="TOC1"/>
            <w:tabs>
              <w:tab w:val="left" w:pos="440"/>
              <w:tab w:val="right" w:leader="dot" w:pos="9736"/>
            </w:tabs>
            <w:rPr>
              <w:rFonts w:ascii="Arial" w:hAnsi="Arial" w:cs="Arial"/>
              <w:noProof/>
              <w:sz w:val="24"/>
              <w:szCs w:val="24"/>
            </w:rPr>
          </w:pPr>
          <w:r>
            <w:fldChar w:fldCharType="begin"/>
          </w:r>
          <w:r>
            <w:instrText xml:space="preserve"> TOC \o "1-3" \h \z \u </w:instrText>
          </w:r>
          <w:r>
            <w:fldChar w:fldCharType="separate"/>
          </w:r>
          <w:hyperlink w:anchor="_Toc53048216" w:history="1">
            <w:r w:rsidRPr="00DC284D">
              <w:rPr>
                <w:rStyle w:val="Hyperlink"/>
                <w:rFonts w:ascii="Arial" w:hAnsi="Arial" w:cs="Arial"/>
                <w:b/>
                <w:bCs/>
                <w:noProof/>
                <w:sz w:val="24"/>
                <w:szCs w:val="24"/>
              </w:rPr>
              <w:t>1.</w:t>
            </w:r>
            <w:r w:rsidRPr="00DC284D">
              <w:rPr>
                <w:rFonts w:ascii="Arial" w:hAnsi="Arial" w:cs="Arial"/>
                <w:noProof/>
                <w:sz w:val="24"/>
                <w:szCs w:val="24"/>
              </w:rPr>
              <w:tab/>
            </w:r>
            <w:r w:rsidRPr="00DC284D">
              <w:rPr>
                <w:rStyle w:val="Hyperlink"/>
                <w:rFonts w:ascii="Arial" w:hAnsi="Arial" w:cs="Arial"/>
                <w:b/>
                <w:bCs/>
                <w:noProof/>
                <w:sz w:val="24"/>
                <w:szCs w:val="24"/>
              </w:rPr>
              <w:t>Purpose</w:t>
            </w:r>
            <w:r w:rsidRPr="00DC284D">
              <w:rPr>
                <w:rFonts w:ascii="Arial" w:hAnsi="Arial" w:cs="Arial"/>
                <w:noProof/>
                <w:webHidden/>
                <w:sz w:val="24"/>
                <w:szCs w:val="24"/>
              </w:rPr>
              <w:tab/>
            </w:r>
            <w:r w:rsidRPr="00DC284D">
              <w:rPr>
                <w:rFonts w:ascii="Arial" w:hAnsi="Arial" w:cs="Arial"/>
                <w:noProof/>
                <w:webHidden/>
                <w:sz w:val="24"/>
                <w:szCs w:val="24"/>
              </w:rPr>
              <w:fldChar w:fldCharType="begin"/>
            </w:r>
            <w:r w:rsidRPr="00DC284D">
              <w:rPr>
                <w:rFonts w:ascii="Arial" w:hAnsi="Arial" w:cs="Arial"/>
                <w:noProof/>
                <w:webHidden/>
                <w:sz w:val="24"/>
                <w:szCs w:val="24"/>
              </w:rPr>
              <w:instrText xml:space="preserve"> PAGEREF _Toc53048216 \h </w:instrText>
            </w:r>
            <w:r w:rsidRPr="00DC284D">
              <w:rPr>
                <w:rFonts w:ascii="Arial" w:hAnsi="Arial" w:cs="Arial"/>
                <w:noProof/>
                <w:webHidden/>
                <w:sz w:val="24"/>
                <w:szCs w:val="24"/>
              </w:rPr>
            </w:r>
            <w:r w:rsidRPr="00DC284D">
              <w:rPr>
                <w:rFonts w:ascii="Arial" w:hAnsi="Arial" w:cs="Arial"/>
                <w:noProof/>
                <w:webHidden/>
                <w:sz w:val="24"/>
                <w:szCs w:val="24"/>
              </w:rPr>
              <w:fldChar w:fldCharType="separate"/>
            </w:r>
            <w:r w:rsidR="00DC284D" w:rsidRPr="00DC284D">
              <w:rPr>
                <w:rFonts w:ascii="Arial" w:hAnsi="Arial" w:cs="Arial"/>
                <w:noProof/>
                <w:webHidden/>
                <w:sz w:val="24"/>
                <w:szCs w:val="24"/>
              </w:rPr>
              <w:t>3</w:t>
            </w:r>
            <w:r w:rsidRPr="00DC284D">
              <w:rPr>
                <w:rFonts w:ascii="Arial" w:hAnsi="Arial" w:cs="Arial"/>
                <w:noProof/>
                <w:webHidden/>
                <w:sz w:val="24"/>
                <w:szCs w:val="24"/>
              </w:rPr>
              <w:fldChar w:fldCharType="end"/>
            </w:r>
          </w:hyperlink>
        </w:p>
        <w:p w14:paraId="6E6CC0D2" w14:textId="49CF0B28" w:rsidR="004156E2" w:rsidRPr="00DC284D" w:rsidRDefault="006F09D6">
          <w:pPr>
            <w:pStyle w:val="TOC1"/>
            <w:tabs>
              <w:tab w:val="left" w:pos="440"/>
              <w:tab w:val="right" w:leader="dot" w:pos="9736"/>
            </w:tabs>
            <w:rPr>
              <w:rFonts w:ascii="Arial" w:hAnsi="Arial" w:cs="Arial"/>
              <w:noProof/>
              <w:sz w:val="24"/>
              <w:szCs w:val="24"/>
            </w:rPr>
          </w:pPr>
          <w:hyperlink w:anchor="_Toc53048217" w:history="1">
            <w:r w:rsidR="004156E2" w:rsidRPr="00DC284D">
              <w:rPr>
                <w:rStyle w:val="Hyperlink"/>
                <w:rFonts w:ascii="Arial" w:hAnsi="Arial" w:cs="Arial"/>
                <w:b/>
                <w:bCs/>
                <w:noProof/>
                <w:sz w:val="24"/>
                <w:szCs w:val="24"/>
              </w:rPr>
              <w:t>2.</w:t>
            </w:r>
            <w:r w:rsidR="004156E2" w:rsidRPr="00DC284D">
              <w:rPr>
                <w:rFonts w:ascii="Arial" w:hAnsi="Arial" w:cs="Arial"/>
                <w:noProof/>
                <w:sz w:val="24"/>
                <w:szCs w:val="24"/>
              </w:rPr>
              <w:tab/>
            </w:r>
            <w:r w:rsidR="004156E2" w:rsidRPr="00DC284D">
              <w:rPr>
                <w:rStyle w:val="Hyperlink"/>
                <w:rFonts w:ascii="Arial" w:hAnsi="Arial" w:cs="Arial"/>
                <w:b/>
                <w:bCs/>
                <w:noProof/>
                <w:sz w:val="24"/>
                <w:szCs w:val="24"/>
              </w:rPr>
              <w:t>The role of the BCP Local Authority Designated Officers (LADOs)</w:t>
            </w:r>
            <w:r w:rsidR="004156E2" w:rsidRPr="00DC284D">
              <w:rPr>
                <w:rFonts w:ascii="Arial" w:hAnsi="Arial" w:cs="Arial"/>
                <w:noProof/>
                <w:webHidden/>
                <w:sz w:val="24"/>
                <w:szCs w:val="24"/>
              </w:rPr>
              <w:tab/>
            </w:r>
            <w:r w:rsidR="004156E2" w:rsidRPr="00DC284D">
              <w:rPr>
                <w:rFonts w:ascii="Arial" w:hAnsi="Arial" w:cs="Arial"/>
                <w:noProof/>
                <w:webHidden/>
                <w:sz w:val="24"/>
                <w:szCs w:val="24"/>
              </w:rPr>
              <w:fldChar w:fldCharType="begin"/>
            </w:r>
            <w:r w:rsidR="004156E2" w:rsidRPr="00DC284D">
              <w:rPr>
                <w:rFonts w:ascii="Arial" w:hAnsi="Arial" w:cs="Arial"/>
                <w:noProof/>
                <w:webHidden/>
                <w:sz w:val="24"/>
                <w:szCs w:val="24"/>
              </w:rPr>
              <w:instrText xml:space="preserve"> PAGEREF _Toc53048217 \h </w:instrText>
            </w:r>
            <w:r w:rsidR="004156E2" w:rsidRPr="00DC284D">
              <w:rPr>
                <w:rFonts w:ascii="Arial" w:hAnsi="Arial" w:cs="Arial"/>
                <w:noProof/>
                <w:webHidden/>
                <w:sz w:val="24"/>
                <w:szCs w:val="24"/>
              </w:rPr>
            </w:r>
            <w:r w:rsidR="004156E2" w:rsidRPr="00DC284D">
              <w:rPr>
                <w:rFonts w:ascii="Arial" w:hAnsi="Arial" w:cs="Arial"/>
                <w:noProof/>
                <w:webHidden/>
                <w:sz w:val="24"/>
                <w:szCs w:val="24"/>
              </w:rPr>
              <w:fldChar w:fldCharType="separate"/>
            </w:r>
            <w:r w:rsidR="00DC284D" w:rsidRPr="00DC284D">
              <w:rPr>
                <w:rFonts w:ascii="Arial" w:hAnsi="Arial" w:cs="Arial"/>
                <w:noProof/>
                <w:webHidden/>
                <w:sz w:val="24"/>
                <w:szCs w:val="24"/>
              </w:rPr>
              <w:t>3</w:t>
            </w:r>
            <w:r w:rsidR="004156E2" w:rsidRPr="00DC284D">
              <w:rPr>
                <w:rFonts w:ascii="Arial" w:hAnsi="Arial" w:cs="Arial"/>
                <w:noProof/>
                <w:webHidden/>
                <w:sz w:val="24"/>
                <w:szCs w:val="24"/>
              </w:rPr>
              <w:fldChar w:fldCharType="end"/>
            </w:r>
          </w:hyperlink>
        </w:p>
        <w:p w14:paraId="5D2E1A72" w14:textId="267F48AE" w:rsidR="004156E2" w:rsidRPr="00DC284D" w:rsidRDefault="006F09D6">
          <w:pPr>
            <w:pStyle w:val="TOC1"/>
            <w:tabs>
              <w:tab w:val="left" w:pos="440"/>
              <w:tab w:val="right" w:leader="dot" w:pos="9736"/>
            </w:tabs>
            <w:rPr>
              <w:rFonts w:ascii="Arial" w:hAnsi="Arial" w:cs="Arial"/>
              <w:noProof/>
              <w:sz w:val="24"/>
              <w:szCs w:val="24"/>
            </w:rPr>
          </w:pPr>
          <w:hyperlink w:anchor="_Toc53048218" w:history="1">
            <w:r w:rsidR="004156E2" w:rsidRPr="00DC284D">
              <w:rPr>
                <w:rStyle w:val="Hyperlink"/>
                <w:rFonts w:ascii="Arial" w:hAnsi="Arial" w:cs="Arial"/>
                <w:b/>
                <w:bCs/>
                <w:noProof/>
                <w:sz w:val="24"/>
                <w:szCs w:val="24"/>
              </w:rPr>
              <w:t>3.</w:t>
            </w:r>
            <w:r w:rsidR="004156E2" w:rsidRPr="00DC284D">
              <w:rPr>
                <w:rFonts w:ascii="Arial" w:hAnsi="Arial" w:cs="Arial"/>
                <w:noProof/>
                <w:sz w:val="24"/>
                <w:szCs w:val="24"/>
              </w:rPr>
              <w:tab/>
            </w:r>
            <w:r w:rsidR="004156E2" w:rsidRPr="00DC284D">
              <w:rPr>
                <w:rStyle w:val="Hyperlink"/>
                <w:rFonts w:ascii="Arial" w:hAnsi="Arial" w:cs="Arial"/>
                <w:b/>
                <w:bCs/>
                <w:noProof/>
                <w:sz w:val="24"/>
                <w:szCs w:val="24"/>
              </w:rPr>
              <w:t>What to do when a BCP Children’s Service practitioner thinks that an adult meets the criteria</w:t>
            </w:r>
            <w:r w:rsidR="004156E2" w:rsidRPr="00DC284D">
              <w:rPr>
                <w:rFonts w:ascii="Arial" w:hAnsi="Arial" w:cs="Arial"/>
                <w:noProof/>
                <w:webHidden/>
                <w:sz w:val="24"/>
                <w:szCs w:val="24"/>
              </w:rPr>
              <w:tab/>
            </w:r>
            <w:r w:rsidR="004156E2" w:rsidRPr="00DC284D">
              <w:rPr>
                <w:rFonts w:ascii="Arial" w:hAnsi="Arial" w:cs="Arial"/>
                <w:noProof/>
                <w:webHidden/>
                <w:sz w:val="24"/>
                <w:szCs w:val="24"/>
              </w:rPr>
              <w:fldChar w:fldCharType="begin"/>
            </w:r>
            <w:r w:rsidR="004156E2" w:rsidRPr="00DC284D">
              <w:rPr>
                <w:rFonts w:ascii="Arial" w:hAnsi="Arial" w:cs="Arial"/>
                <w:noProof/>
                <w:webHidden/>
                <w:sz w:val="24"/>
                <w:szCs w:val="24"/>
              </w:rPr>
              <w:instrText xml:space="preserve"> PAGEREF _Toc53048218 \h </w:instrText>
            </w:r>
            <w:r w:rsidR="004156E2" w:rsidRPr="00DC284D">
              <w:rPr>
                <w:rFonts w:ascii="Arial" w:hAnsi="Arial" w:cs="Arial"/>
                <w:noProof/>
                <w:webHidden/>
                <w:sz w:val="24"/>
                <w:szCs w:val="24"/>
              </w:rPr>
            </w:r>
            <w:r w:rsidR="004156E2" w:rsidRPr="00DC284D">
              <w:rPr>
                <w:rFonts w:ascii="Arial" w:hAnsi="Arial" w:cs="Arial"/>
                <w:noProof/>
                <w:webHidden/>
                <w:sz w:val="24"/>
                <w:szCs w:val="24"/>
              </w:rPr>
              <w:fldChar w:fldCharType="separate"/>
            </w:r>
            <w:r w:rsidR="00DC284D" w:rsidRPr="00DC284D">
              <w:rPr>
                <w:rFonts w:ascii="Arial" w:hAnsi="Arial" w:cs="Arial"/>
                <w:noProof/>
                <w:webHidden/>
                <w:sz w:val="24"/>
                <w:szCs w:val="24"/>
              </w:rPr>
              <w:t>4</w:t>
            </w:r>
            <w:r w:rsidR="004156E2" w:rsidRPr="00DC284D">
              <w:rPr>
                <w:rFonts w:ascii="Arial" w:hAnsi="Arial" w:cs="Arial"/>
                <w:noProof/>
                <w:webHidden/>
                <w:sz w:val="24"/>
                <w:szCs w:val="24"/>
              </w:rPr>
              <w:fldChar w:fldCharType="end"/>
            </w:r>
          </w:hyperlink>
        </w:p>
        <w:p w14:paraId="4CB95F74" w14:textId="4691E759" w:rsidR="004156E2" w:rsidRPr="00DC284D" w:rsidRDefault="006F09D6">
          <w:pPr>
            <w:pStyle w:val="TOC1"/>
            <w:tabs>
              <w:tab w:val="left" w:pos="440"/>
              <w:tab w:val="right" w:leader="dot" w:pos="9736"/>
            </w:tabs>
            <w:rPr>
              <w:rFonts w:ascii="Arial" w:hAnsi="Arial" w:cs="Arial"/>
              <w:noProof/>
              <w:sz w:val="24"/>
              <w:szCs w:val="24"/>
            </w:rPr>
          </w:pPr>
          <w:hyperlink w:anchor="_Toc53048219" w:history="1">
            <w:r w:rsidR="004156E2" w:rsidRPr="00DC284D">
              <w:rPr>
                <w:rStyle w:val="Hyperlink"/>
                <w:rFonts w:ascii="Arial" w:hAnsi="Arial" w:cs="Arial"/>
                <w:b/>
                <w:bCs/>
                <w:noProof/>
                <w:sz w:val="24"/>
                <w:szCs w:val="24"/>
              </w:rPr>
              <w:t>4.</w:t>
            </w:r>
            <w:r w:rsidR="004156E2" w:rsidRPr="00DC284D">
              <w:rPr>
                <w:rFonts w:ascii="Arial" w:hAnsi="Arial" w:cs="Arial"/>
                <w:noProof/>
                <w:sz w:val="24"/>
                <w:szCs w:val="24"/>
              </w:rPr>
              <w:tab/>
            </w:r>
            <w:r w:rsidR="004156E2" w:rsidRPr="00DC284D">
              <w:rPr>
                <w:rStyle w:val="Hyperlink"/>
                <w:rFonts w:ascii="Arial" w:hAnsi="Arial" w:cs="Arial"/>
                <w:b/>
                <w:bCs/>
                <w:noProof/>
                <w:sz w:val="24"/>
                <w:szCs w:val="24"/>
              </w:rPr>
              <w:t>Follow on actions</w:t>
            </w:r>
            <w:r w:rsidR="004156E2" w:rsidRPr="00DC284D">
              <w:rPr>
                <w:rFonts w:ascii="Arial" w:hAnsi="Arial" w:cs="Arial"/>
                <w:noProof/>
                <w:webHidden/>
                <w:sz w:val="24"/>
                <w:szCs w:val="24"/>
              </w:rPr>
              <w:tab/>
            </w:r>
            <w:r w:rsidR="004156E2" w:rsidRPr="00DC284D">
              <w:rPr>
                <w:rFonts w:ascii="Arial" w:hAnsi="Arial" w:cs="Arial"/>
                <w:noProof/>
                <w:webHidden/>
                <w:sz w:val="24"/>
                <w:szCs w:val="24"/>
              </w:rPr>
              <w:fldChar w:fldCharType="begin"/>
            </w:r>
            <w:r w:rsidR="004156E2" w:rsidRPr="00DC284D">
              <w:rPr>
                <w:rFonts w:ascii="Arial" w:hAnsi="Arial" w:cs="Arial"/>
                <w:noProof/>
                <w:webHidden/>
                <w:sz w:val="24"/>
                <w:szCs w:val="24"/>
              </w:rPr>
              <w:instrText xml:space="preserve"> PAGEREF _Toc53048219 \h </w:instrText>
            </w:r>
            <w:r w:rsidR="004156E2" w:rsidRPr="00DC284D">
              <w:rPr>
                <w:rFonts w:ascii="Arial" w:hAnsi="Arial" w:cs="Arial"/>
                <w:noProof/>
                <w:webHidden/>
                <w:sz w:val="24"/>
                <w:szCs w:val="24"/>
              </w:rPr>
            </w:r>
            <w:r w:rsidR="004156E2" w:rsidRPr="00DC284D">
              <w:rPr>
                <w:rFonts w:ascii="Arial" w:hAnsi="Arial" w:cs="Arial"/>
                <w:noProof/>
                <w:webHidden/>
                <w:sz w:val="24"/>
                <w:szCs w:val="24"/>
              </w:rPr>
              <w:fldChar w:fldCharType="separate"/>
            </w:r>
            <w:r w:rsidR="00DC284D" w:rsidRPr="00DC284D">
              <w:rPr>
                <w:rFonts w:ascii="Arial" w:hAnsi="Arial" w:cs="Arial"/>
                <w:noProof/>
                <w:webHidden/>
                <w:sz w:val="24"/>
                <w:szCs w:val="24"/>
              </w:rPr>
              <w:t>4</w:t>
            </w:r>
            <w:r w:rsidR="004156E2" w:rsidRPr="00DC284D">
              <w:rPr>
                <w:rFonts w:ascii="Arial" w:hAnsi="Arial" w:cs="Arial"/>
                <w:noProof/>
                <w:webHidden/>
                <w:sz w:val="24"/>
                <w:szCs w:val="24"/>
              </w:rPr>
              <w:fldChar w:fldCharType="end"/>
            </w:r>
          </w:hyperlink>
        </w:p>
        <w:p w14:paraId="7E8FCF63" w14:textId="1B6F84CA" w:rsidR="004156E2" w:rsidRPr="00DC284D" w:rsidRDefault="006F09D6">
          <w:pPr>
            <w:pStyle w:val="TOC1"/>
            <w:tabs>
              <w:tab w:val="left" w:pos="440"/>
              <w:tab w:val="right" w:leader="dot" w:pos="9736"/>
            </w:tabs>
            <w:rPr>
              <w:rFonts w:ascii="Arial" w:hAnsi="Arial" w:cs="Arial"/>
              <w:noProof/>
              <w:sz w:val="24"/>
              <w:szCs w:val="24"/>
            </w:rPr>
          </w:pPr>
          <w:hyperlink w:anchor="_Toc53048220" w:history="1">
            <w:r w:rsidR="004156E2" w:rsidRPr="00DC284D">
              <w:rPr>
                <w:rStyle w:val="Hyperlink"/>
                <w:rFonts w:ascii="Arial" w:hAnsi="Arial" w:cs="Arial"/>
                <w:b/>
                <w:bCs/>
                <w:noProof/>
                <w:sz w:val="24"/>
                <w:szCs w:val="24"/>
              </w:rPr>
              <w:t>5.</w:t>
            </w:r>
            <w:r w:rsidR="004156E2" w:rsidRPr="00DC284D">
              <w:rPr>
                <w:rFonts w:ascii="Arial" w:hAnsi="Arial" w:cs="Arial"/>
                <w:noProof/>
                <w:sz w:val="24"/>
                <w:szCs w:val="24"/>
              </w:rPr>
              <w:tab/>
            </w:r>
            <w:r w:rsidR="004156E2" w:rsidRPr="00DC284D">
              <w:rPr>
                <w:rStyle w:val="Hyperlink"/>
                <w:rFonts w:ascii="Arial" w:hAnsi="Arial" w:cs="Arial"/>
                <w:b/>
                <w:bCs/>
                <w:noProof/>
                <w:sz w:val="24"/>
                <w:szCs w:val="24"/>
              </w:rPr>
              <w:t>Allegations against staff in their personal lives: Transferable Risk</w:t>
            </w:r>
            <w:r w:rsidR="004156E2" w:rsidRPr="00DC284D">
              <w:rPr>
                <w:rFonts w:ascii="Arial" w:hAnsi="Arial" w:cs="Arial"/>
                <w:noProof/>
                <w:webHidden/>
                <w:sz w:val="24"/>
                <w:szCs w:val="24"/>
              </w:rPr>
              <w:tab/>
            </w:r>
            <w:r w:rsidR="004156E2" w:rsidRPr="00DC284D">
              <w:rPr>
                <w:rFonts w:ascii="Arial" w:hAnsi="Arial" w:cs="Arial"/>
                <w:noProof/>
                <w:webHidden/>
                <w:sz w:val="24"/>
                <w:szCs w:val="24"/>
              </w:rPr>
              <w:fldChar w:fldCharType="begin"/>
            </w:r>
            <w:r w:rsidR="004156E2" w:rsidRPr="00DC284D">
              <w:rPr>
                <w:rFonts w:ascii="Arial" w:hAnsi="Arial" w:cs="Arial"/>
                <w:noProof/>
                <w:webHidden/>
                <w:sz w:val="24"/>
                <w:szCs w:val="24"/>
              </w:rPr>
              <w:instrText xml:space="preserve"> PAGEREF _Toc53048220 \h </w:instrText>
            </w:r>
            <w:r w:rsidR="004156E2" w:rsidRPr="00DC284D">
              <w:rPr>
                <w:rFonts w:ascii="Arial" w:hAnsi="Arial" w:cs="Arial"/>
                <w:noProof/>
                <w:webHidden/>
                <w:sz w:val="24"/>
                <w:szCs w:val="24"/>
              </w:rPr>
            </w:r>
            <w:r w:rsidR="004156E2" w:rsidRPr="00DC284D">
              <w:rPr>
                <w:rFonts w:ascii="Arial" w:hAnsi="Arial" w:cs="Arial"/>
                <w:noProof/>
                <w:webHidden/>
                <w:sz w:val="24"/>
                <w:szCs w:val="24"/>
              </w:rPr>
              <w:fldChar w:fldCharType="separate"/>
            </w:r>
            <w:r w:rsidR="00DC284D" w:rsidRPr="00DC284D">
              <w:rPr>
                <w:rFonts w:ascii="Arial" w:hAnsi="Arial" w:cs="Arial"/>
                <w:noProof/>
                <w:webHidden/>
                <w:sz w:val="24"/>
                <w:szCs w:val="24"/>
              </w:rPr>
              <w:t>5</w:t>
            </w:r>
            <w:r w:rsidR="004156E2" w:rsidRPr="00DC284D">
              <w:rPr>
                <w:rFonts w:ascii="Arial" w:hAnsi="Arial" w:cs="Arial"/>
                <w:noProof/>
                <w:webHidden/>
                <w:sz w:val="24"/>
                <w:szCs w:val="24"/>
              </w:rPr>
              <w:fldChar w:fldCharType="end"/>
            </w:r>
          </w:hyperlink>
        </w:p>
        <w:p w14:paraId="6E13F888" w14:textId="7DF1CC5B" w:rsidR="004156E2" w:rsidRPr="00DC284D" w:rsidRDefault="006F09D6">
          <w:pPr>
            <w:pStyle w:val="TOC1"/>
            <w:tabs>
              <w:tab w:val="left" w:pos="440"/>
              <w:tab w:val="right" w:leader="dot" w:pos="9736"/>
            </w:tabs>
            <w:rPr>
              <w:rFonts w:ascii="Arial" w:hAnsi="Arial" w:cs="Arial"/>
              <w:noProof/>
              <w:sz w:val="24"/>
              <w:szCs w:val="24"/>
            </w:rPr>
          </w:pPr>
          <w:hyperlink w:anchor="_Toc53048221" w:history="1">
            <w:r w:rsidR="004156E2" w:rsidRPr="00DC284D">
              <w:rPr>
                <w:rStyle w:val="Hyperlink"/>
                <w:rFonts w:ascii="Arial" w:hAnsi="Arial" w:cs="Arial"/>
                <w:b/>
                <w:bCs/>
                <w:noProof/>
                <w:sz w:val="24"/>
                <w:szCs w:val="24"/>
              </w:rPr>
              <w:t>6.</w:t>
            </w:r>
            <w:r w:rsidR="004156E2" w:rsidRPr="00DC284D">
              <w:rPr>
                <w:rFonts w:ascii="Arial" w:hAnsi="Arial" w:cs="Arial"/>
                <w:noProof/>
                <w:sz w:val="24"/>
                <w:szCs w:val="24"/>
              </w:rPr>
              <w:tab/>
            </w:r>
            <w:r w:rsidR="004156E2" w:rsidRPr="00DC284D">
              <w:rPr>
                <w:rStyle w:val="Hyperlink"/>
                <w:rFonts w:ascii="Arial" w:hAnsi="Arial" w:cs="Arial"/>
                <w:b/>
                <w:bCs/>
                <w:noProof/>
                <w:sz w:val="24"/>
                <w:szCs w:val="24"/>
              </w:rPr>
              <w:t>Confidentiality</w:t>
            </w:r>
            <w:r w:rsidR="004156E2" w:rsidRPr="00DC284D">
              <w:rPr>
                <w:rFonts w:ascii="Arial" w:hAnsi="Arial" w:cs="Arial"/>
                <w:noProof/>
                <w:webHidden/>
                <w:sz w:val="24"/>
                <w:szCs w:val="24"/>
              </w:rPr>
              <w:tab/>
            </w:r>
            <w:r w:rsidR="004156E2" w:rsidRPr="00DC284D">
              <w:rPr>
                <w:rFonts w:ascii="Arial" w:hAnsi="Arial" w:cs="Arial"/>
                <w:noProof/>
                <w:webHidden/>
                <w:sz w:val="24"/>
                <w:szCs w:val="24"/>
              </w:rPr>
              <w:fldChar w:fldCharType="begin"/>
            </w:r>
            <w:r w:rsidR="004156E2" w:rsidRPr="00DC284D">
              <w:rPr>
                <w:rFonts w:ascii="Arial" w:hAnsi="Arial" w:cs="Arial"/>
                <w:noProof/>
                <w:webHidden/>
                <w:sz w:val="24"/>
                <w:szCs w:val="24"/>
              </w:rPr>
              <w:instrText xml:space="preserve"> PAGEREF _Toc53048221 \h </w:instrText>
            </w:r>
            <w:r w:rsidR="004156E2" w:rsidRPr="00DC284D">
              <w:rPr>
                <w:rFonts w:ascii="Arial" w:hAnsi="Arial" w:cs="Arial"/>
                <w:noProof/>
                <w:webHidden/>
                <w:sz w:val="24"/>
                <w:szCs w:val="24"/>
              </w:rPr>
            </w:r>
            <w:r w:rsidR="004156E2" w:rsidRPr="00DC284D">
              <w:rPr>
                <w:rFonts w:ascii="Arial" w:hAnsi="Arial" w:cs="Arial"/>
                <w:noProof/>
                <w:webHidden/>
                <w:sz w:val="24"/>
                <w:szCs w:val="24"/>
              </w:rPr>
              <w:fldChar w:fldCharType="separate"/>
            </w:r>
            <w:r w:rsidR="00DC284D" w:rsidRPr="00DC284D">
              <w:rPr>
                <w:rFonts w:ascii="Arial" w:hAnsi="Arial" w:cs="Arial"/>
                <w:noProof/>
                <w:webHidden/>
                <w:sz w:val="24"/>
                <w:szCs w:val="24"/>
              </w:rPr>
              <w:t>6</w:t>
            </w:r>
            <w:r w:rsidR="004156E2" w:rsidRPr="00DC284D">
              <w:rPr>
                <w:rFonts w:ascii="Arial" w:hAnsi="Arial" w:cs="Arial"/>
                <w:noProof/>
                <w:webHidden/>
                <w:sz w:val="24"/>
                <w:szCs w:val="24"/>
              </w:rPr>
              <w:fldChar w:fldCharType="end"/>
            </w:r>
          </w:hyperlink>
        </w:p>
        <w:p w14:paraId="0F326515" w14:textId="04BE5831" w:rsidR="004156E2" w:rsidRPr="00DC284D" w:rsidRDefault="006F09D6">
          <w:pPr>
            <w:pStyle w:val="TOC1"/>
            <w:tabs>
              <w:tab w:val="left" w:pos="440"/>
              <w:tab w:val="right" w:leader="dot" w:pos="9736"/>
            </w:tabs>
            <w:rPr>
              <w:rFonts w:ascii="Arial" w:hAnsi="Arial" w:cs="Arial"/>
              <w:noProof/>
              <w:sz w:val="24"/>
              <w:szCs w:val="24"/>
            </w:rPr>
          </w:pPr>
          <w:hyperlink w:anchor="_Toc53048222" w:history="1">
            <w:r w:rsidR="004156E2" w:rsidRPr="00DC284D">
              <w:rPr>
                <w:rStyle w:val="Hyperlink"/>
                <w:rFonts w:ascii="Arial" w:hAnsi="Arial" w:cs="Arial"/>
                <w:b/>
                <w:bCs/>
                <w:noProof/>
                <w:sz w:val="24"/>
                <w:szCs w:val="24"/>
              </w:rPr>
              <w:t>7.</w:t>
            </w:r>
            <w:r w:rsidR="004156E2" w:rsidRPr="00DC284D">
              <w:rPr>
                <w:rFonts w:ascii="Arial" w:hAnsi="Arial" w:cs="Arial"/>
                <w:noProof/>
                <w:sz w:val="24"/>
                <w:szCs w:val="24"/>
              </w:rPr>
              <w:tab/>
            </w:r>
            <w:r w:rsidR="004156E2" w:rsidRPr="00DC284D">
              <w:rPr>
                <w:rStyle w:val="Hyperlink"/>
                <w:rFonts w:ascii="Arial" w:hAnsi="Arial" w:cs="Arial"/>
                <w:b/>
                <w:bCs/>
                <w:noProof/>
                <w:sz w:val="24"/>
                <w:szCs w:val="24"/>
              </w:rPr>
              <w:t>Involvement of social workers in complex cases</w:t>
            </w:r>
            <w:r w:rsidR="004156E2" w:rsidRPr="00DC284D">
              <w:rPr>
                <w:rFonts w:ascii="Arial" w:hAnsi="Arial" w:cs="Arial"/>
                <w:noProof/>
                <w:webHidden/>
                <w:sz w:val="24"/>
                <w:szCs w:val="24"/>
              </w:rPr>
              <w:tab/>
            </w:r>
            <w:r w:rsidR="004156E2" w:rsidRPr="00DC284D">
              <w:rPr>
                <w:rFonts w:ascii="Arial" w:hAnsi="Arial" w:cs="Arial"/>
                <w:noProof/>
                <w:webHidden/>
                <w:sz w:val="24"/>
                <w:szCs w:val="24"/>
              </w:rPr>
              <w:fldChar w:fldCharType="begin"/>
            </w:r>
            <w:r w:rsidR="004156E2" w:rsidRPr="00DC284D">
              <w:rPr>
                <w:rFonts w:ascii="Arial" w:hAnsi="Arial" w:cs="Arial"/>
                <w:noProof/>
                <w:webHidden/>
                <w:sz w:val="24"/>
                <w:szCs w:val="24"/>
              </w:rPr>
              <w:instrText xml:space="preserve"> PAGEREF _Toc53048222 \h </w:instrText>
            </w:r>
            <w:r w:rsidR="004156E2" w:rsidRPr="00DC284D">
              <w:rPr>
                <w:rFonts w:ascii="Arial" w:hAnsi="Arial" w:cs="Arial"/>
                <w:noProof/>
                <w:webHidden/>
                <w:sz w:val="24"/>
                <w:szCs w:val="24"/>
              </w:rPr>
            </w:r>
            <w:r w:rsidR="004156E2" w:rsidRPr="00DC284D">
              <w:rPr>
                <w:rFonts w:ascii="Arial" w:hAnsi="Arial" w:cs="Arial"/>
                <w:noProof/>
                <w:webHidden/>
                <w:sz w:val="24"/>
                <w:szCs w:val="24"/>
              </w:rPr>
              <w:fldChar w:fldCharType="separate"/>
            </w:r>
            <w:r w:rsidR="00DC284D" w:rsidRPr="00DC284D">
              <w:rPr>
                <w:rFonts w:ascii="Arial" w:hAnsi="Arial" w:cs="Arial"/>
                <w:noProof/>
                <w:webHidden/>
                <w:sz w:val="24"/>
                <w:szCs w:val="24"/>
              </w:rPr>
              <w:t>6</w:t>
            </w:r>
            <w:r w:rsidR="004156E2" w:rsidRPr="00DC284D">
              <w:rPr>
                <w:rFonts w:ascii="Arial" w:hAnsi="Arial" w:cs="Arial"/>
                <w:noProof/>
                <w:webHidden/>
                <w:sz w:val="24"/>
                <w:szCs w:val="24"/>
              </w:rPr>
              <w:fldChar w:fldCharType="end"/>
            </w:r>
          </w:hyperlink>
        </w:p>
        <w:p w14:paraId="1B5C8ADB" w14:textId="47C57114" w:rsidR="004156E2" w:rsidRPr="00DC284D" w:rsidRDefault="006F09D6">
          <w:pPr>
            <w:pStyle w:val="TOC1"/>
            <w:tabs>
              <w:tab w:val="left" w:pos="440"/>
              <w:tab w:val="right" w:leader="dot" w:pos="9736"/>
            </w:tabs>
            <w:rPr>
              <w:rFonts w:ascii="Arial" w:hAnsi="Arial" w:cs="Arial"/>
              <w:noProof/>
              <w:sz w:val="24"/>
              <w:szCs w:val="24"/>
            </w:rPr>
          </w:pPr>
          <w:hyperlink w:anchor="_Toc53048223" w:history="1">
            <w:r w:rsidR="004156E2" w:rsidRPr="00DC284D">
              <w:rPr>
                <w:rStyle w:val="Hyperlink"/>
                <w:rFonts w:ascii="Arial" w:hAnsi="Arial" w:cs="Arial"/>
                <w:b/>
                <w:bCs/>
                <w:noProof/>
                <w:sz w:val="24"/>
                <w:szCs w:val="24"/>
              </w:rPr>
              <w:t>8.</w:t>
            </w:r>
            <w:r w:rsidR="004156E2" w:rsidRPr="00DC284D">
              <w:rPr>
                <w:rFonts w:ascii="Arial" w:hAnsi="Arial" w:cs="Arial"/>
                <w:noProof/>
                <w:sz w:val="24"/>
                <w:szCs w:val="24"/>
              </w:rPr>
              <w:tab/>
            </w:r>
            <w:r w:rsidR="004156E2" w:rsidRPr="00DC284D">
              <w:rPr>
                <w:rStyle w:val="Hyperlink"/>
                <w:rFonts w:ascii="Arial" w:hAnsi="Arial" w:cs="Arial"/>
                <w:b/>
                <w:bCs/>
                <w:noProof/>
                <w:sz w:val="24"/>
                <w:szCs w:val="24"/>
              </w:rPr>
              <w:t>Allegations against foster carers</w:t>
            </w:r>
            <w:r w:rsidR="004156E2" w:rsidRPr="00DC284D">
              <w:rPr>
                <w:rFonts w:ascii="Arial" w:hAnsi="Arial" w:cs="Arial"/>
                <w:noProof/>
                <w:webHidden/>
                <w:sz w:val="24"/>
                <w:szCs w:val="24"/>
              </w:rPr>
              <w:tab/>
            </w:r>
            <w:r w:rsidR="004156E2" w:rsidRPr="00DC284D">
              <w:rPr>
                <w:rFonts w:ascii="Arial" w:hAnsi="Arial" w:cs="Arial"/>
                <w:noProof/>
                <w:webHidden/>
                <w:sz w:val="24"/>
                <w:szCs w:val="24"/>
              </w:rPr>
              <w:fldChar w:fldCharType="begin"/>
            </w:r>
            <w:r w:rsidR="004156E2" w:rsidRPr="00DC284D">
              <w:rPr>
                <w:rFonts w:ascii="Arial" w:hAnsi="Arial" w:cs="Arial"/>
                <w:noProof/>
                <w:webHidden/>
                <w:sz w:val="24"/>
                <w:szCs w:val="24"/>
              </w:rPr>
              <w:instrText xml:space="preserve"> PAGEREF _Toc53048223 \h </w:instrText>
            </w:r>
            <w:r w:rsidR="004156E2" w:rsidRPr="00DC284D">
              <w:rPr>
                <w:rFonts w:ascii="Arial" w:hAnsi="Arial" w:cs="Arial"/>
                <w:noProof/>
                <w:webHidden/>
                <w:sz w:val="24"/>
                <w:szCs w:val="24"/>
              </w:rPr>
            </w:r>
            <w:r w:rsidR="004156E2" w:rsidRPr="00DC284D">
              <w:rPr>
                <w:rFonts w:ascii="Arial" w:hAnsi="Arial" w:cs="Arial"/>
                <w:noProof/>
                <w:webHidden/>
                <w:sz w:val="24"/>
                <w:szCs w:val="24"/>
              </w:rPr>
              <w:fldChar w:fldCharType="separate"/>
            </w:r>
            <w:r w:rsidR="00DC284D" w:rsidRPr="00DC284D">
              <w:rPr>
                <w:rFonts w:ascii="Arial" w:hAnsi="Arial" w:cs="Arial"/>
                <w:noProof/>
                <w:webHidden/>
                <w:sz w:val="24"/>
                <w:szCs w:val="24"/>
              </w:rPr>
              <w:t>6</w:t>
            </w:r>
            <w:r w:rsidR="004156E2" w:rsidRPr="00DC284D">
              <w:rPr>
                <w:rFonts w:ascii="Arial" w:hAnsi="Arial" w:cs="Arial"/>
                <w:noProof/>
                <w:webHidden/>
                <w:sz w:val="24"/>
                <w:szCs w:val="24"/>
              </w:rPr>
              <w:fldChar w:fldCharType="end"/>
            </w:r>
          </w:hyperlink>
        </w:p>
        <w:p w14:paraId="4847BE30" w14:textId="3DDFE274" w:rsidR="004156E2" w:rsidRPr="00DC284D" w:rsidRDefault="006F09D6">
          <w:pPr>
            <w:pStyle w:val="TOC1"/>
            <w:tabs>
              <w:tab w:val="left" w:pos="440"/>
              <w:tab w:val="right" w:leader="dot" w:pos="9736"/>
            </w:tabs>
            <w:rPr>
              <w:rFonts w:ascii="Arial" w:hAnsi="Arial" w:cs="Arial"/>
              <w:noProof/>
              <w:sz w:val="24"/>
              <w:szCs w:val="24"/>
            </w:rPr>
          </w:pPr>
          <w:hyperlink w:anchor="_Toc53048224" w:history="1">
            <w:r w:rsidR="004156E2" w:rsidRPr="00DC284D">
              <w:rPr>
                <w:rStyle w:val="Hyperlink"/>
                <w:rFonts w:ascii="Arial" w:hAnsi="Arial" w:cs="Arial"/>
                <w:b/>
                <w:bCs/>
                <w:noProof/>
                <w:sz w:val="24"/>
                <w:szCs w:val="24"/>
              </w:rPr>
              <w:t>9.</w:t>
            </w:r>
            <w:r w:rsidR="004156E2" w:rsidRPr="00DC284D">
              <w:rPr>
                <w:rFonts w:ascii="Arial" w:hAnsi="Arial" w:cs="Arial"/>
                <w:noProof/>
                <w:sz w:val="24"/>
                <w:szCs w:val="24"/>
              </w:rPr>
              <w:tab/>
            </w:r>
            <w:r w:rsidR="004156E2" w:rsidRPr="00DC284D">
              <w:rPr>
                <w:rStyle w:val="Hyperlink"/>
                <w:rFonts w:ascii="Arial" w:hAnsi="Arial" w:cs="Arial"/>
                <w:b/>
                <w:bCs/>
                <w:noProof/>
                <w:sz w:val="24"/>
                <w:szCs w:val="24"/>
              </w:rPr>
              <w:t>Referrals to Adult Safeguarding</w:t>
            </w:r>
            <w:r w:rsidR="004156E2" w:rsidRPr="00DC284D">
              <w:rPr>
                <w:rFonts w:ascii="Arial" w:hAnsi="Arial" w:cs="Arial"/>
                <w:noProof/>
                <w:webHidden/>
                <w:sz w:val="24"/>
                <w:szCs w:val="24"/>
              </w:rPr>
              <w:tab/>
            </w:r>
            <w:r w:rsidR="004156E2" w:rsidRPr="00DC284D">
              <w:rPr>
                <w:rFonts w:ascii="Arial" w:hAnsi="Arial" w:cs="Arial"/>
                <w:noProof/>
                <w:webHidden/>
                <w:sz w:val="24"/>
                <w:szCs w:val="24"/>
              </w:rPr>
              <w:fldChar w:fldCharType="begin"/>
            </w:r>
            <w:r w:rsidR="004156E2" w:rsidRPr="00DC284D">
              <w:rPr>
                <w:rFonts w:ascii="Arial" w:hAnsi="Arial" w:cs="Arial"/>
                <w:noProof/>
                <w:webHidden/>
                <w:sz w:val="24"/>
                <w:szCs w:val="24"/>
              </w:rPr>
              <w:instrText xml:space="preserve"> PAGEREF _Toc53048224 \h </w:instrText>
            </w:r>
            <w:r w:rsidR="004156E2" w:rsidRPr="00DC284D">
              <w:rPr>
                <w:rFonts w:ascii="Arial" w:hAnsi="Arial" w:cs="Arial"/>
                <w:noProof/>
                <w:webHidden/>
                <w:sz w:val="24"/>
                <w:szCs w:val="24"/>
              </w:rPr>
            </w:r>
            <w:r w:rsidR="004156E2" w:rsidRPr="00DC284D">
              <w:rPr>
                <w:rFonts w:ascii="Arial" w:hAnsi="Arial" w:cs="Arial"/>
                <w:noProof/>
                <w:webHidden/>
                <w:sz w:val="24"/>
                <w:szCs w:val="24"/>
              </w:rPr>
              <w:fldChar w:fldCharType="separate"/>
            </w:r>
            <w:r w:rsidR="00DC284D" w:rsidRPr="00DC284D">
              <w:rPr>
                <w:rFonts w:ascii="Arial" w:hAnsi="Arial" w:cs="Arial"/>
                <w:noProof/>
                <w:webHidden/>
                <w:sz w:val="24"/>
                <w:szCs w:val="24"/>
              </w:rPr>
              <w:t>6</w:t>
            </w:r>
            <w:r w:rsidR="004156E2" w:rsidRPr="00DC284D">
              <w:rPr>
                <w:rFonts w:ascii="Arial" w:hAnsi="Arial" w:cs="Arial"/>
                <w:noProof/>
                <w:webHidden/>
                <w:sz w:val="24"/>
                <w:szCs w:val="24"/>
              </w:rPr>
              <w:fldChar w:fldCharType="end"/>
            </w:r>
          </w:hyperlink>
        </w:p>
        <w:p w14:paraId="1DD896BF" w14:textId="4F2DDEC3" w:rsidR="00CF41FB" w:rsidRPr="004156E2" w:rsidRDefault="004156E2" w:rsidP="00BB1DE6">
          <w:r>
            <w:rPr>
              <w:b/>
              <w:bCs/>
              <w:noProof/>
            </w:rPr>
            <w:fldChar w:fldCharType="end"/>
          </w:r>
        </w:p>
      </w:sdtContent>
    </w:sdt>
    <w:p w14:paraId="191BDCA1" w14:textId="77777777" w:rsidR="00660485" w:rsidRDefault="00660485" w:rsidP="00BB1DE6">
      <w:pPr>
        <w:rPr>
          <w:rFonts w:ascii="Arial" w:hAnsi="Arial" w:cs="Arial"/>
          <w:b/>
          <w:sz w:val="24"/>
          <w:szCs w:val="24"/>
          <w:u w:val="single"/>
        </w:rPr>
      </w:pPr>
    </w:p>
    <w:p w14:paraId="5CEBCBA7" w14:textId="77777777" w:rsidR="00660485" w:rsidRDefault="00660485" w:rsidP="00BB1DE6">
      <w:pPr>
        <w:rPr>
          <w:rFonts w:ascii="Arial" w:hAnsi="Arial" w:cs="Arial"/>
          <w:b/>
          <w:sz w:val="24"/>
          <w:szCs w:val="24"/>
          <w:u w:val="single"/>
        </w:rPr>
      </w:pPr>
    </w:p>
    <w:p w14:paraId="5CF0A43A" w14:textId="77777777" w:rsidR="00660485" w:rsidRDefault="00660485" w:rsidP="00BB1DE6">
      <w:pPr>
        <w:rPr>
          <w:rFonts w:ascii="Arial" w:hAnsi="Arial" w:cs="Arial"/>
          <w:b/>
          <w:sz w:val="24"/>
          <w:szCs w:val="24"/>
          <w:u w:val="single"/>
        </w:rPr>
      </w:pPr>
    </w:p>
    <w:p w14:paraId="16D927C1" w14:textId="77777777" w:rsidR="00660485" w:rsidRDefault="00660485" w:rsidP="00BB1DE6">
      <w:pPr>
        <w:rPr>
          <w:rFonts w:ascii="Arial" w:hAnsi="Arial" w:cs="Arial"/>
          <w:b/>
          <w:sz w:val="24"/>
          <w:szCs w:val="24"/>
          <w:u w:val="single"/>
        </w:rPr>
      </w:pPr>
    </w:p>
    <w:p w14:paraId="23D6D30F" w14:textId="77777777" w:rsidR="00660485" w:rsidRDefault="00660485" w:rsidP="00BB1DE6">
      <w:pPr>
        <w:rPr>
          <w:rFonts w:ascii="Arial" w:hAnsi="Arial" w:cs="Arial"/>
          <w:b/>
          <w:sz w:val="24"/>
          <w:szCs w:val="24"/>
          <w:u w:val="single"/>
        </w:rPr>
      </w:pPr>
    </w:p>
    <w:p w14:paraId="036BA5EB" w14:textId="77777777" w:rsidR="00660485" w:rsidRDefault="00660485" w:rsidP="00BB1DE6">
      <w:pPr>
        <w:rPr>
          <w:rFonts w:ascii="Arial" w:hAnsi="Arial" w:cs="Arial"/>
          <w:b/>
          <w:sz w:val="24"/>
          <w:szCs w:val="24"/>
          <w:u w:val="single"/>
        </w:rPr>
      </w:pPr>
    </w:p>
    <w:p w14:paraId="53C8D614" w14:textId="77777777" w:rsidR="00660485" w:rsidRDefault="00660485" w:rsidP="00BB1DE6">
      <w:pPr>
        <w:rPr>
          <w:rFonts w:ascii="Arial" w:hAnsi="Arial" w:cs="Arial"/>
          <w:b/>
          <w:sz w:val="24"/>
          <w:szCs w:val="24"/>
          <w:u w:val="single"/>
        </w:rPr>
      </w:pPr>
    </w:p>
    <w:p w14:paraId="5AC98F76" w14:textId="77777777" w:rsidR="00660485" w:rsidRDefault="00660485" w:rsidP="00BB1DE6">
      <w:pPr>
        <w:rPr>
          <w:rFonts w:ascii="Arial" w:hAnsi="Arial" w:cs="Arial"/>
          <w:b/>
          <w:sz w:val="24"/>
          <w:szCs w:val="24"/>
          <w:u w:val="single"/>
        </w:rPr>
      </w:pPr>
    </w:p>
    <w:p w14:paraId="019185AD" w14:textId="2DC7AE7D" w:rsidR="009D457F" w:rsidRDefault="009D457F" w:rsidP="00BB1DE6">
      <w:pPr>
        <w:rPr>
          <w:rFonts w:ascii="Arial" w:hAnsi="Arial" w:cs="Arial"/>
          <w:b/>
          <w:sz w:val="24"/>
          <w:szCs w:val="24"/>
          <w:u w:val="single"/>
        </w:rPr>
      </w:pPr>
    </w:p>
    <w:p w14:paraId="607DCE78" w14:textId="5566C25C" w:rsidR="004156E2" w:rsidRDefault="004156E2" w:rsidP="00BB1DE6">
      <w:pPr>
        <w:rPr>
          <w:rFonts w:ascii="Arial" w:hAnsi="Arial" w:cs="Arial"/>
          <w:b/>
          <w:sz w:val="24"/>
          <w:szCs w:val="24"/>
          <w:u w:val="single"/>
        </w:rPr>
      </w:pPr>
    </w:p>
    <w:p w14:paraId="623B2B6C" w14:textId="12FDAC92" w:rsidR="004156E2" w:rsidRDefault="004156E2" w:rsidP="00BB1DE6">
      <w:pPr>
        <w:rPr>
          <w:rFonts w:ascii="Arial" w:hAnsi="Arial" w:cs="Arial"/>
          <w:b/>
          <w:sz w:val="24"/>
          <w:szCs w:val="24"/>
          <w:u w:val="single"/>
        </w:rPr>
      </w:pPr>
    </w:p>
    <w:p w14:paraId="28D22AD1" w14:textId="21C15C3C" w:rsidR="004156E2" w:rsidRDefault="004156E2" w:rsidP="00BB1DE6">
      <w:pPr>
        <w:rPr>
          <w:rFonts w:ascii="Arial" w:hAnsi="Arial" w:cs="Arial"/>
          <w:b/>
          <w:sz w:val="24"/>
          <w:szCs w:val="24"/>
          <w:u w:val="single"/>
        </w:rPr>
      </w:pPr>
    </w:p>
    <w:p w14:paraId="11FC2824" w14:textId="119CA55A" w:rsidR="004156E2" w:rsidRDefault="004156E2" w:rsidP="00BB1DE6">
      <w:pPr>
        <w:rPr>
          <w:rFonts w:ascii="Arial" w:hAnsi="Arial" w:cs="Arial"/>
          <w:b/>
          <w:sz w:val="24"/>
          <w:szCs w:val="24"/>
          <w:u w:val="single"/>
        </w:rPr>
      </w:pPr>
    </w:p>
    <w:p w14:paraId="418030FB" w14:textId="77777777" w:rsidR="004156E2" w:rsidRDefault="004156E2" w:rsidP="00BB1DE6">
      <w:pPr>
        <w:rPr>
          <w:rFonts w:ascii="Arial" w:hAnsi="Arial" w:cs="Arial"/>
          <w:b/>
          <w:sz w:val="24"/>
          <w:szCs w:val="24"/>
          <w:u w:val="single"/>
        </w:rPr>
      </w:pPr>
    </w:p>
    <w:p w14:paraId="46C1EF3A" w14:textId="516DAA65" w:rsidR="00E339A9" w:rsidRDefault="00E339A9" w:rsidP="00BB1DE6">
      <w:pPr>
        <w:rPr>
          <w:rFonts w:ascii="Arial" w:hAnsi="Arial" w:cs="Arial"/>
          <w:b/>
          <w:sz w:val="24"/>
          <w:szCs w:val="24"/>
          <w:u w:val="single"/>
        </w:rPr>
      </w:pPr>
    </w:p>
    <w:p w14:paraId="772ED109" w14:textId="5A163922" w:rsidR="00894C3E" w:rsidRDefault="00894C3E" w:rsidP="00BB1DE6">
      <w:pPr>
        <w:rPr>
          <w:rFonts w:ascii="Arial" w:hAnsi="Arial" w:cs="Arial"/>
          <w:b/>
          <w:sz w:val="24"/>
          <w:szCs w:val="24"/>
          <w:u w:val="single"/>
        </w:rPr>
      </w:pPr>
    </w:p>
    <w:p w14:paraId="219AB8BA" w14:textId="47AD7636" w:rsidR="00894C3E" w:rsidRDefault="00894C3E" w:rsidP="00BB1DE6">
      <w:pPr>
        <w:rPr>
          <w:rFonts w:ascii="Arial" w:hAnsi="Arial" w:cs="Arial"/>
          <w:b/>
          <w:sz w:val="24"/>
          <w:szCs w:val="24"/>
          <w:u w:val="single"/>
        </w:rPr>
      </w:pPr>
    </w:p>
    <w:p w14:paraId="649CC9C2" w14:textId="6DF51701" w:rsidR="00894C3E" w:rsidRDefault="00894C3E" w:rsidP="00BB1DE6">
      <w:pPr>
        <w:rPr>
          <w:rFonts w:ascii="Arial" w:hAnsi="Arial" w:cs="Arial"/>
          <w:b/>
          <w:sz w:val="24"/>
          <w:szCs w:val="24"/>
          <w:u w:val="single"/>
        </w:rPr>
      </w:pPr>
    </w:p>
    <w:p w14:paraId="6E80610B" w14:textId="4E17E18D" w:rsidR="00894C3E" w:rsidRDefault="00894C3E" w:rsidP="00BB1DE6">
      <w:pPr>
        <w:rPr>
          <w:rFonts w:ascii="Arial" w:hAnsi="Arial" w:cs="Arial"/>
          <w:b/>
          <w:sz w:val="24"/>
          <w:szCs w:val="24"/>
          <w:u w:val="single"/>
        </w:rPr>
      </w:pPr>
    </w:p>
    <w:p w14:paraId="0534B020" w14:textId="77777777" w:rsidR="00894C3E" w:rsidRDefault="00894C3E" w:rsidP="00BB1DE6">
      <w:pPr>
        <w:rPr>
          <w:rFonts w:ascii="Arial" w:hAnsi="Arial" w:cs="Arial"/>
          <w:b/>
          <w:sz w:val="24"/>
          <w:szCs w:val="24"/>
          <w:u w:val="single"/>
        </w:rPr>
      </w:pPr>
    </w:p>
    <w:p w14:paraId="2D47D0C2" w14:textId="2984DF10" w:rsidR="004631C5" w:rsidRPr="00894C3E" w:rsidRDefault="004631C5" w:rsidP="00894C3E">
      <w:pPr>
        <w:pStyle w:val="Heading1"/>
        <w:numPr>
          <w:ilvl w:val="0"/>
          <w:numId w:val="13"/>
        </w:numPr>
        <w:tabs>
          <w:tab w:val="left" w:pos="567"/>
        </w:tabs>
        <w:ind w:left="567" w:hanging="567"/>
        <w:jc w:val="both"/>
        <w:rPr>
          <w:rFonts w:cstheme="majorHAnsi"/>
          <w:b/>
          <w:bCs/>
        </w:rPr>
      </w:pPr>
      <w:bookmarkStart w:id="1" w:name="_Toc53048216"/>
      <w:r w:rsidRPr="00894C3E">
        <w:rPr>
          <w:rFonts w:cstheme="majorHAnsi"/>
          <w:b/>
          <w:bCs/>
        </w:rPr>
        <w:lastRenderedPageBreak/>
        <w:t>Purpose</w:t>
      </w:r>
      <w:bookmarkEnd w:id="1"/>
    </w:p>
    <w:p w14:paraId="6D3E716F" w14:textId="77777777" w:rsidR="00894C3E" w:rsidRPr="00894C3E" w:rsidRDefault="00894C3E" w:rsidP="00894C3E">
      <w:pPr>
        <w:spacing w:after="0"/>
        <w:jc w:val="both"/>
        <w:rPr>
          <w:rFonts w:ascii="Arial" w:hAnsi="Arial" w:cs="Arial"/>
          <w:sz w:val="24"/>
          <w:szCs w:val="24"/>
        </w:rPr>
      </w:pPr>
    </w:p>
    <w:p w14:paraId="5EB0E1AE" w14:textId="77777777" w:rsidR="00894C3E" w:rsidRDefault="004631C5" w:rsidP="00894C3E">
      <w:pPr>
        <w:spacing w:after="0"/>
        <w:jc w:val="both"/>
        <w:rPr>
          <w:rFonts w:ascii="Arial" w:hAnsi="Arial" w:cs="Arial"/>
          <w:sz w:val="24"/>
          <w:szCs w:val="24"/>
        </w:rPr>
      </w:pPr>
      <w:r w:rsidRPr="00894C3E">
        <w:rPr>
          <w:rFonts w:ascii="Arial" w:hAnsi="Arial" w:cs="Arial"/>
          <w:sz w:val="24"/>
          <w:szCs w:val="24"/>
        </w:rPr>
        <w:t>T</w:t>
      </w:r>
      <w:r w:rsidR="003405EC" w:rsidRPr="00894C3E">
        <w:rPr>
          <w:rFonts w:ascii="Arial" w:hAnsi="Arial" w:cs="Arial"/>
          <w:sz w:val="24"/>
          <w:szCs w:val="24"/>
        </w:rPr>
        <w:t xml:space="preserve">his </w:t>
      </w:r>
      <w:r w:rsidR="00510FB8" w:rsidRPr="00894C3E">
        <w:rPr>
          <w:rFonts w:ascii="Arial" w:hAnsi="Arial" w:cs="Arial"/>
          <w:sz w:val="24"/>
          <w:szCs w:val="24"/>
        </w:rPr>
        <w:t xml:space="preserve">document </w:t>
      </w:r>
      <w:r w:rsidR="00F1298D" w:rsidRPr="00894C3E">
        <w:rPr>
          <w:rFonts w:ascii="Arial" w:hAnsi="Arial" w:cs="Arial"/>
          <w:sz w:val="24"/>
          <w:szCs w:val="24"/>
        </w:rPr>
        <w:t>clarif</w:t>
      </w:r>
      <w:r w:rsidR="00510FB8" w:rsidRPr="00894C3E">
        <w:rPr>
          <w:rFonts w:ascii="Arial" w:hAnsi="Arial" w:cs="Arial"/>
          <w:sz w:val="24"/>
          <w:szCs w:val="24"/>
        </w:rPr>
        <w:t>ies</w:t>
      </w:r>
      <w:r w:rsidR="00F1298D" w:rsidRPr="00894C3E">
        <w:rPr>
          <w:rFonts w:ascii="Arial" w:hAnsi="Arial" w:cs="Arial"/>
          <w:sz w:val="24"/>
          <w:szCs w:val="24"/>
        </w:rPr>
        <w:t xml:space="preserve"> the</w:t>
      </w:r>
      <w:r w:rsidRPr="00894C3E">
        <w:rPr>
          <w:rFonts w:ascii="Arial" w:hAnsi="Arial" w:cs="Arial"/>
          <w:sz w:val="24"/>
          <w:szCs w:val="24"/>
        </w:rPr>
        <w:t xml:space="preserve"> </w:t>
      </w:r>
      <w:r w:rsidR="00510FB8" w:rsidRPr="00894C3E">
        <w:rPr>
          <w:rFonts w:ascii="Arial" w:hAnsi="Arial" w:cs="Arial"/>
          <w:sz w:val="24"/>
          <w:szCs w:val="24"/>
        </w:rPr>
        <w:t>role</w:t>
      </w:r>
      <w:r w:rsidR="00F1298D" w:rsidRPr="00894C3E">
        <w:rPr>
          <w:rFonts w:ascii="Arial" w:hAnsi="Arial" w:cs="Arial"/>
          <w:sz w:val="24"/>
          <w:szCs w:val="24"/>
        </w:rPr>
        <w:t xml:space="preserve"> of</w:t>
      </w:r>
      <w:r w:rsidRPr="00894C3E">
        <w:rPr>
          <w:rFonts w:ascii="Arial" w:hAnsi="Arial" w:cs="Arial"/>
          <w:sz w:val="24"/>
          <w:szCs w:val="24"/>
        </w:rPr>
        <w:t xml:space="preserve"> </w:t>
      </w:r>
      <w:r w:rsidR="00CF3126" w:rsidRPr="00894C3E">
        <w:rPr>
          <w:rFonts w:ascii="Arial" w:hAnsi="Arial" w:cs="Arial"/>
          <w:sz w:val="24"/>
          <w:szCs w:val="24"/>
        </w:rPr>
        <w:t>BCP Children’s Services staff</w:t>
      </w:r>
      <w:r w:rsidRPr="00894C3E">
        <w:rPr>
          <w:rFonts w:ascii="Arial" w:hAnsi="Arial" w:cs="Arial"/>
          <w:sz w:val="24"/>
          <w:szCs w:val="24"/>
        </w:rPr>
        <w:t xml:space="preserve"> when dealing with adults who may pose a risk of harm to the children with </w:t>
      </w:r>
      <w:r w:rsidR="00F11CC3" w:rsidRPr="00894C3E">
        <w:rPr>
          <w:rFonts w:ascii="Arial" w:hAnsi="Arial" w:cs="Arial"/>
          <w:sz w:val="24"/>
          <w:szCs w:val="24"/>
        </w:rPr>
        <w:t>whom they</w:t>
      </w:r>
      <w:r w:rsidRPr="00894C3E">
        <w:rPr>
          <w:rFonts w:ascii="Arial" w:hAnsi="Arial" w:cs="Arial"/>
          <w:sz w:val="24"/>
          <w:szCs w:val="24"/>
        </w:rPr>
        <w:t xml:space="preserve"> </w:t>
      </w:r>
      <w:r w:rsidR="00F11CC3" w:rsidRPr="00894C3E">
        <w:rPr>
          <w:rFonts w:ascii="Arial" w:hAnsi="Arial" w:cs="Arial"/>
          <w:sz w:val="24"/>
          <w:szCs w:val="24"/>
        </w:rPr>
        <w:t>work.</w:t>
      </w:r>
      <w:r w:rsidRPr="00894C3E">
        <w:rPr>
          <w:rFonts w:ascii="Arial" w:hAnsi="Arial" w:cs="Arial"/>
          <w:sz w:val="24"/>
          <w:szCs w:val="24"/>
        </w:rPr>
        <w:t xml:space="preserve"> </w:t>
      </w:r>
      <w:r w:rsidR="00F74156" w:rsidRPr="00894C3E">
        <w:rPr>
          <w:rFonts w:ascii="Arial" w:hAnsi="Arial" w:cs="Arial"/>
          <w:sz w:val="24"/>
          <w:szCs w:val="24"/>
        </w:rPr>
        <w:t xml:space="preserve">When an allegation is </w:t>
      </w:r>
      <w:r w:rsidR="002255CE" w:rsidRPr="00894C3E">
        <w:rPr>
          <w:rFonts w:ascii="Arial" w:hAnsi="Arial" w:cs="Arial"/>
          <w:sz w:val="24"/>
          <w:szCs w:val="24"/>
        </w:rPr>
        <w:t>made,</w:t>
      </w:r>
      <w:r w:rsidR="00F74156" w:rsidRPr="00894C3E">
        <w:rPr>
          <w:rFonts w:ascii="Arial" w:hAnsi="Arial" w:cs="Arial"/>
          <w:sz w:val="24"/>
          <w:szCs w:val="24"/>
        </w:rPr>
        <w:t xml:space="preserve"> and an individual’s livelihood </w:t>
      </w:r>
      <w:r w:rsidR="00F1298D" w:rsidRPr="00894C3E">
        <w:rPr>
          <w:rFonts w:ascii="Arial" w:hAnsi="Arial" w:cs="Arial"/>
          <w:sz w:val="24"/>
          <w:szCs w:val="24"/>
        </w:rPr>
        <w:t xml:space="preserve">or reputation </w:t>
      </w:r>
      <w:r w:rsidR="00F74156" w:rsidRPr="00894C3E">
        <w:rPr>
          <w:rFonts w:ascii="Arial" w:hAnsi="Arial" w:cs="Arial"/>
          <w:sz w:val="24"/>
          <w:szCs w:val="24"/>
        </w:rPr>
        <w:t xml:space="preserve">is at risk there </w:t>
      </w:r>
      <w:r w:rsidR="00F1298D" w:rsidRPr="00894C3E">
        <w:rPr>
          <w:rFonts w:ascii="Arial" w:hAnsi="Arial" w:cs="Arial"/>
          <w:sz w:val="24"/>
          <w:szCs w:val="24"/>
        </w:rPr>
        <w:t>must be</w:t>
      </w:r>
      <w:r w:rsidR="00F74156" w:rsidRPr="00894C3E">
        <w:rPr>
          <w:rFonts w:ascii="Arial" w:hAnsi="Arial" w:cs="Arial"/>
          <w:sz w:val="24"/>
          <w:szCs w:val="24"/>
        </w:rPr>
        <w:t xml:space="preserve"> robust </w:t>
      </w:r>
      <w:r w:rsidR="00F1298D" w:rsidRPr="00894C3E">
        <w:rPr>
          <w:rFonts w:ascii="Arial" w:hAnsi="Arial" w:cs="Arial"/>
          <w:sz w:val="24"/>
          <w:szCs w:val="24"/>
        </w:rPr>
        <w:t>processes</w:t>
      </w:r>
      <w:r w:rsidR="00F74156" w:rsidRPr="00894C3E">
        <w:rPr>
          <w:rFonts w:ascii="Arial" w:hAnsi="Arial" w:cs="Arial"/>
          <w:sz w:val="24"/>
          <w:szCs w:val="24"/>
        </w:rPr>
        <w:t xml:space="preserve"> to ensure that matters are conducted with due regard to </w:t>
      </w:r>
      <w:r w:rsidR="00F1298D" w:rsidRPr="00894C3E">
        <w:rPr>
          <w:rFonts w:ascii="Arial" w:hAnsi="Arial" w:cs="Arial"/>
          <w:sz w:val="24"/>
          <w:szCs w:val="24"/>
        </w:rPr>
        <w:t xml:space="preserve">fairness to </w:t>
      </w:r>
      <w:r w:rsidR="00F74156" w:rsidRPr="00894C3E">
        <w:rPr>
          <w:rFonts w:ascii="Arial" w:hAnsi="Arial" w:cs="Arial"/>
          <w:sz w:val="24"/>
          <w:szCs w:val="24"/>
        </w:rPr>
        <w:t>the individual</w:t>
      </w:r>
      <w:r w:rsidR="00A92959" w:rsidRPr="00894C3E">
        <w:rPr>
          <w:rFonts w:ascii="Arial" w:hAnsi="Arial" w:cs="Arial"/>
          <w:sz w:val="24"/>
          <w:szCs w:val="24"/>
        </w:rPr>
        <w:t>.</w:t>
      </w:r>
      <w:r w:rsidR="00F74156" w:rsidRPr="00894C3E">
        <w:rPr>
          <w:rFonts w:ascii="Arial" w:hAnsi="Arial" w:cs="Arial"/>
          <w:sz w:val="24"/>
          <w:szCs w:val="24"/>
        </w:rPr>
        <w:t xml:space="preserve"> </w:t>
      </w:r>
      <w:r w:rsidR="00A92959" w:rsidRPr="00894C3E">
        <w:rPr>
          <w:rFonts w:ascii="Arial" w:hAnsi="Arial" w:cs="Arial"/>
          <w:sz w:val="24"/>
          <w:szCs w:val="24"/>
        </w:rPr>
        <w:t>However,</w:t>
      </w:r>
      <w:r w:rsidR="00F1298D" w:rsidRPr="00894C3E">
        <w:rPr>
          <w:rFonts w:ascii="Arial" w:hAnsi="Arial" w:cs="Arial"/>
          <w:sz w:val="24"/>
          <w:szCs w:val="24"/>
        </w:rPr>
        <w:t xml:space="preserve"> </w:t>
      </w:r>
      <w:r w:rsidR="00F74156" w:rsidRPr="00894C3E">
        <w:rPr>
          <w:rFonts w:ascii="Arial" w:hAnsi="Arial" w:cs="Arial"/>
          <w:sz w:val="24"/>
          <w:szCs w:val="24"/>
        </w:rPr>
        <w:t>th</w:t>
      </w:r>
      <w:r w:rsidR="000A2F72" w:rsidRPr="00894C3E">
        <w:rPr>
          <w:rFonts w:ascii="Arial" w:hAnsi="Arial" w:cs="Arial"/>
          <w:sz w:val="24"/>
          <w:szCs w:val="24"/>
        </w:rPr>
        <w:t xml:space="preserve">e primary focus must </w:t>
      </w:r>
      <w:r w:rsidR="00F1298D" w:rsidRPr="00894C3E">
        <w:rPr>
          <w:rFonts w:ascii="Arial" w:hAnsi="Arial" w:cs="Arial"/>
          <w:sz w:val="24"/>
          <w:szCs w:val="24"/>
        </w:rPr>
        <w:t xml:space="preserve">always </w:t>
      </w:r>
      <w:r w:rsidR="000A2F72" w:rsidRPr="00894C3E">
        <w:rPr>
          <w:rFonts w:ascii="Arial" w:hAnsi="Arial" w:cs="Arial"/>
          <w:sz w:val="24"/>
          <w:szCs w:val="24"/>
        </w:rPr>
        <w:t>be</w:t>
      </w:r>
      <w:r w:rsidR="002255CE" w:rsidRPr="00894C3E">
        <w:rPr>
          <w:rFonts w:ascii="Arial" w:hAnsi="Arial" w:cs="Arial"/>
          <w:sz w:val="24"/>
          <w:szCs w:val="24"/>
        </w:rPr>
        <w:t xml:space="preserve"> </w:t>
      </w:r>
      <w:r w:rsidR="000A2F72" w:rsidRPr="00894C3E">
        <w:rPr>
          <w:rFonts w:ascii="Arial" w:hAnsi="Arial" w:cs="Arial"/>
          <w:sz w:val="24"/>
          <w:szCs w:val="24"/>
        </w:rPr>
        <w:t>safeguarding the child specific to the all</w:t>
      </w:r>
      <w:r w:rsidR="00F7200B" w:rsidRPr="00894C3E">
        <w:rPr>
          <w:rFonts w:ascii="Arial" w:hAnsi="Arial" w:cs="Arial"/>
          <w:sz w:val="24"/>
          <w:szCs w:val="24"/>
        </w:rPr>
        <w:t xml:space="preserve">egation and other children </w:t>
      </w:r>
      <w:r w:rsidR="00532871" w:rsidRPr="00894C3E">
        <w:rPr>
          <w:rFonts w:ascii="Arial" w:hAnsi="Arial" w:cs="Arial"/>
          <w:sz w:val="24"/>
          <w:szCs w:val="24"/>
        </w:rPr>
        <w:t xml:space="preserve">who </w:t>
      </w:r>
      <w:r w:rsidR="00F7200B" w:rsidRPr="00894C3E">
        <w:rPr>
          <w:rFonts w:ascii="Arial" w:hAnsi="Arial" w:cs="Arial"/>
          <w:sz w:val="24"/>
          <w:szCs w:val="24"/>
        </w:rPr>
        <w:t xml:space="preserve">the </w:t>
      </w:r>
      <w:r w:rsidR="00F1298D" w:rsidRPr="00894C3E">
        <w:rPr>
          <w:rFonts w:ascii="Arial" w:hAnsi="Arial" w:cs="Arial"/>
          <w:sz w:val="24"/>
          <w:szCs w:val="24"/>
        </w:rPr>
        <w:t>a</w:t>
      </w:r>
      <w:r w:rsidR="00B31452" w:rsidRPr="00894C3E">
        <w:rPr>
          <w:rFonts w:ascii="Arial" w:hAnsi="Arial" w:cs="Arial"/>
          <w:sz w:val="24"/>
          <w:szCs w:val="24"/>
        </w:rPr>
        <w:t>dult of concern</w:t>
      </w:r>
      <w:r w:rsidR="000A2F72" w:rsidRPr="00894C3E">
        <w:rPr>
          <w:rFonts w:ascii="Arial" w:hAnsi="Arial" w:cs="Arial"/>
          <w:sz w:val="24"/>
          <w:szCs w:val="24"/>
        </w:rPr>
        <w:t xml:space="preserve"> may </w:t>
      </w:r>
      <w:r w:rsidR="00620EAA" w:rsidRPr="00894C3E">
        <w:rPr>
          <w:rFonts w:ascii="Arial" w:hAnsi="Arial" w:cs="Arial"/>
          <w:sz w:val="24"/>
          <w:szCs w:val="24"/>
        </w:rPr>
        <w:t>work</w:t>
      </w:r>
      <w:r w:rsidR="000A2F72" w:rsidRPr="00894C3E">
        <w:rPr>
          <w:rFonts w:ascii="Arial" w:hAnsi="Arial" w:cs="Arial"/>
          <w:sz w:val="24"/>
          <w:szCs w:val="24"/>
        </w:rPr>
        <w:t xml:space="preserve"> with</w:t>
      </w:r>
      <w:r w:rsidR="00F1298D" w:rsidRPr="00894C3E">
        <w:rPr>
          <w:rFonts w:ascii="Arial" w:hAnsi="Arial" w:cs="Arial"/>
          <w:sz w:val="24"/>
          <w:szCs w:val="24"/>
        </w:rPr>
        <w:t xml:space="preserve"> or have contact with</w:t>
      </w:r>
      <w:r w:rsidR="00F74156" w:rsidRPr="00894C3E">
        <w:rPr>
          <w:rFonts w:ascii="Arial" w:hAnsi="Arial" w:cs="Arial"/>
          <w:sz w:val="24"/>
          <w:szCs w:val="24"/>
        </w:rPr>
        <w:t>.</w:t>
      </w:r>
    </w:p>
    <w:p w14:paraId="37207366" w14:textId="6CD26671" w:rsidR="00F74156" w:rsidRPr="00894C3E" w:rsidRDefault="00F74156" w:rsidP="00894C3E">
      <w:pPr>
        <w:spacing w:after="0"/>
        <w:jc w:val="both"/>
        <w:rPr>
          <w:rFonts w:ascii="Arial" w:hAnsi="Arial" w:cs="Arial"/>
          <w:sz w:val="24"/>
          <w:szCs w:val="24"/>
        </w:rPr>
      </w:pPr>
      <w:r w:rsidRPr="00894C3E">
        <w:rPr>
          <w:rFonts w:ascii="Arial" w:hAnsi="Arial" w:cs="Arial"/>
          <w:sz w:val="24"/>
          <w:szCs w:val="24"/>
        </w:rPr>
        <w:t xml:space="preserve"> </w:t>
      </w:r>
    </w:p>
    <w:p w14:paraId="72F7F07C" w14:textId="541DCE81" w:rsidR="00456591" w:rsidRDefault="00D60732" w:rsidP="00894C3E">
      <w:pPr>
        <w:spacing w:after="0"/>
        <w:rPr>
          <w:rFonts w:ascii="Arial" w:hAnsi="Arial" w:cs="Arial"/>
          <w:color w:val="0070C0"/>
          <w:sz w:val="24"/>
          <w:szCs w:val="24"/>
        </w:rPr>
      </w:pPr>
      <w:r w:rsidRPr="00894C3E">
        <w:rPr>
          <w:rFonts w:ascii="Arial" w:hAnsi="Arial" w:cs="Arial"/>
          <w:sz w:val="24"/>
          <w:szCs w:val="24"/>
        </w:rPr>
        <w:t>T</w:t>
      </w:r>
      <w:r w:rsidR="006A04D6" w:rsidRPr="00894C3E">
        <w:rPr>
          <w:rFonts w:ascii="Arial" w:hAnsi="Arial" w:cs="Arial"/>
          <w:sz w:val="24"/>
          <w:szCs w:val="24"/>
        </w:rPr>
        <w:t>h</w:t>
      </w:r>
      <w:r w:rsidR="00A92959" w:rsidRPr="00894C3E">
        <w:rPr>
          <w:rFonts w:ascii="Arial" w:hAnsi="Arial" w:cs="Arial"/>
          <w:sz w:val="24"/>
          <w:szCs w:val="24"/>
        </w:rPr>
        <w:t>is procedure must be read alongside the</w:t>
      </w:r>
      <w:r w:rsidR="006A04D6" w:rsidRPr="00894C3E">
        <w:rPr>
          <w:rFonts w:ascii="Arial" w:hAnsi="Arial" w:cs="Arial"/>
          <w:sz w:val="24"/>
          <w:szCs w:val="24"/>
        </w:rPr>
        <w:t xml:space="preserve"> full </w:t>
      </w:r>
      <w:r w:rsidR="00A92959" w:rsidRPr="00894C3E">
        <w:rPr>
          <w:rFonts w:ascii="Arial" w:hAnsi="Arial" w:cs="Arial"/>
          <w:sz w:val="24"/>
          <w:szCs w:val="24"/>
        </w:rPr>
        <w:t>m</w:t>
      </w:r>
      <w:r w:rsidR="006A04D6" w:rsidRPr="00894C3E">
        <w:rPr>
          <w:rFonts w:ascii="Arial" w:hAnsi="Arial" w:cs="Arial"/>
          <w:sz w:val="24"/>
          <w:szCs w:val="24"/>
        </w:rPr>
        <w:t xml:space="preserve">ulti </w:t>
      </w:r>
      <w:r w:rsidRPr="00894C3E">
        <w:rPr>
          <w:rFonts w:ascii="Arial" w:hAnsi="Arial" w:cs="Arial"/>
          <w:sz w:val="24"/>
          <w:szCs w:val="24"/>
        </w:rPr>
        <w:t>-</w:t>
      </w:r>
      <w:r w:rsidR="006A04D6" w:rsidRPr="00894C3E">
        <w:rPr>
          <w:rFonts w:ascii="Arial" w:hAnsi="Arial" w:cs="Arial"/>
          <w:sz w:val="24"/>
          <w:szCs w:val="24"/>
        </w:rPr>
        <w:t>agency procedures</w:t>
      </w:r>
      <w:r w:rsidR="00DC09E8" w:rsidRPr="00894C3E">
        <w:rPr>
          <w:rFonts w:ascii="Arial" w:hAnsi="Arial" w:cs="Arial"/>
          <w:sz w:val="24"/>
          <w:szCs w:val="24"/>
        </w:rPr>
        <w:t xml:space="preserve"> regarding Allegations against Staff, Carers and Volunteers</w:t>
      </w:r>
      <w:r w:rsidRPr="00894C3E">
        <w:rPr>
          <w:rFonts w:ascii="Arial" w:hAnsi="Arial" w:cs="Arial"/>
          <w:sz w:val="24"/>
          <w:szCs w:val="24"/>
        </w:rPr>
        <w:t xml:space="preserve"> are available on the </w:t>
      </w:r>
      <w:hyperlink r:id="rId9" w:history="1">
        <w:r w:rsidRPr="00894C3E">
          <w:rPr>
            <w:rStyle w:val="Hyperlink"/>
            <w:rFonts w:ascii="Arial" w:hAnsi="Arial" w:cs="Arial"/>
            <w:sz w:val="24"/>
            <w:szCs w:val="24"/>
          </w:rPr>
          <w:t xml:space="preserve">Pan-Dorset </w:t>
        </w:r>
        <w:r w:rsidR="00F6530D" w:rsidRPr="00894C3E">
          <w:rPr>
            <w:rStyle w:val="Hyperlink"/>
            <w:rFonts w:ascii="Arial" w:hAnsi="Arial" w:cs="Arial"/>
            <w:sz w:val="24"/>
            <w:szCs w:val="24"/>
          </w:rPr>
          <w:t>S</w:t>
        </w:r>
        <w:r w:rsidRPr="00894C3E">
          <w:rPr>
            <w:rStyle w:val="Hyperlink"/>
            <w:rFonts w:ascii="Arial" w:hAnsi="Arial" w:cs="Arial"/>
            <w:sz w:val="24"/>
            <w:szCs w:val="24"/>
          </w:rPr>
          <w:t>afeguarding Partnership website</w:t>
        </w:r>
      </w:hyperlink>
      <w:r w:rsidRPr="00894C3E">
        <w:rPr>
          <w:rFonts w:ascii="Arial" w:hAnsi="Arial" w:cs="Arial"/>
          <w:sz w:val="24"/>
          <w:szCs w:val="24"/>
        </w:rPr>
        <w:t>.</w:t>
      </w:r>
      <w:r w:rsidRPr="00894C3E">
        <w:rPr>
          <w:rFonts w:ascii="Arial" w:hAnsi="Arial" w:cs="Arial"/>
          <w:color w:val="0070C0"/>
          <w:sz w:val="24"/>
          <w:szCs w:val="24"/>
        </w:rPr>
        <w:t xml:space="preserve"> </w:t>
      </w:r>
    </w:p>
    <w:p w14:paraId="16881F01" w14:textId="77777777" w:rsidR="00894C3E" w:rsidRPr="00894C3E" w:rsidRDefault="00894C3E" w:rsidP="00894C3E">
      <w:pPr>
        <w:spacing w:after="0"/>
        <w:rPr>
          <w:rFonts w:ascii="Arial" w:hAnsi="Arial" w:cs="Arial"/>
          <w:color w:val="0070C0"/>
          <w:sz w:val="24"/>
          <w:szCs w:val="24"/>
        </w:rPr>
      </w:pPr>
    </w:p>
    <w:p w14:paraId="2CD1BC7C" w14:textId="7F8F6841" w:rsidR="002170C9" w:rsidRDefault="00703F22" w:rsidP="00894C3E">
      <w:pPr>
        <w:pStyle w:val="Heading1"/>
        <w:numPr>
          <w:ilvl w:val="0"/>
          <w:numId w:val="13"/>
        </w:numPr>
        <w:spacing w:before="0"/>
        <w:ind w:left="567" w:hanging="567"/>
        <w:rPr>
          <w:b/>
          <w:bCs/>
        </w:rPr>
      </w:pPr>
      <w:bookmarkStart w:id="2" w:name="_Toc53048217"/>
      <w:r w:rsidRPr="00894C3E">
        <w:rPr>
          <w:b/>
          <w:bCs/>
        </w:rPr>
        <w:t xml:space="preserve">The role of the </w:t>
      </w:r>
      <w:r w:rsidR="00D60732" w:rsidRPr="00894C3E">
        <w:rPr>
          <w:b/>
          <w:bCs/>
        </w:rPr>
        <w:t xml:space="preserve">BCP </w:t>
      </w:r>
      <w:r w:rsidR="006E1047" w:rsidRPr="00894C3E">
        <w:rPr>
          <w:b/>
          <w:bCs/>
        </w:rPr>
        <w:t>Local Authority Designated Officer</w:t>
      </w:r>
      <w:r w:rsidR="00D60732" w:rsidRPr="00894C3E">
        <w:rPr>
          <w:b/>
          <w:bCs/>
        </w:rPr>
        <w:t>s</w:t>
      </w:r>
      <w:r w:rsidR="006E1047" w:rsidRPr="00894C3E">
        <w:rPr>
          <w:b/>
          <w:bCs/>
        </w:rPr>
        <w:t xml:space="preserve"> (</w:t>
      </w:r>
      <w:r w:rsidR="002170C9" w:rsidRPr="00894C3E">
        <w:rPr>
          <w:b/>
          <w:bCs/>
        </w:rPr>
        <w:t>LADO</w:t>
      </w:r>
      <w:r w:rsidR="00D60732" w:rsidRPr="00894C3E">
        <w:rPr>
          <w:b/>
          <w:bCs/>
        </w:rPr>
        <w:t>s</w:t>
      </w:r>
      <w:r w:rsidR="006E1047" w:rsidRPr="00894C3E">
        <w:rPr>
          <w:b/>
          <w:bCs/>
        </w:rPr>
        <w:t>)</w:t>
      </w:r>
      <w:bookmarkEnd w:id="2"/>
    </w:p>
    <w:p w14:paraId="36FED5E1" w14:textId="77777777" w:rsidR="00894C3E" w:rsidRDefault="00894C3E" w:rsidP="00894C3E">
      <w:pPr>
        <w:spacing w:after="0"/>
        <w:jc w:val="both"/>
        <w:rPr>
          <w:rFonts w:ascii="Arial" w:hAnsi="Arial" w:cs="Arial"/>
          <w:bCs/>
          <w:sz w:val="24"/>
          <w:szCs w:val="24"/>
        </w:rPr>
      </w:pPr>
    </w:p>
    <w:p w14:paraId="0538A935" w14:textId="10E83325" w:rsidR="00B92AA2" w:rsidRPr="00894C3E" w:rsidRDefault="00B92AA2" w:rsidP="00894C3E">
      <w:pPr>
        <w:spacing w:after="0"/>
        <w:jc w:val="both"/>
        <w:rPr>
          <w:rFonts w:ascii="Arial" w:hAnsi="Arial" w:cs="Arial"/>
          <w:sz w:val="24"/>
          <w:szCs w:val="24"/>
        </w:rPr>
      </w:pPr>
      <w:r w:rsidRPr="00894C3E">
        <w:rPr>
          <w:rFonts w:ascii="Arial" w:hAnsi="Arial" w:cs="Arial"/>
          <w:bCs/>
          <w:sz w:val="24"/>
          <w:szCs w:val="24"/>
        </w:rPr>
        <w:t xml:space="preserve">Adults who work with children should be safe and the threshold for this work is </w:t>
      </w:r>
      <w:r w:rsidRPr="00894C3E">
        <w:rPr>
          <w:rFonts w:ascii="Arial" w:hAnsi="Arial" w:cs="Arial"/>
          <w:bCs/>
          <w:i/>
          <w:sz w:val="24"/>
          <w:szCs w:val="24"/>
        </w:rPr>
        <w:t xml:space="preserve">harm </w:t>
      </w:r>
      <w:r w:rsidRPr="00894C3E">
        <w:rPr>
          <w:rFonts w:ascii="Arial" w:hAnsi="Arial" w:cs="Arial"/>
          <w:bCs/>
          <w:sz w:val="24"/>
          <w:szCs w:val="24"/>
        </w:rPr>
        <w:t xml:space="preserve">rather than significant harm. </w:t>
      </w:r>
      <w:r w:rsidRPr="00894C3E">
        <w:rPr>
          <w:rFonts w:ascii="Arial" w:hAnsi="Arial" w:cs="Arial"/>
          <w:sz w:val="24"/>
          <w:szCs w:val="24"/>
        </w:rPr>
        <w:t>Harm can be through acts of omission (failing to act to protect a child in their care) or commission. There always needs to be carefully evidenced consideration of the impact on the accused adult’s ability to work safely with children.</w:t>
      </w:r>
    </w:p>
    <w:p w14:paraId="6A6CDB6F" w14:textId="77777777" w:rsidR="00894C3E" w:rsidRDefault="00894C3E" w:rsidP="00894C3E">
      <w:pPr>
        <w:spacing w:after="0"/>
        <w:jc w:val="both"/>
        <w:rPr>
          <w:rFonts w:ascii="Arial" w:hAnsi="Arial" w:cs="Arial"/>
          <w:bCs/>
          <w:sz w:val="24"/>
          <w:szCs w:val="24"/>
        </w:rPr>
      </w:pPr>
    </w:p>
    <w:p w14:paraId="69C006A8" w14:textId="3380ACAB" w:rsidR="00B92AA2" w:rsidRDefault="00B92AA2" w:rsidP="00894C3E">
      <w:pPr>
        <w:spacing w:after="0"/>
        <w:jc w:val="both"/>
        <w:rPr>
          <w:rFonts w:ascii="Arial" w:hAnsi="Arial" w:cs="Arial"/>
          <w:bCs/>
          <w:sz w:val="24"/>
          <w:szCs w:val="24"/>
        </w:rPr>
      </w:pPr>
      <w:r w:rsidRPr="00894C3E">
        <w:rPr>
          <w:rFonts w:ascii="Arial" w:hAnsi="Arial" w:cs="Arial"/>
          <w:bCs/>
          <w:sz w:val="24"/>
          <w:szCs w:val="24"/>
        </w:rPr>
        <w:t>The BCP LADOs are available to discuss cases with practitioners when they are not sure whether the harm threshold is met. They will help practitioners and employer/managers to decide whether these procedures should be implemented or whether there is a more appropriate way to deal with the issue. Some situations are very clear but, on many occasions, working out whether harm has occurred even when an adult’s behaviour has fallen short of expectations can be challenging</w:t>
      </w:r>
      <w:r w:rsidR="00894C3E">
        <w:rPr>
          <w:rFonts w:ascii="Arial" w:hAnsi="Arial" w:cs="Arial"/>
          <w:bCs/>
          <w:sz w:val="24"/>
          <w:szCs w:val="24"/>
        </w:rPr>
        <w:t>.</w:t>
      </w:r>
    </w:p>
    <w:p w14:paraId="450A342E" w14:textId="77777777" w:rsidR="00894C3E" w:rsidRPr="00894C3E" w:rsidRDefault="00894C3E" w:rsidP="00894C3E">
      <w:pPr>
        <w:spacing w:after="0"/>
        <w:jc w:val="both"/>
        <w:rPr>
          <w:rFonts w:ascii="Arial" w:hAnsi="Arial" w:cs="Arial"/>
          <w:sz w:val="24"/>
          <w:szCs w:val="24"/>
        </w:rPr>
      </w:pPr>
    </w:p>
    <w:p w14:paraId="06CC41E9" w14:textId="77777777" w:rsidR="00EA787F" w:rsidRPr="00894C3E" w:rsidRDefault="00384958" w:rsidP="00894C3E">
      <w:pPr>
        <w:spacing w:after="0"/>
        <w:jc w:val="both"/>
        <w:rPr>
          <w:rFonts w:ascii="Arial" w:hAnsi="Arial" w:cs="Arial"/>
          <w:sz w:val="24"/>
          <w:szCs w:val="24"/>
        </w:rPr>
      </w:pPr>
      <w:r w:rsidRPr="00894C3E">
        <w:rPr>
          <w:rFonts w:ascii="Arial" w:hAnsi="Arial" w:cs="Arial"/>
          <w:sz w:val="24"/>
          <w:szCs w:val="24"/>
        </w:rPr>
        <w:t xml:space="preserve">The LADOs are not investigators. </w:t>
      </w:r>
      <w:r w:rsidR="006E1047" w:rsidRPr="00894C3E">
        <w:rPr>
          <w:rFonts w:ascii="Arial" w:hAnsi="Arial" w:cs="Arial"/>
          <w:sz w:val="24"/>
          <w:szCs w:val="24"/>
        </w:rPr>
        <w:t>T</w:t>
      </w:r>
      <w:r w:rsidR="00EA787F" w:rsidRPr="00894C3E">
        <w:rPr>
          <w:rFonts w:ascii="Arial" w:hAnsi="Arial" w:cs="Arial"/>
          <w:sz w:val="24"/>
          <w:szCs w:val="24"/>
        </w:rPr>
        <w:t xml:space="preserve">hey use their </w:t>
      </w:r>
      <w:r w:rsidR="002F5079" w:rsidRPr="00894C3E">
        <w:rPr>
          <w:rFonts w:ascii="Arial" w:hAnsi="Arial" w:cs="Arial"/>
          <w:sz w:val="24"/>
          <w:szCs w:val="24"/>
        </w:rPr>
        <w:t xml:space="preserve">safeguarding </w:t>
      </w:r>
      <w:r w:rsidR="00EA787F" w:rsidRPr="00894C3E">
        <w:rPr>
          <w:rFonts w:ascii="Arial" w:hAnsi="Arial" w:cs="Arial"/>
          <w:sz w:val="24"/>
          <w:szCs w:val="24"/>
        </w:rPr>
        <w:t xml:space="preserve">expertise to ensure that risk is </w:t>
      </w:r>
      <w:r w:rsidR="006E1047" w:rsidRPr="00894C3E">
        <w:rPr>
          <w:rFonts w:ascii="Arial" w:hAnsi="Arial" w:cs="Arial"/>
          <w:sz w:val="24"/>
          <w:szCs w:val="24"/>
        </w:rPr>
        <w:t>appropriately</w:t>
      </w:r>
      <w:r w:rsidR="00EA787F" w:rsidRPr="00894C3E">
        <w:rPr>
          <w:rFonts w:ascii="Arial" w:hAnsi="Arial" w:cs="Arial"/>
          <w:sz w:val="24"/>
          <w:szCs w:val="24"/>
        </w:rPr>
        <w:t xml:space="preserve"> </w:t>
      </w:r>
      <w:r w:rsidR="002E05C4" w:rsidRPr="00894C3E">
        <w:rPr>
          <w:rFonts w:ascii="Arial" w:hAnsi="Arial" w:cs="Arial"/>
          <w:sz w:val="24"/>
          <w:szCs w:val="24"/>
        </w:rPr>
        <w:t>managed and</w:t>
      </w:r>
      <w:r w:rsidR="00EA787F" w:rsidRPr="00894C3E">
        <w:rPr>
          <w:rFonts w:ascii="Arial" w:hAnsi="Arial" w:cs="Arial"/>
          <w:sz w:val="24"/>
          <w:szCs w:val="24"/>
        </w:rPr>
        <w:t xml:space="preserve"> that the correct </w:t>
      </w:r>
      <w:r w:rsidR="006E1047" w:rsidRPr="00894C3E">
        <w:rPr>
          <w:rFonts w:ascii="Arial" w:hAnsi="Arial" w:cs="Arial"/>
          <w:sz w:val="24"/>
          <w:szCs w:val="24"/>
        </w:rPr>
        <w:t>agencies</w:t>
      </w:r>
      <w:r w:rsidR="00EA787F" w:rsidRPr="00894C3E">
        <w:rPr>
          <w:rFonts w:ascii="Arial" w:hAnsi="Arial" w:cs="Arial"/>
          <w:sz w:val="24"/>
          <w:szCs w:val="24"/>
        </w:rPr>
        <w:t xml:space="preserve"> and </w:t>
      </w:r>
      <w:r w:rsidR="006E1047" w:rsidRPr="00894C3E">
        <w:rPr>
          <w:rFonts w:ascii="Arial" w:hAnsi="Arial" w:cs="Arial"/>
          <w:sz w:val="24"/>
          <w:szCs w:val="24"/>
        </w:rPr>
        <w:t>individuals</w:t>
      </w:r>
      <w:r w:rsidR="00EA787F" w:rsidRPr="00894C3E">
        <w:rPr>
          <w:rFonts w:ascii="Arial" w:hAnsi="Arial" w:cs="Arial"/>
          <w:sz w:val="24"/>
          <w:szCs w:val="24"/>
        </w:rPr>
        <w:t xml:space="preserve"> are involved</w:t>
      </w:r>
      <w:r w:rsidR="006E1047" w:rsidRPr="00894C3E">
        <w:rPr>
          <w:rFonts w:ascii="Arial" w:hAnsi="Arial" w:cs="Arial"/>
          <w:sz w:val="24"/>
          <w:szCs w:val="24"/>
        </w:rPr>
        <w:t xml:space="preserve">. </w:t>
      </w:r>
      <w:r w:rsidR="00D60732" w:rsidRPr="00894C3E">
        <w:rPr>
          <w:rFonts w:ascii="Arial" w:hAnsi="Arial" w:cs="Arial"/>
          <w:sz w:val="24"/>
          <w:szCs w:val="24"/>
        </w:rPr>
        <w:t>As far as the law and statutory interventions allow, t</w:t>
      </w:r>
      <w:r w:rsidR="006E1047" w:rsidRPr="00894C3E">
        <w:rPr>
          <w:rFonts w:ascii="Arial" w:hAnsi="Arial" w:cs="Arial"/>
          <w:sz w:val="24"/>
          <w:szCs w:val="24"/>
        </w:rPr>
        <w:t>hey must be satisfied</w:t>
      </w:r>
      <w:r w:rsidR="002E05C4" w:rsidRPr="00894C3E">
        <w:rPr>
          <w:rFonts w:ascii="Arial" w:hAnsi="Arial" w:cs="Arial"/>
          <w:sz w:val="24"/>
          <w:szCs w:val="24"/>
        </w:rPr>
        <w:t xml:space="preserve"> that </w:t>
      </w:r>
      <w:r w:rsidR="00EA787F" w:rsidRPr="00894C3E">
        <w:rPr>
          <w:rFonts w:ascii="Arial" w:hAnsi="Arial" w:cs="Arial"/>
          <w:sz w:val="24"/>
          <w:szCs w:val="24"/>
        </w:rPr>
        <w:t xml:space="preserve">the child who was subject to the </w:t>
      </w:r>
      <w:r w:rsidR="006E1047" w:rsidRPr="00894C3E">
        <w:rPr>
          <w:rFonts w:ascii="Arial" w:hAnsi="Arial" w:cs="Arial"/>
          <w:sz w:val="24"/>
          <w:szCs w:val="24"/>
        </w:rPr>
        <w:t>allegation</w:t>
      </w:r>
      <w:r w:rsidR="00EA787F" w:rsidRPr="00894C3E">
        <w:rPr>
          <w:rFonts w:ascii="Arial" w:hAnsi="Arial" w:cs="Arial"/>
          <w:sz w:val="24"/>
          <w:szCs w:val="24"/>
        </w:rPr>
        <w:t xml:space="preserve"> is </w:t>
      </w:r>
      <w:r w:rsidR="006E1047" w:rsidRPr="00894C3E">
        <w:rPr>
          <w:rFonts w:ascii="Arial" w:hAnsi="Arial" w:cs="Arial"/>
          <w:sz w:val="24"/>
          <w:szCs w:val="24"/>
        </w:rPr>
        <w:t>protected</w:t>
      </w:r>
      <w:r w:rsidR="002E05C4" w:rsidRPr="00894C3E">
        <w:rPr>
          <w:rFonts w:ascii="Arial" w:hAnsi="Arial" w:cs="Arial"/>
          <w:sz w:val="24"/>
          <w:szCs w:val="24"/>
        </w:rPr>
        <w:t>,</w:t>
      </w:r>
      <w:r w:rsidR="00EA787F" w:rsidRPr="00894C3E">
        <w:rPr>
          <w:rFonts w:ascii="Arial" w:hAnsi="Arial" w:cs="Arial"/>
          <w:sz w:val="24"/>
          <w:szCs w:val="24"/>
        </w:rPr>
        <w:t xml:space="preserve"> but also </w:t>
      </w:r>
      <w:r w:rsidR="00D60732" w:rsidRPr="00894C3E">
        <w:rPr>
          <w:rFonts w:ascii="Arial" w:hAnsi="Arial" w:cs="Arial"/>
          <w:sz w:val="24"/>
          <w:szCs w:val="24"/>
        </w:rPr>
        <w:t xml:space="preserve">that </w:t>
      </w:r>
      <w:r w:rsidR="00EA787F" w:rsidRPr="00894C3E">
        <w:rPr>
          <w:rFonts w:ascii="Arial" w:hAnsi="Arial" w:cs="Arial"/>
          <w:sz w:val="24"/>
          <w:szCs w:val="24"/>
        </w:rPr>
        <w:t>other children</w:t>
      </w:r>
      <w:r w:rsidR="002F5079" w:rsidRPr="00894C3E">
        <w:rPr>
          <w:rFonts w:ascii="Arial" w:hAnsi="Arial" w:cs="Arial"/>
          <w:sz w:val="24"/>
          <w:szCs w:val="24"/>
        </w:rPr>
        <w:t>,</w:t>
      </w:r>
      <w:r w:rsidR="00EA787F" w:rsidRPr="00894C3E">
        <w:rPr>
          <w:rFonts w:ascii="Arial" w:hAnsi="Arial" w:cs="Arial"/>
          <w:sz w:val="24"/>
          <w:szCs w:val="24"/>
        </w:rPr>
        <w:t xml:space="preserve"> </w:t>
      </w:r>
      <w:r w:rsidR="009C6F41" w:rsidRPr="00894C3E">
        <w:rPr>
          <w:rFonts w:ascii="Arial" w:hAnsi="Arial" w:cs="Arial"/>
          <w:sz w:val="24"/>
          <w:szCs w:val="24"/>
        </w:rPr>
        <w:t>with whom the adult work</w:t>
      </w:r>
      <w:r w:rsidR="00D60732" w:rsidRPr="00894C3E">
        <w:rPr>
          <w:rFonts w:ascii="Arial" w:hAnsi="Arial" w:cs="Arial"/>
          <w:sz w:val="24"/>
          <w:szCs w:val="24"/>
        </w:rPr>
        <w:t>s</w:t>
      </w:r>
      <w:r w:rsidR="006E1047" w:rsidRPr="00894C3E">
        <w:rPr>
          <w:rFonts w:ascii="Arial" w:hAnsi="Arial" w:cs="Arial"/>
          <w:sz w:val="24"/>
          <w:szCs w:val="24"/>
        </w:rPr>
        <w:t xml:space="preserve"> </w:t>
      </w:r>
      <w:r w:rsidR="002255CE" w:rsidRPr="00894C3E">
        <w:rPr>
          <w:rFonts w:ascii="Arial" w:hAnsi="Arial" w:cs="Arial"/>
          <w:sz w:val="24"/>
          <w:szCs w:val="24"/>
        </w:rPr>
        <w:t>with or h</w:t>
      </w:r>
      <w:r w:rsidR="002F5079" w:rsidRPr="00894C3E">
        <w:rPr>
          <w:rFonts w:ascii="Arial" w:hAnsi="Arial" w:cs="Arial"/>
          <w:sz w:val="24"/>
          <w:szCs w:val="24"/>
        </w:rPr>
        <w:t>as</w:t>
      </w:r>
      <w:r w:rsidR="002255CE" w:rsidRPr="00894C3E">
        <w:rPr>
          <w:rFonts w:ascii="Arial" w:hAnsi="Arial" w:cs="Arial"/>
          <w:sz w:val="24"/>
          <w:szCs w:val="24"/>
        </w:rPr>
        <w:t xml:space="preserve"> contact with</w:t>
      </w:r>
      <w:r w:rsidR="00D60732" w:rsidRPr="00894C3E">
        <w:rPr>
          <w:rFonts w:ascii="Arial" w:hAnsi="Arial" w:cs="Arial"/>
          <w:sz w:val="24"/>
          <w:szCs w:val="24"/>
        </w:rPr>
        <w:t>, are protected</w:t>
      </w:r>
      <w:r w:rsidR="002F5079" w:rsidRPr="00894C3E">
        <w:rPr>
          <w:rFonts w:ascii="Arial" w:hAnsi="Arial" w:cs="Arial"/>
          <w:sz w:val="24"/>
          <w:szCs w:val="24"/>
        </w:rPr>
        <w:t>.</w:t>
      </w:r>
    </w:p>
    <w:p w14:paraId="2A23DBBB" w14:textId="77777777" w:rsidR="00894C3E" w:rsidRDefault="00894C3E" w:rsidP="00894C3E">
      <w:pPr>
        <w:spacing w:after="0"/>
        <w:jc w:val="both"/>
        <w:rPr>
          <w:rFonts w:ascii="Arial" w:hAnsi="Arial" w:cs="Arial"/>
          <w:sz w:val="24"/>
          <w:szCs w:val="24"/>
        </w:rPr>
      </w:pPr>
    </w:p>
    <w:p w14:paraId="65094A2E" w14:textId="174A45F8" w:rsidR="00CF3126" w:rsidRPr="00894C3E" w:rsidRDefault="00DE3827" w:rsidP="00894C3E">
      <w:pPr>
        <w:spacing w:after="0"/>
        <w:jc w:val="both"/>
        <w:rPr>
          <w:rFonts w:ascii="Arial" w:hAnsi="Arial" w:cs="Arial"/>
          <w:color w:val="FF0000"/>
          <w:sz w:val="24"/>
          <w:szCs w:val="24"/>
        </w:rPr>
      </w:pPr>
      <w:r w:rsidRPr="00894C3E">
        <w:rPr>
          <w:rFonts w:ascii="Arial" w:hAnsi="Arial" w:cs="Arial"/>
          <w:sz w:val="24"/>
          <w:szCs w:val="24"/>
        </w:rPr>
        <w:t xml:space="preserve">The LADO in Bournemouth can be contacted via </w:t>
      </w:r>
      <w:r w:rsidR="00F1298D" w:rsidRPr="00894C3E">
        <w:rPr>
          <w:rFonts w:ascii="Arial" w:hAnsi="Arial" w:cs="Arial"/>
          <w:sz w:val="24"/>
          <w:szCs w:val="24"/>
        </w:rPr>
        <w:t>secure email</w:t>
      </w:r>
      <w:r w:rsidR="00091452" w:rsidRPr="00894C3E">
        <w:rPr>
          <w:rFonts w:ascii="Arial" w:hAnsi="Arial" w:cs="Arial"/>
          <w:sz w:val="24"/>
          <w:szCs w:val="24"/>
        </w:rPr>
        <w:t xml:space="preserve">: </w:t>
      </w:r>
      <w:r w:rsidR="00FD3C5E" w:rsidRPr="00FD3C5E">
        <w:rPr>
          <w:rFonts w:ascii="Arial" w:hAnsi="Arial" w:cs="Arial"/>
          <w:sz w:val="24"/>
          <w:szCs w:val="24"/>
        </w:rPr>
        <w:t xml:space="preserve">lado@bcpcouncil.gov.uk </w:t>
      </w:r>
      <w:r w:rsidR="00AB6B55" w:rsidRPr="00894C3E">
        <w:rPr>
          <w:rFonts w:ascii="Arial" w:hAnsi="Arial" w:cs="Arial"/>
          <w:sz w:val="24"/>
          <w:szCs w:val="24"/>
        </w:rPr>
        <w:t>Telephone:</w:t>
      </w:r>
      <w:r w:rsidR="00894C3E">
        <w:rPr>
          <w:rFonts w:ascii="Arial" w:hAnsi="Arial" w:cs="Arial"/>
          <w:sz w:val="24"/>
          <w:szCs w:val="24"/>
        </w:rPr>
        <w:t xml:space="preserve"> </w:t>
      </w:r>
      <w:r w:rsidR="00CF3126" w:rsidRPr="00894C3E">
        <w:rPr>
          <w:rFonts w:ascii="Arial" w:hAnsi="Arial" w:cs="Arial"/>
          <w:sz w:val="24"/>
          <w:szCs w:val="24"/>
        </w:rPr>
        <w:t>01202</w:t>
      </w:r>
      <w:r w:rsidR="00702286" w:rsidRPr="00894C3E">
        <w:rPr>
          <w:rFonts w:ascii="Arial" w:hAnsi="Arial" w:cs="Arial"/>
          <w:sz w:val="24"/>
          <w:szCs w:val="24"/>
        </w:rPr>
        <w:t xml:space="preserve"> 456744</w:t>
      </w:r>
      <w:r w:rsidR="00894C3E">
        <w:rPr>
          <w:rFonts w:ascii="Arial" w:hAnsi="Arial" w:cs="Arial"/>
          <w:sz w:val="24"/>
          <w:szCs w:val="24"/>
        </w:rPr>
        <w:t>.</w:t>
      </w:r>
    </w:p>
    <w:p w14:paraId="50BDDD0C" w14:textId="77777777" w:rsidR="00894C3E" w:rsidRDefault="00894C3E" w:rsidP="00894C3E">
      <w:pPr>
        <w:spacing w:after="0"/>
        <w:jc w:val="both"/>
        <w:rPr>
          <w:rFonts w:ascii="Arial" w:hAnsi="Arial" w:cs="Arial"/>
          <w:sz w:val="24"/>
          <w:szCs w:val="24"/>
        </w:rPr>
      </w:pPr>
    </w:p>
    <w:p w14:paraId="306FABF1" w14:textId="718C1EDA" w:rsidR="00A739DB" w:rsidRPr="00894C3E" w:rsidRDefault="00A739DB" w:rsidP="00894C3E">
      <w:pPr>
        <w:spacing w:after="0"/>
        <w:jc w:val="both"/>
        <w:rPr>
          <w:rFonts w:ascii="Arial" w:hAnsi="Arial" w:cs="Arial"/>
          <w:sz w:val="24"/>
          <w:szCs w:val="24"/>
        </w:rPr>
      </w:pPr>
      <w:r w:rsidRPr="00894C3E">
        <w:rPr>
          <w:rFonts w:ascii="Arial" w:hAnsi="Arial" w:cs="Arial"/>
          <w:sz w:val="24"/>
          <w:szCs w:val="24"/>
        </w:rPr>
        <w:t xml:space="preserve">The LADO provides Information </w:t>
      </w:r>
      <w:r w:rsidR="00271A17" w:rsidRPr="00894C3E">
        <w:rPr>
          <w:rFonts w:ascii="Arial" w:hAnsi="Arial" w:cs="Arial"/>
          <w:sz w:val="24"/>
          <w:szCs w:val="24"/>
        </w:rPr>
        <w:t>l</w:t>
      </w:r>
      <w:r w:rsidRPr="00894C3E">
        <w:rPr>
          <w:rFonts w:ascii="Arial" w:hAnsi="Arial" w:cs="Arial"/>
          <w:sz w:val="24"/>
          <w:szCs w:val="24"/>
        </w:rPr>
        <w:t>eaflets for the following participants in the Managing Allegations process</w:t>
      </w:r>
      <w:r w:rsidR="00894C3E">
        <w:rPr>
          <w:rFonts w:ascii="Arial" w:hAnsi="Arial" w:cs="Arial"/>
          <w:sz w:val="24"/>
          <w:szCs w:val="24"/>
        </w:rPr>
        <w:t>:</w:t>
      </w:r>
    </w:p>
    <w:p w14:paraId="5E5C7296" w14:textId="77777777" w:rsidR="00894C3E" w:rsidRPr="00894C3E" w:rsidRDefault="00A739DB" w:rsidP="00894C3E">
      <w:pPr>
        <w:pStyle w:val="ListParagraph"/>
        <w:numPr>
          <w:ilvl w:val="0"/>
          <w:numId w:val="11"/>
        </w:numPr>
        <w:ind w:left="360"/>
        <w:jc w:val="both"/>
        <w:rPr>
          <w:rFonts w:ascii="Arial" w:hAnsi="Arial" w:cs="Arial"/>
          <w:color w:val="2F5496" w:themeColor="accent1" w:themeShade="BF"/>
          <w:sz w:val="24"/>
          <w:szCs w:val="24"/>
        </w:rPr>
      </w:pPr>
      <w:r w:rsidRPr="00894C3E">
        <w:rPr>
          <w:rFonts w:ascii="Arial" w:hAnsi="Arial" w:cs="Arial"/>
          <w:sz w:val="24"/>
          <w:szCs w:val="24"/>
        </w:rPr>
        <w:t>The General Guidance-</w:t>
      </w:r>
      <w:r w:rsidR="00271A17" w:rsidRPr="00894C3E">
        <w:rPr>
          <w:rFonts w:ascii="Arial" w:hAnsi="Arial" w:cs="Arial"/>
          <w:sz w:val="24"/>
          <w:szCs w:val="24"/>
        </w:rPr>
        <w:t>gives an overview to managers</w:t>
      </w:r>
      <w:r w:rsidRPr="00894C3E">
        <w:rPr>
          <w:rFonts w:ascii="Arial" w:hAnsi="Arial" w:cs="Arial"/>
          <w:sz w:val="24"/>
          <w:szCs w:val="24"/>
        </w:rPr>
        <w:t xml:space="preserve"> who </w:t>
      </w:r>
      <w:r w:rsidR="00271A17" w:rsidRPr="00894C3E">
        <w:rPr>
          <w:rFonts w:ascii="Arial" w:hAnsi="Arial" w:cs="Arial"/>
          <w:sz w:val="24"/>
          <w:szCs w:val="24"/>
        </w:rPr>
        <w:t>are</w:t>
      </w:r>
      <w:r w:rsidRPr="00894C3E">
        <w:rPr>
          <w:rFonts w:ascii="Arial" w:hAnsi="Arial" w:cs="Arial"/>
          <w:sz w:val="24"/>
          <w:szCs w:val="24"/>
        </w:rPr>
        <w:t xml:space="preserve"> responsible for dealing with the allegation</w:t>
      </w:r>
      <w:r w:rsidR="00894C3E">
        <w:rPr>
          <w:rFonts w:ascii="Arial" w:hAnsi="Arial" w:cs="Arial"/>
          <w:sz w:val="24"/>
          <w:szCs w:val="24"/>
        </w:rPr>
        <w:t>.</w:t>
      </w:r>
    </w:p>
    <w:p w14:paraId="4723FF3D" w14:textId="397BD30D" w:rsidR="00A739DB" w:rsidRPr="00894C3E" w:rsidRDefault="00A739DB" w:rsidP="00894C3E">
      <w:pPr>
        <w:pStyle w:val="ListParagraph"/>
        <w:ind w:left="360"/>
        <w:jc w:val="both"/>
        <w:rPr>
          <w:rFonts w:ascii="Arial" w:hAnsi="Arial" w:cs="Arial"/>
          <w:color w:val="2F5496" w:themeColor="accent1" w:themeShade="BF"/>
          <w:sz w:val="24"/>
          <w:szCs w:val="24"/>
        </w:rPr>
      </w:pPr>
      <w:r w:rsidRPr="00894C3E">
        <w:rPr>
          <w:rFonts w:ascii="Arial" w:hAnsi="Arial" w:cs="Arial"/>
          <w:sz w:val="24"/>
          <w:szCs w:val="24"/>
        </w:rPr>
        <w:t xml:space="preserve"> </w:t>
      </w:r>
    </w:p>
    <w:p w14:paraId="4B0393F6" w14:textId="3D13EAC7" w:rsidR="00271A17" w:rsidRPr="00894C3E" w:rsidRDefault="00271A17" w:rsidP="00894C3E">
      <w:pPr>
        <w:pStyle w:val="ListParagraph"/>
        <w:numPr>
          <w:ilvl w:val="0"/>
          <w:numId w:val="11"/>
        </w:numPr>
        <w:ind w:left="360"/>
        <w:jc w:val="both"/>
        <w:rPr>
          <w:rFonts w:ascii="Arial" w:hAnsi="Arial" w:cs="Arial"/>
          <w:color w:val="2F5496" w:themeColor="accent1" w:themeShade="BF"/>
          <w:sz w:val="24"/>
          <w:szCs w:val="24"/>
        </w:rPr>
      </w:pPr>
      <w:r w:rsidRPr="00894C3E">
        <w:rPr>
          <w:rFonts w:ascii="Arial" w:hAnsi="Arial" w:cs="Arial"/>
          <w:sz w:val="24"/>
          <w:szCs w:val="24"/>
        </w:rPr>
        <w:t>Guidance for children and parents and carers-</w:t>
      </w:r>
      <w:r w:rsidR="00AB6B55" w:rsidRPr="00894C3E">
        <w:rPr>
          <w:rFonts w:ascii="Arial" w:hAnsi="Arial" w:cs="Arial"/>
          <w:sz w:val="24"/>
          <w:szCs w:val="24"/>
        </w:rPr>
        <w:t>gives information to</w:t>
      </w:r>
      <w:r w:rsidRPr="00894C3E">
        <w:rPr>
          <w:rFonts w:ascii="Arial" w:hAnsi="Arial" w:cs="Arial"/>
          <w:sz w:val="24"/>
          <w:szCs w:val="24"/>
        </w:rPr>
        <w:t xml:space="preserve"> child</w:t>
      </w:r>
      <w:r w:rsidR="00AB6B55" w:rsidRPr="00894C3E">
        <w:rPr>
          <w:rFonts w:ascii="Arial" w:hAnsi="Arial" w:cs="Arial"/>
          <w:sz w:val="24"/>
          <w:szCs w:val="24"/>
        </w:rPr>
        <w:t>ren</w:t>
      </w:r>
      <w:r w:rsidRPr="00894C3E">
        <w:rPr>
          <w:rFonts w:ascii="Arial" w:hAnsi="Arial" w:cs="Arial"/>
          <w:sz w:val="24"/>
          <w:szCs w:val="24"/>
        </w:rPr>
        <w:t xml:space="preserve"> who has made an allegation</w:t>
      </w:r>
      <w:r w:rsidR="00AB6B55" w:rsidRPr="00894C3E">
        <w:rPr>
          <w:rFonts w:ascii="Arial" w:hAnsi="Arial" w:cs="Arial"/>
          <w:sz w:val="24"/>
          <w:szCs w:val="24"/>
        </w:rPr>
        <w:t xml:space="preserve">, their parents or carers </w:t>
      </w:r>
      <w:r w:rsidR="009D457F" w:rsidRPr="00894C3E">
        <w:rPr>
          <w:rFonts w:ascii="Arial" w:hAnsi="Arial" w:cs="Arial"/>
          <w:sz w:val="24"/>
          <w:szCs w:val="24"/>
        </w:rPr>
        <w:t>about what</w:t>
      </w:r>
      <w:r w:rsidRPr="00894C3E">
        <w:rPr>
          <w:rFonts w:ascii="Arial" w:hAnsi="Arial" w:cs="Arial"/>
          <w:sz w:val="24"/>
          <w:szCs w:val="24"/>
        </w:rPr>
        <w:t xml:space="preserve"> will happen during the process and what information can be shared with them and how they can access support</w:t>
      </w:r>
      <w:r w:rsidR="00894C3E">
        <w:rPr>
          <w:rFonts w:ascii="Arial" w:hAnsi="Arial" w:cs="Arial"/>
          <w:sz w:val="24"/>
          <w:szCs w:val="24"/>
        </w:rPr>
        <w:t>.</w:t>
      </w:r>
    </w:p>
    <w:p w14:paraId="0C7F4B89" w14:textId="77777777" w:rsidR="00894C3E" w:rsidRPr="00894C3E" w:rsidRDefault="00894C3E" w:rsidP="00894C3E">
      <w:pPr>
        <w:pStyle w:val="ListParagraph"/>
        <w:rPr>
          <w:rFonts w:ascii="Arial" w:hAnsi="Arial" w:cs="Arial"/>
          <w:color w:val="2F5496" w:themeColor="accent1" w:themeShade="BF"/>
          <w:sz w:val="24"/>
          <w:szCs w:val="24"/>
        </w:rPr>
      </w:pPr>
    </w:p>
    <w:p w14:paraId="4022A777" w14:textId="77777777" w:rsidR="00894C3E" w:rsidRPr="00894C3E" w:rsidRDefault="00894C3E" w:rsidP="00894C3E">
      <w:pPr>
        <w:pStyle w:val="ListParagraph"/>
        <w:ind w:left="360"/>
        <w:jc w:val="both"/>
        <w:rPr>
          <w:rFonts w:ascii="Arial" w:hAnsi="Arial" w:cs="Arial"/>
          <w:color w:val="2F5496" w:themeColor="accent1" w:themeShade="BF"/>
          <w:sz w:val="24"/>
          <w:szCs w:val="24"/>
        </w:rPr>
      </w:pPr>
    </w:p>
    <w:p w14:paraId="6350252C" w14:textId="73C64E6E" w:rsidR="00271A17" w:rsidRPr="00894C3E" w:rsidRDefault="00A739DB" w:rsidP="00894C3E">
      <w:pPr>
        <w:pStyle w:val="ListParagraph"/>
        <w:numPr>
          <w:ilvl w:val="0"/>
          <w:numId w:val="10"/>
        </w:numPr>
        <w:spacing w:after="0"/>
        <w:ind w:left="360"/>
        <w:jc w:val="both"/>
        <w:rPr>
          <w:rFonts w:ascii="Arial" w:hAnsi="Arial" w:cs="Arial"/>
          <w:color w:val="2F5496" w:themeColor="accent1" w:themeShade="BF"/>
          <w:sz w:val="24"/>
          <w:szCs w:val="24"/>
        </w:rPr>
      </w:pPr>
      <w:r w:rsidRPr="00894C3E">
        <w:rPr>
          <w:rFonts w:ascii="Arial" w:hAnsi="Arial" w:cs="Arial"/>
          <w:sz w:val="24"/>
          <w:szCs w:val="24"/>
        </w:rPr>
        <w:lastRenderedPageBreak/>
        <w:t>Guidance for adults who work with children-</w:t>
      </w:r>
      <w:r w:rsidR="00271A17" w:rsidRPr="00894C3E">
        <w:rPr>
          <w:rFonts w:ascii="Arial" w:hAnsi="Arial" w:cs="Arial"/>
          <w:sz w:val="24"/>
          <w:szCs w:val="24"/>
        </w:rPr>
        <w:t>informs the</w:t>
      </w:r>
      <w:r w:rsidRPr="00894C3E">
        <w:rPr>
          <w:rFonts w:ascii="Arial" w:hAnsi="Arial" w:cs="Arial"/>
          <w:sz w:val="24"/>
          <w:szCs w:val="24"/>
        </w:rPr>
        <w:t xml:space="preserve"> accused person</w:t>
      </w:r>
      <w:r w:rsidR="00271A17" w:rsidRPr="00894C3E">
        <w:rPr>
          <w:rFonts w:ascii="Arial" w:hAnsi="Arial" w:cs="Arial"/>
          <w:sz w:val="24"/>
          <w:szCs w:val="24"/>
        </w:rPr>
        <w:t xml:space="preserve"> about the process and what they can expect to happen and how they can access support.</w:t>
      </w:r>
      <w:r w:rsidRPr="00894C3E">
        <w:rPr>
          <w:rFonts w:ascii="Arial" w:hAnsi="Arial" w:cs="Arial"/>
          <w:sz w:val="24"/>
          <w:szCs w:val="24"/>
        </w:rPr>
        <w:t xml:space="preserve"> </w:t>
      </w:r>
    </w:p>
    <w:p w14:paraId="1828DD52" w14:textId="77777777" w:rsidR="00271A17" w:rsidRPr="00894C3E" w:rsidRDefault="00271A17" w:rsidP="00894C3E">
      <w:pPr>
        <w:pStyle w:val="ListParagraph"/>
        <w:spacing w:after="0"/>
        <w:jc w:val="both"/>
        <w:rPr>
          <w:rFonts w:ascii="Arial" w:hAnsi="Arial" w:cs="Arial"/>
          <w:color w:val="2F5496" w:themeColor="accent1" w:themeShade="BF"/>
          <w:sz w:val="24"/>
          <w:szCs w:val="24"/>
        </w:rPr>
      </w:pPr>
    </w:p>
    <w:p w14:paraId="72BF5D7D" w14:textId="08D13D5D" w:rsidR="002F5079" w:rsidRDefault="00095829" w:rsidP="00894C3E">
      <w:pPr>
        <w:pStyle w:val="Heading1"/>
        <w:numPr>
          <w:ilvl w:val="0"/>
          <w:numId w:val="13"/>
        </w:numPr>
        <w:ind w:left="567" w:hanging="567"/>
        <w:rPr>
          <w:b/>
          <w:bCs/>
        </w:rPr>
      </w:pPr>
      <w:bookmarkStart w:id="3" w:name="_Toc53048218"/>
      <w:r w:rsidRPr="00FD3C5E">
        <w:rPr>
          <w:b/>
          <w:bCs/>
        </w:rPr>
        <w:t xml:space="preserve">What to do when a </w:t>
      </w:r>
      <w:r w:rsidR="00E339A9" w:rsidRPr="00FD3C5E">
        <w:rPr>
          <w:b/>
          <w:bCs/>
        </w:rPr>
        <w:t xml:space="preserve">BCP </w:t>
      </w:r>
      <w:r w:rsidRPr="00FD3C5E">
        <w:rPr>
          <w:b/>
          <w:bCs/>
        </w:rPr>
        <w:t>Children’s Service practitioner thinks</w:t>
      </w:r>
      <w:r w:rsidRPr="00894C3E">
        <w:rPr>
          <w:b/>
          <w:bCs/>
        </w:rPr>
        <w:t xml:space="preserve"> that an adult meets the criteria</w:t>
      </w:r>
      <w:bookmarkEnd w:id="3"/>
    </w:p>
    <w:p w14:paraId="74567397" w14:textId="77777777" w:rsidR="00894C3E" w:rsidRDefault="00894C3E" w:rsidP="00894C3E">
      <w:pPr>
        <w:spacing w:after="0"/>
        <w:jc w:val="both"/>
        <w:rPr>
          <w:rFonts w:ascii="Arial" w:hAnsi="Arial" w:cs="Arial"/>
          <w:sz w:val="24"/>
          <w:szCs w:val="24"/>
        </w:rPr>
      </w:pPr>
    </w:p>
    <w:p w14:paraId="32728849" w14:textId="094BC708" w:rsidR="00082272" w:rsidRPr="00894C3E" w:rsidRDefault="00095829" w:rsidP="00894C3E">
      <w:pPr>
        <w:spacing w:after="0"/>
        <w:jc w:val="both"/>
        <w:rPr>
          <w:rFonts w:ascii="Arial" w:hAnsi="Arial" w:cs="Arial"/>
          <w:sz w:val="24"/>
          <w:szCs w:val="24"/>
        </w:rPr>
      </w:pPr>
      <w:r w:rsidRPr="00894C3E">
        <w:rPr>
          <w:rFonts w:ascii="Arial" w:hAnsi="Arial" w:cs="Arial"/>
          <w:sz w:val="24"/>
          <w:szCs w:val="24"/>
        </w:rPr>
        <w:t xml:space="preserve">In this instance the practitioner </w:t>
      </w:r>
      <w:r w:rsidR="002F5079" w:rsidRPr="00894C3E">
        <w:rPr>
          <w:rFonts w:ascii="Arial" w:hAnsi="Arial" w:cs="Arial"/>
          <w:sz w:val="24"/>
          <w:szCs w:val="24"/>
        </w:rPr>
        <w:t xml:space="preserve">should contact the LADO within </w:t>
      </w:r>
      <w:r w:rsidR="002F5079" w:rsidRPr="00894C3E">
        <w:rPr>
          <w:rFonts w:ascii="Arial" w:hAnsi="Arial" w:cs="Arial"/>
          <w:b/>
          <w:sz w:val="24"/>
          <w:szCs w:val="24"/>
        </w:rPr>
        <w:t>one working day</w:t>
      </w:r>
      <w:r w:rsidR="002F5079" w:rsidRPr="00894C3E">
        <w:rPr>
          <w:rFonts w:ascii="Arial" w:hAnsi="Arial" w:cs="Arial"/>
          <w:sz w:val="24"/>
          <w:szCs w:val="24"/>
        </w:rPr>
        <w:t xml:space="preserve"> for a discussion. A practitioner should not take any unilateral action or inform an employer. If it is agreed that the matter reaches the threshold for these procedures, then a referral will need to be made on the LADO referral form</w:t>
      </w:r>
      <w:r w:rsidR="00894C3E">
        <w:rPr>
          <w:rFonts w:ascii="Arial" w:hAnsi="Arial" w:cs="Arial"/>
          <w:sz w:val="24"/>
          <w:szCs w:val="24"/>
        </w:rPr>
        <w:t xml:space="preserve">. </w:t>
      </w:r>
      <w:r w:rsidR="009D457F" w:rsidRPr="00894C3E">
        <w:rPr>
          <w:rFonts w:ascii="Arial" w:hAnsi="Arial" w:cs="Arial"/>
          <w:sz w:val="24"/>
          <w:szCs w:val="24"/>
        </w:rPr>
        <w:t>The LADO service will ensure that all involved are informed and immediate safeguarding actions are agreed. This can involve a discussion about the accused adult continuing in their role while the investigation is planned and taken forward as well as support to the victim, parents or carers, and any witnesses. These initial actions will be recorded by the LADO and circulated to all involved</w:t>
      </w:r>
      <w:r w:rsidR="00894C3E">
        <w:rPr>
          <w:rFonts w:ascii="Arial" w:hAnsi="Arial" w:cs="Arial"/>
          <w:sz w:val="24"/>
          <w:szCs w:val="24"/>
        </w:rPr>
        <w:t>.</w:t>
      </w:r>
    </w:p>
    <w:p w14:paraId="047FF52E" w14:textId="77777777" w:rsidR="00894C3E" w:rsidRDefault="00894C3E" w:rsidP="00894C3E">
      <w:pPr>
        <w:spacing w:after="0"/>
        <w:jc w:val="both"/>
        <w:rPr>
          <w:rFonts w:ascii="Arial" w:hAnsi="Arial" w:cs="Arial"/>
          <w:sz w:val="24"/>
          <w:szCs w:val="24"/>
        </w:rPr>
      </w:pPr>
    </w:p>
    <w:p w14:paraId="6EE3265E" w14:textId="1385865A" w:rsidR="00271A17" w:rsidRPr="00894C3E" w:rsidRDefault="00082272" w:rsidP="00894C3E">
      <w:pPr>
        <w:spacing w:after="0"/>
        <w:jc w:val="both"/>
        <w:rPr>
          <w:rFonts w:ascii="Arial" w:hAnsi="Arial" w:cs="Arial"/>
          <w:sz w:val="24"/>
          <w:szCs w:val="24"/>
        </w:rPr>
      </w:pPr>
      <w:r w:rsidRPr="00894C3E">
        <w:rPr>
          <w:rFonts w:ascii="Arial" w:hAnsi="Arial" w:cs="Arial"/>
          <w:sz w:val="24"/>
          <w:szCs w:val="24"/>
        </w:rPr>
        <w:t>When the matter does not reach the threshold for these procedures the way forward will be discussed and recorded by the LADO as a “Consultation.” A consultation can still be a serious matter and may be dealt with formally by the employer and result in capability or disciplinary action if indicated.</w:t>
      </w:r>
    </w:p>
    <w:p w14:paraId="228575DB" w14:textId="77777777" w:rsidR="00894C3E" w:rsidRDefault="00894C3E" w:rsidP="00894C3E">
      <w:pPr>
        <w:spacing w:after="0"/>
        <w:jc w:val="both"/>
        <w:rPr>
          <w:rFonts w:ascii="Arial" w:hAnsi="Arial" w:cs="Arial"/>
          <w:sz w:val="24"/>
          <w:szCs w:val="24"/>
        </w:rPr>
      </w:pPr>
    </w:p>
    <w:p w14:paraId="1B43D9CA" w14:textId="506CA0D3" w:rsidR="009D457F" w:rsidRDefault="002F5079" w:rsidP="00894C3E">
      <w:pPr>
        <w:spacing w:after="0"/>
        <w:jc w:val="both"/>
        <w:rPr>
          <w:rFonts w:ascii="Arial" w:hAnsi="Arial" w:cs="Arial"/>
          <w:sz w:val="24"/>
          <w:szCs w:val="24"/>
        </w:rPr>
      </w:pPr>
      <w:r w:rsidRPr="00894C3E">
        <w:rPr>
          <w:rFonts w:ascii="Arial" w:hAnsi="Arial" w:cs="Arial"/>
          <w:sz w:val="24"/>
          <w:szCs w:val="24"/>
        </w:rPr>
        <w:t xml:space="preserve">Referrals should give clear comprehensive information that allows the LADO to take the necessary steps to move the process forward. Public Protection Notices (PPNs) </w:t>
      </w:r>
      <w:r w:rsidR="00271A17" w:rsidRPr="00894C3E">
        <w:rPr>
          <w:rFonts w:ascii="Arial" w:hAnsi="Arial" w:cs="Arial"/>
          <w:sz w:val="24"/>
          <w:szCs w:val="24"/>
        </w:rPr>
        <w:t>do not give enough information and the referring practitioner should make enough enquiries to fully inform the process prior to written referral.</w:t>
      </w:r>
    </w:p>
    <w:p w14:paraId="726296B1" w14:textId="77777777" w:rsidR="00894C3E" w:rsidRPr="00894C3E" w:rsidRDefault="00894C3E" w:rsidP="00894C3E">
      <w:pPr>
        <w:spacing w:after="0"/>
        <w:jc w:val="both"/>
        <w:rPr>
          <w:rFonts w:ascii="Arial" w:hAnsi="Arial" w:cs="Arial"/>
          <w:sz w:val="24"/>
          <w:szCs w:val="24"/>
        </w:rPr>
      </w:pPr>
    </w:p>
    <w:p w14:paraId="1506D4C1" w14:textId="0069740E" w:rsidR="009D457F" w:rsidRPr="00894C3E" w:rsidRDefault="009D457F" w:rsidP="00894C3E">
      <w:pPr>
        <w:pStyle w:val="Heading1"/>
        <w:numPr>
          <w:ilvl w:val="0"/>
          <w:numId w:val="13"/>
        </w:numPr>
        <w:spacing w:before="0"/>
        <w:ind w:left="567" w:hanging="567"/>
        <w:rPr>
          <w:b/>
          <w:bCs/>
        </w:rPr>
      </w:pPr>
      <w:bookmarkStart w:id="4" w:name="_Toc53048219"/>
      <w:r w:rsidRPr="00894C3E">
        <w:rPr>
          <w:b/>
          <w:bCs/>
        </w:rPr>
        <w:t>Follow on actions</w:t>
      </w:r>
      <w:bookmarkEnd w:id="4"/>
    </w:p>
    <w:p w14:paraId="267B7D6C" w14:textId="77777777" w:rsidR="00894C3E" w:rsidRDefault="00894C3E" w:rsidP="00894C3E">
      <w:pPr>
        <w:spacing w:after="0"/>
        <w:jc w:val="both"/>
        <w:rPr>
          <w:rFonts w:ascii="Arial" w:hAnsi="Arial" w:cs="Arial"/>
          <w:sz w:val="24"/>
          <w:szCs w:val="24"/>
        </w:rPr>
      </w:pPr>
    </w:p>
    <w:p w14:paraId="3E9FE3B7" w14:textId="77777777" w:rsidR="00894C3E" w:rsidRDefault="00835351" w:rsidP="00894C3E">
      <w:pPr>
        <w:spacing w:after="0"/>
        <w:jc w:val="both"/>
        <w:rPr>
          <w:rFonts w:ascii="Arial" w:hAnsi="Arial" w:cs="Arial"/>
          <w:sz w:val="24"/>
          <w:szCs w:val="24"/>
        </w:rPr>
      </w:pPr>
      <w:r w:rsidRPr="00894C3E">
        <w:rPr>
          <w:rFonts w:ascii="Arial" w:hAnsi="Arial" w:cs="Arial"/>
          <w:sz w:val="24"/>
          <w:szCs w:val="24"/>
        </w:rPr>
        <w:t xml:space="preserve">The main planning mechanism is the </w:t>
      </w:r>
      <w:r w:rsidR="00082272" w:rsidRPr="00894C3E">
        <w:rPr>
          <w:rFonts w:ascii="Arial" w:hAnsi="Arial" w:cs="Arial"/>
          <w:b/>
          <w:bCs/>
          <w:sz w:val="24"/>
          <w:szCs w:val="24"/>
        </w:rPr>
        <w:t>Initial Evaluation Meeting (IEM)</w:t>
      </w:r>
      <w:r w:rsidR="00082272" w:rsidRPr="00894C3E">
        <w:rPr>
          <w:rFonts w:ascii="Arial" w:hAnsi="Arial" w:cs="Arial"/>
          <w:sz w:val="24"/>
          <w:szCs w:val="24"/>
        </w:rPr>
        <w:t xml:space="preserve"> </w:t>
      </w:r>
      <w:r w:rsidRPr="00894C3E">
        <w:rPr>
          <w:rFonts w:ascii="Arial" w:hAnsi="Arial" w:cs="Arial"/>
          <w:sz w:val="24"/>
          <w:szCs w:val="24"/>
        </w:rPr>
        <w:t xml:space="preserve">and this will be held </w:t>
      </w:r>
      <w:r w:rsidR="00082272" w:rsidRPr="00894C3E">
        <w:rPr>
          <w:rFonts w:ascii="Arial" w:hAnsi="Arial" w:cs="Arial"/>
          <w:sz w:val="24"/>
          <w:szCs w:val="24"/>
        </w:rPr>
        <w:t xml:space="preserve">within a maximum of </w:t>
      </w:r>
      <w:r w:rsidR="00082272" w:rsidRPr="00894C3E">
        <w:rPr>
          <w:rFonts w:ascii="Arial" w:hAnsi="Arial" w:cs="Arial"/>
          <w:b/>
          <w:bCs/>
          <w:sz w:val="24"/>
          <w:szCs w:val="24"/>
        </w:rPr>
        <w:t>5 working days.</w:t>
      </w:r>
      <w:r w:rsidR="00082272" w:rsidRPr="00894C3E">
        <w:rPr>
          <w:rFonts w:ascii="Arial" w:hAnsi="Arial" w:cs="Arial"/>
          <w:sz w:val="24"/>
          <w:szCs w:val="24"/>
        </w:rPr>
        <w:t xml:space="preserve"> This could be a Face to face or Skype meeting or a process whereby the LADO acts as a focal point and contacts all involved to agree and produce a multi-</w:t>
      </w:r>
      <w:r w:rsidR="00696B3E" w:rsidRPr="00894C3E">
        <w:rPr>
          <w:rFonts w:ascii="Arial" w:hAnsi="Arial" w:cs="Arial"/>
          <w:sz w:val="24"/>
          <w:szCs w:val="24"/>
        </w:rPr>
        <w:t>agency written</w:t>
      </w:r>
      <w:r w:rsidR="00082272" w:rsidRPr="00894C3E">
        <w:rPr>
          <w:rFonts w:ascii="Arial" w:hAnsi="Arial" w:cs="Arial"/>
          <w:sz w:val="24"/>
          <w:szCs w:val="24"/>
        </w:rPr>
        <w:t xml:space="preserve"> action plan</w:t>
      </w:r>
      <w:r w:rsidR="00696B3E" w:rsidRPr="00894C3E">
        <w:rPr>
          <w:rFonts w:ascii="Arial" w:hAnsi="Arial" w:cs="Arial"/>
          <w:sz w:val="24"/>
          <w:szCs w:val="24"/>
        </w:rPr>
        <w:t xml:space="preserve"> </w:t>
      </w:r>
      <w:r w:rsidR="00696B3E" w:rsidRPr="00894C3E">
        <w:rPr>
          <w:rFonts w:ascii="Arial" w:hAnsi="Arial" w:cs="Arial"/>
          <w:b/>
          <w:bCs/>
          <w:sz w:val="24"/>
          <w:szCs w:val="24"/>
        </w:rPr>
        <w:t>within 48 hours</w:t>
      </w:r>
      <w:r w:rsidR="00082272" w:rsidRPr="00894C3E">
        <w:rPr>
          <w:rFonts w:ascii="Arial" w:hAnsi="Arial" w:cs="Arial"/>
          <w:b/>
          <w:bCs/>
          <w:sz w:val="24"/>
          <w:szCs w:val="24"/>
        </w:rPr>
        <w:t>.</w:t>
      </w:r>
      <w:r w:rsidR="00082272" w:rsidRPr="00894C3E">
        <w:rPr>
          <w:rFonts w:ascii="Arial" w:hAnsi="Arial" w:cs="Arial"/>
          <w:sz w:val="24"/>
          <w:szCs w:val="24"/>
        </w:rPr>
        <w:t xml:space="preserve"> </w:t>
      </w:r>
      <w:r w:rsidRPr="00894C3E">
        <w:rPr>
          <w:rFonts w:ascii="Arial" w:hAnsi="Arial" w:cs="Arial"/>
          <w:sz w:val="24"/>
          <w:szCs w:val="24"/>
        </w:rPr>
        <w:t xml:space="preserve">This is an essential part of the process and Children’s Services practitioners are required to </w:t>
      </w:r>
      <w:r w:rsidR="009D457F" w:rsidRPr="00894C3E">
        <w:rPr>
          <w:rFonts w:ascii="Arial" w:hAnsi="Arial" w:cs="Arial"/>
          <w:sz w:val="24"/>
          <w:szCs w:val="24"/>
        </w:rPr>
        <w:t>participate</w:t>
      </w:r>
      <w:r w:rsidRPr="00894C3E">
        <w:rPr>
          <w:rFonts w:ascii="Arial" w:hAnsi="Arial" w:cs="Arial"/>
          <w:sz w:val="24"/>
          <w:szCs w:val="24"/>
        </w:rPr>
        <w:t xml:space="preserve"> if involved in the matter in any way.</w:t>
      </w:r>
    </w:p>
    <w:p w14:paraId="421CB6B2" w14:textId="1ABF795F" w:rsidR="00696B3E" w:rsidRPr="00894C3E" w:rsidRDefault="00835351" w:rsidP="00894C3E">
      <w:pPr>
        <w:spacing w:after="0"/>
        <w:jc w:val="both"/>
        <w:rPr>
          <w:rFonts w:ascii="Arial" w:hAnsi="Arial" w:cs="Arial"/>
          <w:sz w:val="24"/>
          <w:szCs w:val="24"/>
        </w:rPr>
      </w:pPr>
      <w:r w:rsidRPr="00894C3E">
        <w:rPr>
          <w:rFonts w:ascii="Arial" w:hAnsi="Arial" w:cs="Arial"/>
          <w:sz w:val="24"/>
          <w:szCs w:val="24"/>
        </w:rPr>
        <w:t xml:space="preserve"> </w:t>
      </w:r>
    </w:p>
    <w:p w14:paraId="6299A88C" w14:textId="4B3BEE8C" w:rsidR="002F5079" w:rsidRPr="00894C3E" w:rsidRDefault="00095829" w:rsidP="00894C3E">
      <w:pPr>
        <w:spacing w:after="0"/>
        <w:jc w:val="both"/>
        <w:rPr>
          <w:rFonts w:ascii="Arial" w:hAnsi="Arial" w:cs="Arial"/>
          <w:sz w:val="24"/>
          <w:szCs w:val="24"/>
        </w:rPr>
      </w:pPr>
      <w:r w:rsidRPr="00894C3E">
        <w:rPr>
          <w:rFonts w:ascii="Arial" w:hAnsi="Arial" w:cs="Arial"/>
          <w:sz w:val="24"/>
          <w:szCs w:val="24"/>
        </w:rPr>
        <w:t xml:space="preserve">The </w:t>
      </w:r>
      <w:r w:rsidR="00835351" w:rsidRPr="00894C3E">
        <w:rPr>
          <w:rFonts w:ascii="Arial" w:hAnsi="Arial" w:cs="Arial"/>
          <w:sz w:val="24"/>
          <w:szCs w:val="24"/>
        </w:rPr>
        <w:t>IEM</w:t>
      </w:r>
      <w:r w:rsidR="002F5079" w:rsidRPr="00894C3E">
        <w:rPr>
          <w:rFonts w:ascii="Arial" w:hAnsi="Arial" w:cs="Arial"/>
          <w:sz w:val="24"/>
          <w:szCs w:val="24"/>
        </w:rPr>
        <w:t xml:space="preserve"> will follow a formal agenda and there will be a full sharing of </w:t>
      </w:r>
      <w:r w:rsidR="00696B3E" w:rsidRPr="00894C3E">
        <w:rPr>
          <w:rFonts w:ascii="Arial" w:hAnsi="Arial" w:cs="Arial"/>
          <w:sz w:val="24"/>
          <w:szCs w:val="24"/>
        </w:rPr>
        <w:t>information across</w:t>
      </w:r>
      <w:r w:rsidR="00BA65D9" w:rsidRPr="00894C3E">
        <w:rPr>
          <w:rFonts w:ascii="Arial" w:hAnsi="Arial" w:cs="Arial"/>
          <w:sz w:val="24"/>
          <w:szCs w:val="24"/>
        </w:rPr>
        <w:t xml:space="preserve"> agencies</w:t>
      </w:r>
      <w:r w:rsidR="002F5079" w:rsidRPr="00894C3E">
        <w:rPr>
          <w:rFonts w:ascii="Arial" w:hAnsi="Arial" w:cs="Arial"/>
          <w:sz w:val="24"/>
          <w:szCs w:val="24"/>
        </w:rPr>
        <w:t>.</w:t>
      </w:r>
    </w:p>
    <w:p w14:paraId="04841862" w14:textId="77777777" w:rsidR="00894C3E" w:rsidRDefault="00894C3E" w:rsidP="00894C3E">
      <w:pPr>
        <w:spacing w:after="0"/>
        <w:jc w:val="both"/>
        <w:rPr>
          <w:rFonts w:ascii="Arial" w:hAnsi="Arial" w:cs="Arial"/>
          <w:sz w:val="24"/>
          <w:szCs w:val="24"/>
        </w:rPr>
      </w:pPr>
    </w:p>
    <w:p w14:paraId="3BE3F38D" w14:textId="16EFB1C9" w:rsidR="009D457F" w:rsidRPr="00894C3E" w:rsidRDefault="00696B3E" w:rsidP="00894C3E">
      <w:pPr>
        <w:spacing w:after="0"/>
        <w:jc w:val="both"/>
        <w:rPr>
          <w:rFonts w:ascii="Arial" w:hAnsi="Arial" w:cs="Arial"/>
          <w:sz w:val="24"/>
          <w:szCs w:val="24"/>
        </w:rPr>
      </w:pPr>
      <w:r w:rsidRPr="00894C3E">
        <w:rPr>
          <w:rFonts w:ascii="Arial" w:hAnsi="Arial" w:cs="Arial"/>
          <w:sz w:val="24"/>
          <w:szCs w:val="24"/>
        </w:rPr>
        <w:t xml:space="preserve">A different process is followed </w:t>
      </w:r>
      <w:r w:rsidR="00835351" w:rsidRPr="00894C3E">
        <w:rPr>
          <w:rFonts w:ascii="Arial" w:hAnsi="Arial" w:cs="Arial"/>
          <w:sz w:val="24"/>
          <w:szCs w:val="24"/>
        </w:rPr>
        <w:t>when an identified child may have suffered significant harm</w:t>
      </w:r>
      <w:r w:rsidRPr="00894C3E">
        <w:rPr>
          <w:rFonts w:ascii="Arial" w:hAnsi="Arial" w:cs="Arial"/>
          <w:sz w:val="24"/>
          <w:szCs w:val="24"/>
        </w:rPr>
        <w:t>. For this situation the</w:t>
      </w:r>
      <w:r w:rsidR="00835351" w:rsidRPr="00894C3E">
        <w:rPr>
          <w:rFonts w:ascii="Arial" w:hAnsi="Arial" w:cs="Arial"/>
          <w:sz w:val="24"/>
          <w:szCs w:val="24"/>
        </w:rPr>
        <w:t xml:space="preserve"> LADO will join the Strategy meeting being convened by </w:t>
      </w:r>
      <w:r w:rsidR="00DB0B0B" w:rsidRPr="00894C3E">
        <w:rPr>
          <w:rFonts w:ascii="Arial" w:hAnsi="Arial" w:cs="Arial"/>
          <w:sz w:val="24"/>
          <w:szCs w:val="24"/>
        </w:rPr>
        <w:t xml:space="preserve">Children’s Services </w:t>
      </w:r>
      <w:r w:rsidR="00835351" w:rsidRPr="00894C3E">
        <w:rPr>
          <w:rFonts w:ascii="Arial" w:hAnsi="Arial" w:cs="Arial"/>
          <w:sz w:val="24"/>
          <w:szCs w:val="24"/>
        </w:rPr>
        <w:t>Social Care</w:t>
      </w:r>
      <w:r w:rsidRPr="00894C3E">
        <w:rPr>
          <w:rFonts w:ascii="Arial" w:hAnsi="Arial" w:cs="Arial"/>
          <w:sz w:val="24"/>
          <w:szCs w:val="24"/>
        </w:rPr>
        <w:t xml:space="preserve"> and the practitioner must ensure that the LADO is invited to this meeting.</w:t>
      </w:r>
      <w:r w:rsidR="00835351" w:rsidRPr="00894C3E">
        <w:rPr>
          <w:rFonts w:ascii="Arial" w:hAnsi="Arial" w:cs="Arial"/>
          <w:sz w:val="24"/>
          <w:szCs w:val="24"/>
        </w:rPr>
        <w:t xml:space="preserve"> This will combine the purpose of a </w:t>
      </w:r>
      <w:r w:rsidR="00DB0B0B" w:rsidRPr="00894C3E">
        <w:rPr>
          <w:rFonts w:ascii="Arial" w:hAnsi="Arial" w:cs="Arial"/>
          <w:sz w:val="24"/>
          <w:szCs w:val="24"/>
        </w:rPr>
        <w:t>Strategy</w:t>
      </w:r>
      <w:r w:rsidR="00835351" w:rsidRPr="00894C3E">
        <w:rPr>
          <w:rFonts w:ascii="Arial" w:hAnsi="Arial" w:cs="Arial"/>
          <w:sz w:val="24"/>
          <w:szCs w:val="24"/>
        </w:rPr>
        <w:t xml:space="preserve"> meeting</w:t>
      </w:r>
      <w:r w:rsidR="00DB0B0B" w:rsidRPr="00894C3E">
        <w:rPr>
          <w:rFonts w:ascii="Arial" w:hAnsi="Arial" w:cs="Arial"/>
          <w:sz w:val="24"/>
          <w:szCs w:val="24"/>
        </w:rPr>
        <w:t xml:space="preserve"> (to discuss Section 47 threshold and plan the next actions in respect of protecting the child) and</w:t>
      </w:r>
      <w:r w:rsidR="00835351" w:rsidRPr="00894C3E">
        <w:rPr>
          <w:rFonts w:ascii="Arial" w:hAnsi="Arial" w:cs="Arial"/>
          <w:sz w:val="24"/>
          <w:szCs w:val="24"/>
        </w:rPr>
        <w:t xml:space="preserve"> </w:t>
      </w:r>
      <w:r w:rsidR="00DB0B0B" w:rsidRPr="00894C3E">
        <w:rPr>
          <w:rFonts w:ascii="Arial" w:hAnsi="Arial" w:cs="Arial"/>
          <w:sz w:val="24"/>
          <w:szCs w:val="24"/>
        </w:rPr>
        <w:t>may address some aspects of the Initial</w:t>
      </w:r>
      <w:r w:rsidR="00835351" w:rsidRPr="00894C3E">
        <w:rPr>
          <w:rFonts w:ascii="Arial" w:hAnsi="Arial" w:cs="Arial"/>
          <w:sz w:val="24"/>
          <w:szCs w:val="24"/>
        </w:rPr>
        <w:t xml:space="preserve"> Evaluation Meeting</w:t>
      </w:r>
      <w:r w:rsidR="00DB0B0B" w:rsidRPr="00894C3E">
        <w:rPr>
          <w:rFonts w:ascii="Arial" w:hAnsi="Arial" w:cs="Arial"/>
          <w:sz w:val="24"/>
          <w:szCs w:val="24"/>
        </w:rPr>
        <w:t xml:space="preserve"> dependant on attendance</w:t>
      </w:r>
      <w:r w:rsidR="00835351" w:rsidRPr="00894C3E">
        <w:rPr>
          <w:rFonts w:ascii="Arial" w:hAnsi="Arial" w:cs="Arial"/>
          <w:sz w:val="24"/>
          <w:szCs w:val="24"/>
        </w:rPr>
        <w:t>.</w:t>
      </w:r>
      <w:r w:rsidR="00DB0B0B" w:rsidRPr="00894C3E">
        <w:rPr>
          <w:rFonts w:ascii="Arial" w:hAnsi="Arial" w:cs="Arial"/>
          <w:sz w:val="24"/>
          <w:szCs w:val="24"/>
        </w:rPr>
        <w:t xml:space="preserve"> </w:t>
      </w:r>
      <w:r w:rsidR="00835351" w:rsidRPr="00894C3E">
        <w:rPr>
          <w:rFonts w:ascii="Arial" w:hAnsi="Arial" w:cs="Arial"/>
          <w:sz w:val="24"/>
          <w:szCs w:val="24"/>
        </w:rPr>
        <w:t xml:space="preserve"> </w:t>
      </w:r>
      <w:r w:rsidR="00DB0B0B" w:rsidRPr="00894C3E">
        <w:rPr>
          <w:rFonts w:ascii="Arial" w:hAnsi="Arial" w:cs="Arial"/>
          <w:sz w:val="24"/>
          <w:szCs w:val="24"/>
        </w:rPr>
        <w:t xml:space="preserve">This joint planning will improve </w:t>
      </w:r>
      <w:r w:rsidR="00DB0B0B" w:rsidRPr="00894C3E">
        <w:rPr>
          <w:rFonts w:ascii="Arial" w:hAnsi="Arial" w:cs="Arial"/>
          <w:sz w:val="24"/>
          <w:szCs w:val="24"/>
        </w:rPr>
        <w:lastRenderedPageBreak/>
        <w:t xml:space="preserve">the process by which </w:t>
      </w:r>
      <w:r w:rsidRPr="00894C3E">
        <w:rPr>
          <w:rFonts w:ascii="Arial" w:hAnsi="Arial" w:cs="Arial"/>
          <w:sz w:val="24"/>
          <w:szCs w:val="24"/>
        </w:rPr>
        <w:t xml:space="preserve">the </w:t>
      </w:r>
      <w:r w:rsidR="00DB0B0B" w:rsidRPr="00894C3E">
        <w:rPr>
          <w:rFonts w:ascii="Arial" w:hAnsi="Arial" w:cs="Arial"/>
          <w:sz w:val="24"/>
          <w:szCs w:val="24"/>
        </w:rPr>
        <w:t>child is protected and the outcome for the accused adult is expedited.</w:t>
      </w:r>
    </w:p>
    <w:p w14:paraId="10044BE0" w14:textId="77777777" w:rsidR="00894C3E" w:rsidRDefault="00894C3E" w:rsidP="00894C3E">
      <w:pPr>
        <w:spacing w:after="0"/>
        <w:jc w:val="both"/>
        <w:rPr>
          <w:rFonts w:ascii="Arial" w:hAnsi="Arial" w:cs="Arial"/>
          <w:sz w:val="24"/>
          <w:szCs w:val="24"/>
        </w:rPr>
      </w:pPr>
    </w:p>
    <w:p w14:paraId="33034942" w14:textId="3D7A1855" w:rsidR="00BA65D9" w:rsidRPr="00894C3E" w:rsidRDefault="009E13E6" w:rsidP="00894C3E">
      <w:pPr>
        <w:spacing w:after="0"/>
        <w:jc w:val="both"/>
        <w:rPr>
          <w:rFonts w:ascii="Arial" w:hAnsi="Arial" w:cs="Arial"/>
          <w:sz w:val="24"/>
          <w:szCs w:val="24"/>
        </w:rPr>
      </w:pPr>
      <w:r w:rsidRPr="00894C3E">
        <w:rPr>
          <w:rFonts w:ascii="Arial" w:hAnsi="Arial" w:cs="Arial"/>
          <w:sz w:val="24"/>
          <w:szCs w:val="24"/>
        </w:rPr>
        <w:t xml:space="preserve">The </w:t>
      </w:r>
      <w:r w:rsidR="00BA65D9" w:rsidRPr="00894C3E">
        <w:rPr>
          <w:rFonts w:ascii="Arial" w:hAnsi="Arial" w:cs="Arial"/>
          <w:sz w:val="24"/>
          <w:szCs w:val="24"/>
        </w:rPr>
        <w:t>L</w:t>
      </w:r>
      <w:r w:rsidRPr="00894C3E">
        <w:rPr>
          <w:rFonts w:ascii="Arial" w:hAnsi="Arial" w:cs="Arial"/>
          <w:sz w:val="24"/>
          <w:szCs w:val="24"/>
        </w:rPr>
        <w:t>ADO will keep in regular contact with the employer/ man</w:t>
      </w:r>
      <w:r w:rsidR="00BA65D9" w:rsidRPr="00894C3E">
        <w:rPr>
          <w:rFonts w:ascii="Arial" w:hAnsi="Arial" w:cs="Arial"/>
          <w:sz w:val="24"/>
          <w:szCs w:val="24"/>
        </w:rPr>
        <w:t>a</w:t>
      </w:r>
      <w:r w:rsidRPr="00894C3E">
        <w:rPr>
          <w:rFonts w:ascii="Arial" w:hAnsi="Arial" w:cs="Arial"/>
          <w:sz w:val="24"/>
          <w:szCs w:val="24"/>
        </w:rPr>
        <w:t xml:space="preserve">ger and any other agency involved in making </w:t>
      </w:r>
      <w:r w:rsidR="00BA65D9" w:rsidRPr="00894C3E">
        <w:rPr>
          <w:rFonts w:ascii="Arial" w:hAnsi="Arial" w:cs="Arial"/>
          <w:sz w:val="24"/>
          <w:szCs w:val="24"/>
        </w:rPr>
        <w:t>enquiries</w:t>
      </w:r>
      <w:r w:rsidRPr="00894C3E">
        <w:rPr>
          <w:rFonts w:ascii="Arial" w:hAnsi="Arial" w:cs="Arial"/>
          <w:sz w:val="24"/>
          <w:szCs w:val="24"/>
        </w:rPr>
        <w:t xml:space="preserve">/taking forward investigations that will inform the eventual outcome of the </w:t>
      </w:r>
      <w:r w:rsidR="00BA65D9" w:rsidRPr="00894C3E">
        <w:rPr>
          <w:rFonts w:ascii="Arial" w:hAnsi="Arial" w:cs="Arial"/>
          <w:sz w:val="24"/>
          <w:szCs w:val="24"/>
        </w:rPr>
        <w:t>allegation</w:t>
      </w:r>
      <w:r w:rsidRPr="00894C3E">
        <w:rPr>
          <w:rFonts w:ascii="Arial" w:hAnsi="Arial" w:cs="Arial"/>
          <w:sz w:val="24"/>
          <w:szCs w:val="24"/>
        </w:rPr>
        <w:t xml:space="preserve">. </w:t>
      </w:r>
      <w:r w:rsidR="00BA65D9" w:rsidRPr="00894C3E">
        <w:rPr>
          <w:rFonts w:ascii="Arial" w:hAnsi="Arial" w:cs="Arial"/>
          <w:sz w:val="24"/>
          <w:szCs w:val="24"/>
        </w:rPr>
        <w:t xml:space="preserve">The LADO will ensure that there is regular communication across the agencies. </w:t>
      </w:r>
      <w:r w:rsidRPr="00894C3E">
        <w:rPr>
          <w:rFonts w:ascii="Arial" w:hAnsi="Arial" w:cs="Arial"/>
          <w:sz w:val="24"/>
          <w:szCs w:val="24"/>
        </w:rPr>
        <w:t xml:space="preserve">This period can be lengthy </w:t>
      </w:r>
      <w:r w:rsidR="00BA65D9" w:rsidRPr="00894C3E">
        <w:rPr>
          <w:rFonts w:ascii="Arial" w:hAnsi="Arial" w:cs="Arial"/>
          <w:sz w:val="24"/>
          <w:szCs w:val="24"/>
        </w:rPr>
        <w:t>particularly</w:t>
      </w:r>
      <w:r w:rsidRPr="00894C3E">
        <w:rPr>
          <w:rFonts w:ascii="Arial" w:hAnsi="Arial" w:cs="Arial"/>
          <w:sz w:val="24"/>
          <w:szCs w:val="24"/>
        </w:rPr>
        <w:t xml:space="preserve"> if </w:t>
      </w:r>
      <w:r w:rsidR="00BA65D9" w:rsidRPr="00894C3E">
        <w:rPr>
          <w:rFonts w:ascii="Arial" w:hAnsi="Arial" w:cs="Arial"/>
          <w:sz w:val="24"/>
          <w:szCs w:val="24"/>
        </w:rPr>
        <w:t>there</w:t>
      </w:r>
      <w:r w:rsidRPr="00894C3E">
        <w:rPr>
          <w:rFonts w:ascii="Arial" w:hAnsi="Arial" w:cs="Arial"/>
          <w:sz w:val="24"/>
          <w:szCs w:val="24"/>
        </w:rPr>
        <w:t xml:space="preserve"> is </w:t>
      </w:r>
      <w:r w:rsidR="00BA65D9" w:rsidRPr="00894C3E">
        <w:rPr>
          <w:rFonts w:ascii="Arial" w:hAnsi="Arial" w:cs="Arial"/>
          <w:sz w:val="24"/>
          <w:szCs w:val="24"/>
        </w:rPr>
        <w:t>a criminal</w:t>
      </w:r>
      <w:r w:rsidRPr="00894C3E">
        <w:rPr>
          <w:rFonts w:ascii="Arial" w:hAnsi="Arial" w:cs="Arial"/>
          <w:sz w:val="24"/>
          <w:szCs w:val="24"/>
        </w:rPr>
        <w:t xml:space="preserve"> investigation and subsequent court trial</w:t>
      </w:r>
      <w:r w:rsidR="00BA65D9" w:rsidRPr="00894C3E">
        <w:rPr>
          <w:rFonts w:ascii="Arial" w:hAnsi="Arial" w:cs="Arial"/>
          <w:sz w:val="24"/>
          <w:szCs w:val="24"/>
        </w:rPr>
        <w:t xml:space="preserve">. When the investigations are complete or at the point when enough information is known to bring the matter to a conclusion the LADO will chair a </w:t>
      </w:r>
      <w:r w:rsidR="00BA65D9" w:rsidRPr="00894C3E">
        <w:rPr>
          <w:rFonts w:ascii="Arial" w:hAnsi="Arial" w:cs="Arial"/>
          <w:b/>
          <w:bCs/>
          <w:sz w:val="24"/>
          <w:szCs w:val="24"/>
        </w:rPr>
        <w:t>Post Allegation Meeting</w:t>
      </w:r>
      <w:r w:rsidR="009D457F" w:rsidRPr="00894C3E">
        <w:rPr>
          <w:rFonts w:ascii="Arial" w:hAnsi="Arial" w:cs="Arial"/>
          <w:b/>
          <w:bCs/>
          <w:sz w:val="24"/>
          <w:szCs w:val="24"/>
        </w:rPr>
        <w:t xml:space="preserve"> (PAM).</w:t>
      </w:r>
    </w:p>
    <w:p w14:paraId="554DD9DA" w14:textId="77777777" w:rsidR="00894C3E" w:rsidRDefault="00894C3E" w:rsidP="00894C3E">
      <w:pPr>
        <w:spacing w:after="0"/>
        <w:jc w:val="both"/>
        <w:rPr>
          <w:rFonts w:ascii="Arial" w:hAnsi="Arial" w:cs="Arial"/>
          <w:sz w:val="24"/>
          <w:szCs w:val="24"/>
        </w:rPr>
      </w:pPr>
    </w:p>
    <w:p w14:paraId="201E2512" w14:textId="592D14A1" w:rsidR="00B92AA2" w:rsidRDefault="002F5079" w:rsidP="00894C3E">
      <w:pPr>
        <w:spacing w:after="0"/>
        <w:jc w:val="both"/>
        <w:rPr>
          <w:rFonts w:ascii="Arial" w:hAnsi="Arial" w:cs="Arial"/>
          <w:sz w:val="24"/>
          <w:szCs w:val="24"/>
        </w:rPr>
      </w:pPr>
      <w:r w:rsidRPr="00894C3E">
        <w:rPr>
          <w:rFonts w:ascii="Arial" w:hAnsi="Arial" w:cs="Arial"/>
          <w:sz w:val="24"/>
          <w:szCs w:val="24"/>
        </w:rPr>
        <w:t>The PAM shares the information following on from the investigation</w:t>
      </w:r>
      <w:r w:rsidR="00BA65D9" w:rsidRPr="00894C3E">
        <w:rPr>
          <w:rFonts w:ascii="Arial" w:hAnsi="Arial" w:cs="Arial"/>
          <w:sz w:val="24"/>
          <w:szCs w:val="24"/>
        </w:rPr>
        <w:t xml:space="preserve"> and follows a formal agenda</w:t>
      </w:r>
      <w:r w:rsidR="00091452" w:rsidRPr="00894C3E">
        <w:rPr>
          <w:rFonts w:ascii="Arial" w:hAnsi="Arial" w:cs="Arial"/>
          <w:sz w:val="24"/>
          <w:szCs w:val="24"/>
        </w:rPr>
        <w:t xml:space="preserve">.  </w:t>
      </w:r>
      <w:r w:rsidRPr="00894C3E">
        <w:rPr>
          <w:rFonts w:ascii="Arial" w:hAnsi="Arial" w:cs="Arial"/>
          <w:sz w:val="24"/>
          <w:szCs w:val="24"/>
        </w:rPr>
        <w:t>Th</w:t>
      </w:r>
      <w:r w:rsidR="00BA65D9" w:rsidRPr="00894C3E">
        <w:rPr>
          <w:rFonts w:ascii="Arial" w:hAnsi="Arial" w:cs="Arial"/>
          <w:sz w:val="24"/>
          <w:szCs w:val="24"/>
        </w:rPr>
        <w:t>ose in attendance will have been involved in various aspect of the investigation.</w:t>
      </w:r>
      <w:r w:rsidR="003D7CBC" w:rsidRPr="00894C3E">
        <w:rPr>
          <w:rFonts w:ascii="Arial" w:hAnsi="Arial" w:cs="Arial"/>
          <w:sz w:val="24"/>
          <w:szCs w:val="24"/>
        </w:rPr>
        <w:t xml:space="preserve"> Their information will contribute to and decide the </w:t>
      </w:r>
      <w:r w:rsidR="009D457F" w:rsidRPr="00894C3E">
        <w:rPr>
          <w:rFonts w:ascii="Arial" w:hAnsi="Arial" w:cs="Arial"/>
          <w:sz w:val="24"/>
          <w:szCs w:val="24"/>
        </w:rPr>
        <w:t>“</w:t>
      </w:r>
      <w:r w:rsidR="003D7CBC" w:rsidRPr="00894C3E">
        <w:rPr>
          <w:rFonts w:ascii="Arial" w:hAnsi="Arial" w:cs="Arial"/>
          <w:sz w:val="24"/>
          <w:szCs w:val="24"/>
        </w:rPr>
        <w:t>Findings</w:t>
      </w:r>
      <w:r w:rsidR="009D457F" w:rsidRPr="00894C3E">
        <w:rPr>
          <w:rFonts w:ascii="Arial" w:hAnsi="Arial" w:cs="Arial"/>
          <w:sz w:val="24"/>
          <w:szCs w:val="24"/>
        </w:rPr>
        <w:t>”</w:t>
      </w:r>
      <w:r w:rsidR="003D7CBC" w:rsidRPr="00894C3E">
        <w:rPr>
          <w:rFonts w:ascii="Arial" w:hAnsi="Arial" w:cs="Arial"/>
          <w:sz w:val="24"/>
          <w:szCs w:val="24"/>
        </w:rPr>
        <w:t xml:space="preserve"> of the allegation</w:t>
      </w:r>
      <w:r w:rsidRPr="00894C3E">
        <w:rPr>
          <w:rFonts w:ascii="Arial" w:hAnsi="Arial" w:cs="Arial"/>
          <w:sz w:val="24"/>
          <w:szCs w:val="24"/>
        </w:rPr>
        <w:t xml:space="preserve">.  The </w:t>
      </w:r>
      <w:r w:rsidR="003D7CBC" w:rsidRPr="00894C3E">
        <w:rPr>
          <w:rFonts w:ascii="Arial" w:hAnsi="Arial" w:cs="Arial"/>
          <w:sz w:val="24"/>
          <w:szCs w:val="24"/>
        </w:rPr>
        <w:t>F</w:t>
      </w:r>
      <w:r w:rsidRPr="00894C3E">
        <w:rPr>
          <w:rFonts w:ascii="Arial" w:hAnsi="Arial" w:cs="Arial"/>
          <w:sz w:val="24"/>
          <w:szCs w:val="24"/>
        </w:rPr>
        <w:t xml:space="preserve">indings will be formally recorded, and any further action discussed. </w:t>
      </w:r>
      <w:r w:rsidR="00DB0B0B" w:rsidRPr="00894C3E">
        <w:rPr>
          <w:rFonts w:ascii="Arial" w:hAnsi="Arial" w:cs="Arial"/>
          <w:sz w:val="24"/>
          <w:szCs w:val="24"/>
        </w:rPr>
        <w:t xml:space="preserve">This meeting will be </w:t>
      </w:r>
      <w:r w:rsidR="008F68DC" w:rsidRPr="00894C3E">
        <w:rPr>
          <w:rFonts w:ascii="Arial" w:hAnsi="Arial" w:cs="Arial"/>
          <w:sz w:val="24"/>
          <w:szCs w:val="24"/>
        </w:rPr>
        <w:t>informed</w:t>
      </w:r>
      <w:r w:rsidR="00DB0B0B" w:rsidRPr="00894C3E">
        <w:rPr>
          <w:rFonts w:ascii="Arial" w:hAnsi="Arial" w:cs="Arial"/>
          <w:sz w:val="24"/>
          <w:szCs w:val="24"/>
        </w:rPr>
        <w:t xml:space="preserve"> by a</w:t>
      </w:r>
      <w:r w:rsidR="008F68DC" w:rsidRPr="00894C3E">
        <w:rPr>
          <w:rFonts w:ascii="Arial" w:hAnsi="Arial" w:cs="Arial"/>
          <w:sz w:val="24"/>
          <w:szCs w:val="24"/>
        </w:rPr>
        <w:t>n</w:t>
      </w:r>
      <w:r w:rsidR="00DB0B0B" w:rsidRPr="00894C3E">
        <w:rPr>
          <w:rFonts w:ascii="Arial" w:hAnsi="Arial" w:cs="Arial"/>
          <w:sz w:val="24"/>
          <w:szCs w:val="24"/>
        </w:rPr>
        <w:t>y cr</w:t>
      </w:r>
      <w:r w:rsidR="008F68DC" w:rsidRPr="00894C3E">
        <w:rPr>
          <w:rFonts w:ascii="Arial" w:hAnsi="Arial" w:cs="Arial"/>
          <w:sz w:val="24"/>
          <w:szCs w:val="24"/>
        </w:rPr>
        <w:t>i</w:t>
      </w:r>
      <w:r w:rsidR="00DB0B0B" w:rsidRPr="00894C3E">
        <w:rPr>
          <w:rFonts w:ascii="Arial" w:hAnsi="Arial" w:cs="Arial"/>
          <w:sz w:val="24"/>
          <w:szCs w:val="24"/>
        </w:rPr>
        <w:t>m</w:t>
      </w:r>
      <w:r w:rsidR="008F68DC" w:rsidRPr="00894C3E">
        <w:rPr>
          <w:rFonts w:ascii="Arial" w:hAnsi="Arial" w:cs="Arial"/>
          <w:sz w:val="24"/>
          <w:szCs w:val="24"/>
        </w:rPr>
        <w:t>ina</w:t>
      </w:r>
      <w:r w:rsidR="00DB0B0B" w:rsidRPr="00894C3E">
        <w:rPr>
          <w:rFonts w:ascii="Arial" w:hAnsi="Arial" w:cs="Arial"/>
          <w:sz w:val="24"/>
          <w:szCs w:val="24"/>
        </w:rPr>
        <w:t xml:space="preserve">l investigation, </w:t>
      </w:r>
      <w:r w:rsidR="008F68DC" w:rsidRPr="00894C3E">
        <w:rPr>
          <w:rFonts w:ascii="Arial" w:hAnsi="Arial" w:cs="Arial"/>
          <w:sz w:val="24"/>
          <w:szCs w:val="24"/>
        </w:rPr>
        <w:t>social</w:t>
      </w:r>
      <w:r w:rsidR="00DB0B0B" w:rsidRPr="00894C3E">
        <w:rPr>
          <w:rFonts w:ascii="Arial" w:hAnsi="Arial" w:cs="Arial"/>
          <w:sz w:val="24"/>
          <w:szCs w:val="24"/>
        </w:rPr>
        <w:t xml:space="preserve"> work </w:t>
      </w:r>
      <w:r w:rsidR="00935BB2" w:rsidRPr="00894C3E">
        <w:rPr>
          <w:rFonts w:ascii="Arial" w:hAnsi="Arial" w:cs="Arial"/>
          <w:sz w:val="24"/>
          <w:szCs w:val="24"/>
        </w:rPr>
        <w:t>enquiries,</w:t>
      </w:r>
      <w:r w:rsidR="00DB0B0B" w:rsidRPr="00894C3E">
        <w:rPr>
          <w:rFonts w:ascii="Arial" w:hAnsi="Arial" w:cs="Arial"/>
          <w:sz w:val="24"/>
          <w:szCs w:val="24"/>
        </w:rPr>
        <w:t xml:space="preserve"> disciplinary procedures or specialist </w:t>
      </w:r>
      <w:r w:rsidR="008F68DC" w:rsidRPr="00894C3E">
        <w:rPr>
          <w:rFonts w:ascii="Arial" w:hAnsi="Arial" w:cs="Arial"/>
          <w:sz w:val="24"/>
          <w:szCs w:val="24"/>
        </w:rPr>
        <w:t>assessments</w:t>
      </w:r>
      <w:r w:rsidR="00DB0B0B" w:rsidRPr="00894C3E">
        <w:rPr>
          <w:rFonts w:ascii="Arial" w:hAnsi="Arial" w:cs="Arial"/>
          <w:sz w:val="24"/>
          <w:szCs w:val="24"/>
        </w:rPr>
        <w:t>.</w:t>
      </w:r>
    </w:p>
    <w:p w14:paraId="317D3C88" w14:textId="77777777" w:rsidR="00894C3E" w:rsidRDefault="00894C3E" w:rsidP="00894C3E">
      <w:pPr>
        <w:spacing w:after="0"/>
        <w:jc w:val="both"/>
        <w:rPr>
          <w:rFonts w:ascii="Arial" w:hAnsi="Arial" w:cs="Arial"/>
          <w:sz w:val="24"/>
          <w:szCs w:val="24"/>
        </w:rPr>
      </w:pPr>
    </w:p>
    <w:p w14:paraId="3F80F0F1" w14:textId="62F801C6" w:rsidR="00B92AA2" w:rsidRPr="00894C3E" w:rsidRDefault="00B92AA2" w:rsidP="00894C3E">
      <w:pPr>
        <w:pStyle w:val="Heading1"/>
        <w:numPr>
          <w:ilvl w:val="0"/>
          <w:numId w:val="13"/>
        </w:numPr>
        <w:spacing w:before="0"/>
        <w:ind w:left="567" w:hanging="567"/>
        <w:rPr>
          <w:b/>
          <w:bCs/>
        </w:rPr>
      </w:pPr>
      <w:bookmarkStart w:id="5" w:name="_Toc53048220"/>
      <w:r w:rsidRPr="00894C3E">
        <w:rPr>
          <w:b/>
          <w:bCs/>
        </w:rPr>
        <w:t xml:space="preserve">Allegations against </w:t>
      </w:r>
      <w:r w:rsidR="003F2C55" w:rsidRPr="00894C3E">
        <w:rPr>
          <w:b/>
          <w:bCs/>
        </w:rPr>
        <w:t>s</w:t>
      </w:r>
      <w:r w:rsidRPr="00894C3E">
        <w:rPr>
          <w:b/>
          <w:bCs/>
        </w:rPr>
        <w:t xml:space="preserve">taff in their </w:t>
      </w:r>
      <w:r w:rsidR="003F2C55" w:rsidRPr="00894C3E">
        <w:rPr>
          <w:b/>
          <w:bCs/>
        </w:rPr>
        <w:t>p</w:t>
      </w:r>
      <w:r w:rsidRPr="00894C3E">
        <w:rPr>
          <w:b/>
          <w:bCs/>
        </w:rPr>
        <w:t xml:space="preserve">ersonal </w:t>
      </w:r>
      <w:r w:rsidR="003F2C55" w:rsidRPr="00894C3E">
        <w:rPr>
          <w:b/>
          <w:bCs/>
        </w:rPr>
        <w:t>l</w:t>
      </w:r>
      <w:r w:rsidRPr="00894C3E">
        <w:rPr>
          <w:b/>
          <w:bCs/>
        </w:rPr>
        <w:t>ives: Transferable Risk</w:t>
      </w:r>
      <w:bookmarkEnd w:id="5"/>
    </w:p>
    <w:p w14:paraId="50A81961" w14:textId="77777777" w:rsidR="007200D5" w:rsidRPr="00894C3E" w:rsidRDefault="007200D5" w:rsidP="00894C3E">
      <w:pPr>
        <w:pStyle w:val="Default"/>
        <w:shd w:val="clear" w:color="auto" w:fill="FFFFFF" w:themeFill="background1"/>
        <w:jc w:val="both"/>
        <w:rPr>
          <w:bCs/>
        </w:rPr>
      </w:pPr>
    </w:p>
    <w:p w14:paraId="5BE2712F" w14:textId="77777777" w:rsidR="00B92AA2" w:rsidRPr="00894C3E" w:rsidRDefault="00B92AA2" w:rsidP="00894C3E">
      <w:pPr>
        <w:pStyle w:val="Default"/>
        <w:shd w:val="clear" w:color="auto" w:fill="FFFFFF" w:themeFill="background1"/>
        <w:jc w:val="both"/>
        <w:rPr>
          <w:bCs/>
        </w:rPr>
      </w:pPr>
      <w:r w:rsidRPr="00894C3E">
        <w:rPr>
          <w:bCs/>
        </w:rPr>
        <w:t xml:space="preserve">When an accused adult is said to have harmed a child in their working life, the decisions around thresholds can be more straightforward. However, there are times when the harm or potential harm arises because of actions or events in the accused adult’s personal life. This may involve their actions in respect of their own children for example. This matter will be dealt with through consideration of </w:t>
      </w:r>
      <w:r w:rsidRPr="00894C3E">
        <w:rPr>
          <w:bCs/>
          <w:i/>
        </w:rPr>
        <w:t>Transferable Risk</w:t>
      </w:r>
      <w:r w:rsidRPr="00894C3E">
        <w:rPr>
          <w:bCs/>
        </w:rPr>
        <w:t>. Transferable risk is complex and social workers must not take unilateral action. There will be many factors that can impact on transferability</w:t>
      </w:r>
      <w:r w:rsidR="00AC7C4B" w:rsidRPr="00894C3E">
        <w:rPr>
          <w:bCs/>
        </w:rPr>
        <w:t>.</w:t>
      </w:r>
      <w:r w:rsidRPr="00894C3E">
        <w:rPr>
          <w:bCs/>
        </w:rPr>
        <w:t xml:space="preserve"> </w:t>
      </w:r>
      <w:r w:rsidR="00AC7C4B" w:rsidRPr="00894C3E">
        <w:rPr>
          <w:bCs/>
        </w:rPr>
        <w:t xml:space="preserve">Good quality </w:t>
      </w:r>
      <w:r w:rsidRPr="00894C3E">
        <w:rPr>
          <w:bCs/>
        </w:rPr>
        <w:t xml:space="preserve">social work assessments can partly inform the risks that an </w:t>
      </w:r>
      <w:r w:rsidR="00AC7C4B" w:rsidRPr="00894C3E">
        <w:rPr>
          <w:bCs/>
        </w:rPr>
        <w:t>individual pose</w:t>
      </w:r>
      <w:r w:rsidRPr="00894C3E">
        <w:rPr>
          <w:bCs/>
        </w:rPr>
        <w:t xml:space="preserve"> in their work with children</w:t>
      </w:r>
      <w:r w:rsidR="00AC7C4B" w:rsidRPr="00894C3E">
        <w:rPr>
          <w:bCs/>
        </w:rPr>
        <w:t>. However,</w:t>
      </w:r>
      <w:r w:rsidRPr="00894C3E">
        <w:rPr>
          <w:bCs/>
        </w:rPr>
        <w:t xml:space="preserve"> there will be many other factors to be </w:t>
      </w:r>
      <w:r w:rsidR="00AC7C4B" w:rsidRPr="00894C3E">
        <w:rPr>
          <w:bCs/>
        </w:rPr>
        <w:t>considered</w:t>
      </w:r>
      <w:r w:rsidRPr="00894C3E">
        <w:rPr>
          <w:bCs/>
        </w:rPr>
        <w:t xml:space="preserve"> and it is for the individual’s manager and the Allegations Management process to </w:t>
      </w:r>
      <w:r w:rsidR="00AC7C4B" w:rsidRPr="00894C3E">
        <w:rPr>
          <w:bCs/>
        </w:rPr>
        <w:t xml:space="preserve">balance </w:t>
      </w:r>
      <w:r w:rsidRPr="00894C3E">
        <w:rPr>
          <w:bCs/>
        </w:rPr>
        <w:t xml:space="preserve">risks to children through the </w:t>
      </w:r>
      <w:r w:rsidR="00AC7C4B" w:rsidRPr="00894C3E">
        <w:rPr>
          <w:bCs/>
        </w:rPr>
        <w:t xml:space="preserve">accused adult’s </w:t>
      </w:r>
      <w:r w:rsidRPr="00894C3E">
        <w:rPr>
          <w:bCs/>
        </w:rPr>
        <w:t xml:space="preserve">work. </w:t>
      </w:r>
    </w:p>
    <w:p w14:paraId="191CF4D7" w14:textId="77777777" w:rsidR="00B92AA2" w:rsidRPr="00894C3E" w:rsidRDefault="00B92AA2" w:rsidP="00894C3E">
      <w:pPr>
        <w:pStyle w:val="Default"/>
        <w:shd w:val="clear" w:color="auto" w:fill="FFFFFF" w:themeFill="background1"/>
        <w:jc w:val="both"/>
        <w:rPr>
          <w:bCs/>
        </w:rPr>
      </w:pPr>
    </w:p>
    <w:p w14:paraId="06E98AA4" w14:textId="77777777" w:rsidR="00AC7C4B" w:rsidRPr="00894C3E" w:rsidRDefault="00AC7C4B" w:rsidP="00894C3E">
      <w:pPr>
        <w:pStyle w:val="Default"/>
        <w:shd w:val="clear" w:color="auto" w:fill="FFFFFF" w:themeFill="background1"/>
        <w:jc w:val="both"/>
        <w:rPr>
          <w:bCs/>
        </w:rPr>
      </w:pPr>
      <w:r w:rsidRPr="00894C3E">
        <w:rPr>
          <w:bCs/>
        </w:rPr>
        <w:t xml:space="preserve">Situations </w:t>
      </w:r>
      <w:r w:rsidR="00B92AA2" w:rsidRPr="00894C3E">
        <w:rPr>
          <w:bCs/>
        </w:rPr>
        <w:t xml:space="preserve">where domestic violence has occurred </w:t>
      </w:r>
      <w:r w:rsidRPr="00894C3E">
        <w:rPr>
          <w:bCs/>
        </w:rPr>
        <w:t xml:space="preserve">in the accused adult’s personal life </w:t>
      </w:r>
      <w:r w:rsidR="00B92AA2" w:rsidRPr="00894C3E">
        <w:rPr>
          <w:bCs/>
        </w:rPr>
        <w:t xml:space="preserve">may warrant an early discussion with the LADO if the matter clearly reaches the threshold </w:t>
      </w:r>
      <w:r w:rsidRPr="00894C3E">
        <w:rPr>
          <w:bCs/>
        </w:rPr>
        <w:t xml:space="preserve">for these procedures. </w:t>
      </w:r>
      <w:r w:rsidR="00B92AA2" w:rsidRPr="00894C3E">
        <w:rPr>
          <w:bCs/>
        </w:rPr>
        <w:t xml:space="preserve">However, </w:t>
      </w:r>
      <w:r w:rsidRPr="00894C3E">
        <w:rPr>
          <w:bCs/>
        </w:rPr>
        <w:t xml:space="preserve">this threshold will not usually be reached </w:t>
      </w:r>
      <w:r w:rsidR="00B92AA2" w:rsidRPr="00894C3E">
        <w:rPr>
          <w:bCs/>
        </w:rPr>
        <w:t xml:space="preserve">unless the </w:t>
      </w:r>
      <w:r w:rsidRPr="00894C3E">
        <w:rPr>
          <w:bCs/>
        </w:rPr>
        <w:t xml:space="preserve">accused adult’s </w:t>
      </w:r>
      <w:r w:rsidR="00B92AA2" w:rsidRPr="00894C3E">
        <w:rPr>
          <w:bCs/>
        </w:rPr>
        <w:t>own child become</w:t>
      </w:r>
      <w:r w:rsidRPr="00894C3E">
        <w:rPr>
          <w:bCs/>
        </w:rPr>
        <w:t>s</w:t>
      </w:r>
      <w:r w:rsidR="00B92AA2" w:rsidRPr="00894C3E">
        <w:rPr>
          <w:bCs/>
        </w:rPr>
        <w:t xml:space="preserve"> subject to a child protection plan. </w:t>
      </w:r>
    </w:p>
    <w:p w14:paraId="48786156" w14:textId="77777777" w:rsidR="007200D5" w:rsidRPr="00894C3E" w:rsidRDefault="007200D5" w:rsidP="00894C3E">
      <w:pPr>
        <w:pStyle w:val="Default"/>
        <w:shd w:val="clear" w:color="auto" w:fill="FFFFFF" w:themeFill="background1"/>
        <w:jc w:val="both"/>
        <w:rPr>
          <w:bCs/>
        </w:rPr>
      </w:pPr>
    </w:p>
    <w:p w14:paraId="4D3AFD14" w14:textId="77777777" w:rsidR="00B92AA2" w:rsidRPr="00894C3E" w:rsidRDefault="00B92AA2" w:rsidP="00894C3E">
      <w:pPr>
        <w:jc w:val="both"/>
        <w:rPr>
          <w:rFonts w:ascii="Arial" w:hAnsi="Arial" w:cs="Arial"/>
          <w:sz w:val="24"/>
          <w:szCs w:val="24"/>
        </w:rPr>
      </w:pPr>
      <w:r w:rsidRPr="00894C3E">
        <w:rPr>
          <w:rFonts w:ascii="Arial" w:hAnsi="Arial" w:cs="Arial"/>
          <w:bCs/>
          <w:sz w:val="24"/>
          <w:szCs w:val="24"/>
        </w:rPr>
        <w:t xml:space="preserve">BCP Children’s Practitioners will work with adults and children over a significant time. They may learn that an individual for whom they have had historical concerns </w:t>
      </w:r>
      <w:r w:rsidRPr="00894C3E">
        <w:rPr>
          <w:rFonts w:ascii="Arial" w:hAnsi="Arial" w:cs="Arial"/>
          <w:sz w:val="24"/>
          <w:szCs w:val="24"/>
        </w:rPr>
        <w:t>is training to work with children or actively looking for work with children. The Children’s practitioner should discuss these situations with their manager and if they agree that action should be taken the matter must be referred into the Allegations Management process. This provides a formal framework for any subsequent actions</w:t>
      </w:r>
      <w:r w:rsidR="00AC7C4B" w:rsidRPr="00894C3E">
        <w:rPr>
          <w:rFonts w:ascii="Arial" w:hAnsi="Arial" w:cs="Arial"/>
          <w:sz w:val="24"/>
          <w:szCs w:val="24"/>
        </w:rPr>
        <w:t>,</w:t>
      </w:r>
      <w:r w:rsidRPr="00894C3E">
        <w:rPr>
          <w:rFonts w:ascii="Arial" w:hAnsi="Arial" w:cs="Arial"/>
          <w:sz w:val="24"/>
          <w:szCs w:val="24"/>
        </w:rPr>
        <w:t xml:space="preserve"> genuine concerns must be addressed</w:t>
      </w:r>
      <w:r w:rsidR="00AC7C4B" w:rsidRPr="00894C3E">
        <w:rPr>
          <w:rFonts w:ascii="Arial" w:hAnsi="Arial" w:cs="Arial"/>
          <w:sz w:val="24"/>
          <w:szCs w:val="24"/>
        </w:rPr>
        <w:t xml:space="preserve">, however adults </w:t>
      </w:r>
      <w:r w:rsidR="00402A10" w:rsidRPr="00894C3E">
        <w:rPr>
          <w:rFonts w:ascii="Arial" w:hAnsi="Arial" w:cs="Arial"/>
          <w:sz w:val="24"/>
          <w:szCs w:val="24"/>
        </w:rPr>
        <w:t xml:space="preserve">also </w:t>
      </w:r>
      <w:r w:rsidR="00AC7C4B" w:rsidRPr="00894C3E">
        <w:rPr>
          <w:rFonts w:ascii="Arial" w:hAnsi="Arial" w:cs="Arial"/>
          <w:sz w:val="24"/>
          <w:szCs w:val="24"/>
        </w:rPr>
        <w:t xml:space="preserve">have the right to move on and make a success of their lives, </w:t>
      </w:r>
      <w:r w:rsidRPr="00894C3E">
        <w:rPr>
          <w:rFonts w:ascii="Arial" w:hAnsi="Arial" w:cs="Arial"/>
          <w:sz w:val="24"/>
          <w:szCs w:val="24"/>
        </w:rPr>
        <w:t xml:space="preserve"> Given the impact on the individual’s future it may be necessary to seek senior manager approval or legal advice in these matters and this can be addressed through the Allegations Management process.</w:t>
      </w:r>
    </w:p>
    <w:p w14:paraId="6B0BC420" w14:textId="0AA9F442" w:rsidR="003F2C55" w:rsidRDefault="007200D5" w:rsidP="00894C3E">
      <w:pPr>
        <w:spacing w:after="0"/>
        <w:jc w:val="both"/>
        <w:rPr>
          <w:rFonts w:ascii="Arial" w:hAnsi="Arial" w:cs="Arial"/>
          <w:sz w:val="24"/>
          <w:szCs w:val="24"/>
        </w:rPr>
      </w:pPr>
      <w:r w:rsidRPr="00894C3E">
        <w:rPr>
          <w:rFonts w:ascii="Arial" w:hAnsi="Arial" w:cs="Arial"/>
          <w:sz w:val="24"/>
          <w:szCs w:val="24"/>
        </w:rPr>
        <w:lastRenderedPageBreak/>
        <w:t>W</w:t>
      </w:r>
      <w:r w:rsidR="00B92AA2" w:rsidRPr="00894C3E">
        <w:rPr>
          <w:rFonts w:ascii="Arial" w:hAnsi="Arial" w:cs="Arial"/>
          <w:sz w:val="24"/>
          <w:szCs w:val="24"/>
        </w:rPr>
        <w:t>hen there are concerns that an individual may be unsuitable to work with children, but their actions do not meet the criteria for these procedures</w:t>
      </w:r>
      <w:r w:rsidRPr="00894C3E">
        <w:rPr>
          <w:rFonts w:ascii="Arial" w:hAnsi="Arial" w:cs="Arial"/>
          <w:sz w:val="24"/>
          <w:szCs w:val="24"/>
        </w:rPr>
        <w:t xml:space="preserve">, </w:t>
      </w:r>
      <w:r w:rsidR="00B92AA2" w:rsidRPr="00894C3E">
        <w:rPr>
          <w:rFonts w:ascii="Arial" w:hAnsi="Arial" w:cs="Arial"/>
          <w:sz w:val="24"/>
          <w:szCs w:val="24"/>
        </w:rPr>
        <w:t xml:space="preserve">LADO advice and expertise </w:t>
      </w:r>
      <w:r w:rsidRPr="00894C3E">
        <w:rPr>
          <w:rFonts w:ascii="Arial" w:hAnsi="Arial" w:cs="Arial"/>
          <w:sz w:val="24"/>
          <w:szCs w:val="24"/>
        </w:rPr>
        <w:t xml:space="preserve">should be sought </w:t>
      </w:r>
      <w:r w:rsidR="00B92AA2" w:rsidRPr="00894C3E">
        <w:rPr>
          <w:rFonts w:ascii="Arial" w:hAnsi="Arial" w:cs="Arial"/>
          <w:sz w:val="24"/>
          <w:szCs w:val="24"/>
        </w:rPr>
        <w:t xml:space="preserve">but the matter </w:t>
      </w:r>
      <w:r w:rsidRPr="00894C3E">
        <w:rPr>
          <w:rFonts w:ascii="Arial" w:hAnsi="Arial" w:cs="Arial"/>
          <w:sz w:val="24"/>
          <w:szCs w:val="24"/>
        </w:rPr>
        <w:t>will not be dealt with under these procedures.</w:t>
      </w:r>
    </w:p>
    <w:p w14:paraId="350C4C3D" w14:textId="77777777" w:rsidR="00894C3E" w:rsidRPr="00894C3E" w:rsidRDefault="00894C3E" w:rsidP="00894C3E">
      <w:pPr>
        <w:spacing w:after="0"/>
        <w:jc w:val="both"/>
        <w:rPr>
          <w:rFonts w:ascii="Arial" w:hAnsi="Arial" w:cs="Arial"/>
          <w:sz w:val="24"/>
          <w:szCs w:val="24"/>
        </w:rPr>
      </w:pPr>
    </w:p>
    <w:p w14:paraId="3D6FF3FD" w14:textId="48E44C1B" w:rsidR="0088117D" w:rsidRPr="00894C3E" w:rsidRDefault="0088117D" w:rsidP="00894C3E">
      <w:pPr>
        <w:pStyle w:val="Heading1"/>
        <w:numPr>
          <w:ilvl w:val="0"/>
          <w:numId w:val="13"/>
        </w:numPr>
        <w:spacing w:before="0"/>
        <w:ind w:left="567" w:hanging="567"/>
        <w:rPr>
          <w:b/>
          <w:bCs/>
        </w:rPr>
      </w:pPr>
      <w:bookmarkStart w:id="6" w:name="_Toc53048221"/>
      <w:r w:rsidRPr="00894C3E">
        <w:rPr>
          <w:b/>
          <w:bCs/>
        </w:rPr>
        <w:t>Confidentiality</w:t>
      </w:r>
      <w:bookmarkEnd w:id="6"/>
    </w:p>
    <w:p w14:paraId="1655AE27" w14:textId="77777777" w:rsidR="00894C3E" w:rsidRDefault="00894C3E" w:rsidP="00894C3E">
      <w:pPr>
        <w:spacing w:after="0"/>
        <w:jc w:val="both"/>
        <w:rPr>
          <w:rFonts w:ascii="Arial" w:hAnsi="Arial" w:cs="Arial"/>
          <w:sz w:val="24"/>
          <w:szCs w:val="24"/>
        </w:rPr>
      </w:pPr>
    </w:p>
    <w:p w14:paraId="0AF00E33" w14:textId="31B326E2" w:rsidR="0088117D" w:rsidRDefault="0088117D" w:rsidP="00894C3E">
      <w:pPr>
        <w:spacing w:after="0"/>
        <w:jc w:val="both"/>
        <w:rPr>
          <w:rFonts w:ascii="Arial" w:hAnsi="Arial" w:cs="Arial"/>
          <w:sz w:val="24"/>
          <w:szCs w:val="24"/>
        </w:rPr>
      </w:pPr>
      <w:r w:rsidRPr="00894C3E">
        <w:rPr>
          <w:rFonts w:ascii="Arial" w:hAnsi="Arial" w:cs="Arial"/>
          <w:sz w:val="24"/>
          <w:szCs w:val="24"/>
        </w:rPr>
        <w:t>Information can be shared under the Allegations Management procedures that cannot be shared under other procedures. This includes safeguarding information held by Children’s Services and employment information held by the employer. This is highly sensitive information. The LADOs take responsibility for recording the meetings and case notes in respect of allegations and can advise about what records can be shared and where they can be stored. They should not automatically be stored on the child’s records on MOSAIC.</w:t>
      </w:r>
    </w:p>
    <w:p w14:paraId="40E78AA9" w14:textId="77777777" w:rsidR="00894C3E" w:rsidRPr="00894C3E" w:rsidRDefault="00894C3E" w:rsidP="00894C3E">
      <w:pPr>
        <w:spacing w:after="0"/>
        <w:jc w:val="both"/>
        <w:rPr>
          <w:rFonts w:ascii="Arial" w:hAnsi="Arial" w:cs="Arial"/>
          <w:sz w:val="24"/>
          <w:szCs w:val="24"/>
        </w:rPr>
      </w:pPr>
    </w:p>
    <w:p w14:paraId="365D7379" w14:textId="104837C6" w:rsidR="00B92AA2" w:rsidRDefault="0088117D" w:rsidP="00894C3E">
      <w:pPr>
        <w:spacing w:after="0"/>
        <w:jc w:val="both"/>
        <w:rPr>
          <w:rFonts w:ascii="Arial" w:hAnsi="Arial" w:cs="Arial"/>
          <w:sz w:val="24"/>
          <w:szCs w:val="24"/>
        </w:rPr>
      </w:pPr>
      <w:r w:rsidRPr="00894C3E">
        <w:rPr>
          <w:rFonts w:ascii="Arial" w:hAnsi="Arial" w:cs="Arial"/>
          <w:sz w:val="24"/>
          <w:szCs w:val="24"/>
        </w:rPr>
        <w:t xml:space="preserve">The LADO has a confidential database of allegations and all communications are via secure email. </w:t>
      </w:r>
    </w:p>
    <w:p w14:paraId="3D9068F1" w14:textId="77777777" w:rsidR="00894C3E" w:rsidRDefault="00894C3E" w:rsidP="00894C3E">
      <w:pPr>
        <w:spacing w:after="0"/>
        <w:jc w:val="both"/>
        <w:rPr>
          <w:rFonts w:ascii="Arial" w:hAnsi="Arial" w:cs="Arial"/>
          <w:sz w:val="24"/>
          <w:szCs w:val="24"/>
        </w:rPr>
      </w:pPr>
    </w:p>
    <w:p w14:paraId="3A23C498" w14:textId="00A2B336" w:rsidR="009D457F" w:rsidRPr="00894C3E" w:rsidRDefault="009D457F" w:rsidP="00894C3E">
      <w:pPr>
        <w:pStyle w:val="Heading1"/>
        <w:numPr>
          <w:ilvl w:val="0"/>
          <w:numId w:val="13"/>
        </w:numPr>
        <w:spacing w:before="0"/>
        <w:ind w:left="567" w:hanging="567"/>
        <w:rPr>
          <w:b/>
          <w:bCs/>
        </w:rPr>
      </w:pPr>
      <w:bookmarkStart w:id="7" w:name="_Toc53048222"/>
      <w:r w:rsidRPr="00894C3E">
        <w:rPr>
          <w:b/>
          <w:bCs/>
        </w:rPr>
        <w:t>Involvement of social workers in complex cases</w:t>
      </w:r>
      <w:bookmarkEnd w:id="7"/>
    </w:p>
    <w:p w14:paraId="3E712B31" w14:textId="77777777" w:rsidR="00894C3E" w:rsidRDefault="00894C3E" w:rsidP="00894C3E">
      <w:pPr>
        <w:spacing w:after="0"/>
        <w:jc w:val="both"/>
        <w:rPr>
          <w:rFonts w:ascii="Arial" w:hAnsi="Arial" w:cs="Arial"/>
          <w:sz w:val="24"/>
          <w:szCs w:val="24"/>
        </w:rPr>
      </w:pPr>
    </w:p>
    <w:p w14:paraId="0939DAAE" w14:textId="0AFA1348" w:rsidR="00DE224D" w:rsidRDefault="00DE224D" w:rsidP="00894C3E">
      <w:pPr>
        <w:spacing w:after="0"/>
        <w:jc w:val="both"/>
        <w:rPr>
          <w:rFonts w:ascii="Arial" w:hAnsi="Arial" w:cs="Arial"/>
          <w:sz w:val="24"/>
          <w:szCs w:val="24"/>
        </w:rPr>
      </w:pPr>
      <w:r w:rsidRPr="00894C3E">
        <w:rPr>
          <w:rFonts w:ascii="Arial" w:hAnsi="Arial" w:cs="Arial"/>
          <w:sz w:val="24"/>
          <w:szCs w:val="24"/>
        </w:rPr>
        <w:t xml:space="preserve">The </w:t>
      </w:r>
      <w:r w:rsidR="004D1B90" w:rsidRPr="00894C3E">
        <w:rPr>
          <w:rFonts w:ascii="Arial" w:hAnsi="Arial" w:cs="Arial"/>
          <w:sz w:val="24"/>
          <w:szCs w:val="24"/>
        </w:rPr>
        <w:t xml:space="preserve">LADOs </w:t>
      </w:r>
      <w:r w:rsidRPr="00894C3E">
        <w:rPr>
          <w:rFonts w:ascii="Arial" w:hAnsi="Arial" w:cs="Arial"/>
          <w:sz w:val="24"/>
          <w:szCs w:val="24"/>
        </w:rPr>
        <w:t xml:space="preserve">may occasionally request social work involvement in complex cases where </w:t>
      </w:r>
      <w:r w:rsidR="009D457F" w:rsidRPr="00894C3E">
        <w:rPr>
          <w:rFonts w:ascii="Arial" w:hAnsi="Arial" w:cs="Arial"/>
          <w:sz w:val="24"/>
          <w:szCs w:val="24"/>
        </w:rPr>
        <w:t>the child is not previously known but may have been harmed (rather tha</w:t>
      </w:r>
      <w:r w:rsidR="008E36C0" w:rsidRPr="00894C3E">
        <w:rPr>
          <w:rFonts w:ascii="Arial" w:hAnsi="Arial" w:cs="Arial"/>
          <w:sz w:val="24"/>
          <w:szCs w:val="24"/>
        </w:rPr>
        <w:t>n</w:t>
      </w:r>
      <w:r w:rsidR="009D457F" w:rsidRPr="00894C3E">
        <w:rPr>
          <w:rFonts w:ascii="Arial" w:hAnsi="Arial" w:cs="Arial"/>
          <w:sz w:val="24"/>
          <w:szCs w:val="24"/>
        </w:rPr>
        <w:t xml:space="preserve"> significantly harmed)</w:t>
      </w:r>
      <w:r w:rsidR="008E36C0" w:rsidRPr="00894C3E">
        <w:rPr>
          <w:rFonts w:ascii="Arial" w:hAnsi="Arial" w:cs="Arial"/>
          <w:sz w:val="24"/>
          <w:szCs w:val="24"/>
        </w:rPr>
        <w:t xml:space="preserve"> </w:t>
      </w:r>
      <w:r w:rsidR="009D457F" w:rsidRPr="00894C3E">
        <w:rPr>
          <w:rFonts w:ascii="Arial" w:hAnsi="Arial" w:cs="Arial"/>
          <w:sz w:val="24"/>
          <w:szCs w:val="24"/>
        </w:rPr>
        <w:t>through the actions of the accused individual</w:t>
      </w:r>
      <w:r w:rsidRPr="00894C3E">
        <w:rPr>
          <w:rFonts w:ascii="Arial" w:hAnsi="Arial" w:cs="Arial"/>
          <w:sz w:val="24"/>
          <w:szCs w:val="24"/>
        </w:rPr>
        <w:t xml:space="preserve">. </w:t>
      </w:r>
      <w:r w:rsidR="008E36C0" w:rsidRPr="00894C3E">
        <w:rPr>
          <w:rFonts w:ascii="Arial" w:hAnsi="Arial" w:cs="Arial"/>
          <w:sz w:val="24"/>
          <w:szCs w:val="24"/>
        </w:rPr>
        <w:t>S</w:t>
      </w:r>
      <w:r w:rsidRPr="00894C3E">
        <w:rPr>
          <w:rFonts w:ascii="Arial" w:hAnsi="Arial" w:cs="Arial"/>
          <w:sz w:val="24"/>
          <w:szCs w:val="24"/>
        </w:rPr>
        <w:t xml:space="preserve">ocial work expertise </w:t>
      </w:r>
      <w:r w:rsidR="008E36C0" w:rsidRPr="00894C3E">
        <w:rPr>
          <w:rFonts w:ascii="Arial" w:hAnsi="Arial" w:cs="Arial"/>
          <w:sz w:val="24"/>
          <w:szCs w:val="24"/>
        </w:rPr>
        <w:t xml:space="preserve">is </w:t>
      </w:r>
      <w:r w:rsidRPr="00894C3E">
        <w:rPr>
          <w:rFonts w:ascii="Arial" w:hAnsi="Arial" w:cs="Arial"/>
          <w:sz w:val="24"/>
          <w:szCs w:val="24"/>
        </w:rPr>
        <w:t>invaluable whe</w:t>
      </w:r>
      <w:r w:rsidR="008E36C0" w:rsidRPr="00894C3E">
        <w:rPr>
          <w:rFonts w:ascii="Arial" w:hAnsi="Arial" w:cs="Arial"/>
          <w:sz w:val="24"/>
          <w:szCs w:val="24"/>
        </w:rPr>
        <w:t>n</w:t>
      </w:r>
      <w:r w:rsidRPr="00894C3E">
        <w:rPr>
          <w:rFonts w:ascii="Arial" w:hAnsi="Arial" w:cs="Arial"/>
          <w:sz w:val="24"/>
          <w:szCs w:val="24"/>
        </w:rPr>
        <w:t xml:space="preserve"> children need particularly sensitive interviewing or where there is a potentially dangerous or complex</w:t>
      </w:r>
      <w:r w:rsidR="008E36C0" w:rsidRPr="00894C3E">
        <w:rPr>
          <w:rFonts w:ascii="Arial" w:hAnsi="Arial" w:cs="Arial"/>
          <w:sz w:val="24"/>
          <w:szCs w:val="24"/>
        </w:rPr>
        <w:t xml:space="preserve"> accused adult</w:t>
      </w:r>
      <w:r w:rsidRPr="00894C3E">
        <w:rPr>
          <w:rFonts w:ascii="Arial" w:hAnsi="Arial" w:cs="Arial"/>
          <w:sz w:val="24"/>
          <w:szCs w:val="24"/>
        </w:rPr>
        <w:t xml:space="preserve">. The social work assessment can subsequently </w:t>
      </w:r>
      <w:r w:rsidR="008E36C0" w:rsidRPr="00894C3E">
        <w:rPr>
          <w:rFonts w:ascii="Arial" w:hAnsi="Arial" w:cs="Arial"/>
          <w:sz w:val="24"/>
          <w:szCs w:val="24"/>
        </w:rPr>
        <w:t xml:space="preserve">inform future actions. </w:t>
      </w:r>
      <w:r w:rsidR="004D1B90" w:rsidRPr="00894C3E">
        <w:rPr>
          <w:rFonts w:ascii="Arial" w:hAnsi="Arial" w:cs="Arial"/>
          <w:sz w:val="24"/>
          <w:szCs w:val="24"/>
        </w:rPr>
        <w:t xml:space="preserve">When </w:t>
      </w:r>
      <w:r w:rsidR="008E36C0" w:rsidRPr="00894C3E">
        <w:rPr>
          <w:rFonts w:ascii="Arial" w:hAnsi="Arial" w:cs="Arial"/>
          <w:sz w:val="24"/>
          <w:szCs w:val="24"/>
        </w:rPr>
        <w:t xml:space="preserve">a </w:t>
      </w:r>
      <w:r w:rsidR="004D1B90" w:rsidRPr="00894C3E">
        <w:rPr>
          <w:rFonts w:ascii="Arial" w:hAnsi="Arial" w:cs="Arial"/>
          <w:sz w:val="24"/>
          <w:szCs w:val="24"/>
        </w:rPr>
        <w:t>LADO believe</w:t>
      </w:r>
      <w:r w:rsidR="008E36C0" w:rsidRPr="00894C3E">
        <w:rPr>
          <w:rFonts w:ascii="Arial" w:hAnsi="Arial" w:cs="Arial"/>
          <w:sz w:val="24"/>
          <w:szCs w:val="24"/>
        </w:rPr>
        <w:t xml:space="preserve">s </w:t>
      </w:r>
      <w:r w:rsidR="007200D5" w:rsidRPr="00894C3E">
        <w:rPr>
          <w:rFonts w:ascii="Arial" w:hAnsi="Arial" w:cs="Arial"/>
          <w:sz w:val="24"/>
          <w:szCs w:val="24"/>
        </w:rPr>
        <w:t xml:space="preserve">this is essential, </w:t>
      </w:r>
      <w:r w:rsidR="004D1B90" w:rsidRPr="00894C3E">
        <w:rPr>
          <w:rFonts w:ascii="Arial" w:hAnsi="Arial" w:cs="Arial"/>
          <w:sz w:val="24"/>
          <w:szCs w:val="24"/>
        </w:rPr>
        <w:t>they will contact a Manager in the First Response Hub</w:t>
      </w:r>
      <w:r w:rsidR="008E36C0" w:rsidRPr="00894C3E">
        <w:rPr>
          <w:rFonts w:ascii="Arial" w:hAnsi="Arial" w:cs="Arial"/>
          <w:sz w:val="24"/>
          <w:szCs w:val="24"/>
        </w:rPr>
        <w:t xml:space="preserve"> for discussion.</w:t>
      </w:r>
    </w:p>
    <w:p w14:paraId="36C27125" w14:textId="77777777" w:rsidR="00261D45" w:rsidRPr="00894C3E" w:rsidRDefault="00261D45" w:rsidP="00894C3E">
      <w:pPr>
        <w:spacing w:after="0"/>
        <w:jc w:val="both"/>
        <w:rPr>
          <w:rFonts w:ascii="Arial" w:hAnsi="Arial" w:cs="Arial"/>
          <w:sz w:val="24"/>
          <w:szCs w:val="24"/>
        </w:rPr>
      </w:pPr>
    </w:p>
    <w:p w14:paraId="0B87086D" w14:textId="5C603066" w:rsidR="0088117D" w:rsidRDefault="00DE224D" w:rsidP="00261D45">
      <w:pPr>
        <w:spacing w:after="0"/>
        <w:jc w:val="both"/>
        <w:rPr>
          <w:rFonts w:ascii="Arial" w:hAnsi="Arial" w:cs="Arial"/>
          <w:sz w:val="24"/>
          <w:szCs w:val="24"/>
        </w:rPr>
      </w:pPr>
      <w:r w:rsidRPr="00894C3E">
        <w:rPr>
          <w:rFonts w:ascii="Arial" w:hAnsi="Arial" w:cs="Arial"/>
          <w:sz w:val="24"/>
          <w:szCs w:val="24"/>
        </w:rPr>
        <w:t xml:space="preserve">There </w:t>
      </w:r>
      <w:r w:rsidR="007200D5" w:rsidRPr="00894C3E">
        <w:rPr>
          <w:rFonts w:ascii="Arial" w:hAnsi="Arial" w:cs="Arial"/>
          <w:sz w:val="24"/>
          <w:szCs w:val="24"/>
        </w:rPr>
        <w:t xml:space="preserve">are situations </w:t>
      </w:r>
      <w:r w:rsidRPr="00894C3E">
        <w:rPr>
          <w:rFonts w:ascii="Arial" w:hAnsi="Arial" w:cs="Arial"/>
          <w:sz w:val="24"/>
          <w:szCs w:val="24"/>
        </w:rPr>
        <w:t xml:space="preserve">when the </w:t>
      </w:r>
      <w:r w:rsidR="007200D5" w:rsidRPr="00894C3E">
        <w:rPr>
          <w:rFonts w:ascii="Arial" w:hAnsi="Arial" w:cs="Arial"/>
          <w:sz w:val="24"/>
          <w:szCs w:val="24"/>
        </w:rPr>
        <w:t xml:space="preserve">harm caused to </w:t>
      </w:r>
      <w:r w:rsidRPr="00894C3E">
        <w:rPr>
          <w:rFonts w:ascii="Arial" w:hAnsi="Arial" w:cs="Arial"/>
          <w:sz w:val="24"/>
          <w:szCs w:val="24"/>
        </w:rPr>
        <w:t>the child mean</w:t>
      </w:r>
      <w:r w:rsidR="007200D5" w:rsidRPr="00894C3E">
        <w:rPr>
          <w:rFonts w:ascii="Arial" w:hAnsi="Arial" w:cs="Arial"/>
          <w:sz w:val="24"/>
          <w:szCs w:val="24"/>
        </w:rPr>
        <w:t>s</w:t>
      </w:r>
      <w:r w:rsidRPr="00894C3E">
        <w:rPr>
          <w:rFonts w:ascii="Arial" w:hAnsi="Arial" w:cs="Arial"/>
          <w:sz w:val="24"/>
          <w:szCs w:val="24"/>
        </w:rPr>
        <w:t xml:space="preserve"> that they become </w:t>
      </w:r>
      <w:r w:rsidR="004D1B90" w:rsidRPr="00894C3E">
        <w:rPr>
          <w:rFonts w:ascii="Arial" w:hAnsi="Arial" w:cs="Arial"/>
          <w:sz w:val="24"/>
          <w:szCs w:val="24"/>
        </w:rPr>
        <w:t>a Child in</w:t>
      </w:r>
      <w:r w:rsidRPr="00894C3E">
        <w:rPr>
          <w:rFonts w:ascii="Arial" w:hAnsi="Arial" w:cs="Arial"/>
          <w:sz w:val="24"/>
          <w:szCs w:val="24"/>
        </w:rPr>
        <w:t xml:space="preserve"> </w:t>
      </w:r>
      <w:r w:rsidR="004D1B90" w:rsidRPr="00894C3E">
        <w:rPr>
          <w:rFonts w:ascii="Arial" w:hAnsi="Arial" w:cs="Arial"/>
          <w:sz w:val="24"/>
          <w:szCs w:val="24"/>
        </w:rPr>
        <w:t>N</w:t>
      </w:r>
      <w:r w:rsidRPr="00894C3E">
        <w:rPr>
          <w:rFonts w:ascii="Arial" w:hAnsi="Arial" w:cs="Arial"/>
          <w:sz w:val="24"/>
          <w:szCs w:val="24"/>
        </w:rPr>
        <w:t>eed</w:t>
      </w:r>
      <w:r w:rsidR="007200D5" w:rsidRPr="00894C3E">
        <w:rPr>
          <w:rFonts w:ascii="Arial" w:hAnsi="Arial" w:cs="Arial"/>
          <w:sz w:val="24"/>
          <w:szCs w:val="24"/>
        </w:rPr>
        <w:t>. T</w:t>
      </w:r>
      <w:r w:rsidRPr="00894C3E">
        <w:rPr>
          <w:rFonts w:ascii="Arial" w:hAnsi="Arial" w:cs="Arial"/>
          <w:sz w:val="24"/>
          <w:szCs w:val="24"/>
        </w:rPr>
        <w:t>hey should receive a prompt assessment and intervention.</w:t>
      </w:r>
      <w:r w:rsidR="004D1B90" w:rsidRPr="00894C3E">
        <w:rPr>
          <w:rFonts w:ascii="Arial" w:hAnsi="Arial" w:cs="Arial"/>
          <w:sz w:val="24"/>
          <w:szCs w:val="24"/>
        </w:rPr>
        <w:t xml:space="preserve"> </w:t>
      </w:r>
      <w:r w:rsidR="007200D5" w:rsidRPr="00894C3E">
        <w:rPr>
          <w:rFonts w:ascii="Arial" w:hAnsi="Arial" w:cs="Arial"/>
          <w:sz w:val="24"/>
          <w:szCs w:val="24"/>
        </w:rPr>
        <w:t>When</w:t>
      </w:r>
      <w:r w:rsidR="004D1B90" w:rsidRPr="00894C3E">
        <w:rPr>
          <w:rFonts w:ascii="Arial" w:hAnsi="Arial" w:cs="Arial"/>
          <w:sz w:val="24"/>
          <w:szCs w:val="24"/>
        </w:rPr>
        <w:t xml:space="preserve"> this is indicated the LADO will ensure that the referral is made into the First Response </w:t>
      </w:r>
      <w:r w:rsidR="007200D5" w:rsidRPr="00894C3E">
        <w:rPr>
          <w:rFonts w:ascii="Arial" w:hAnsi="Arial" w:cs="Arial"/>
          <w:sz w:val="24"/>
          <w:szCs w:val="24"/>
        </w:rPr>
        <w:t>H</w:t>
      </w:r>
      <w:r w:rsidR="004D1B90" w:rsidRPr="00894C3E">
        <w:rPr>
          <w:rFonts w:ascii="Arial" w:hAnsi="Arial" w:cs="Arial"/>
          <w:sz w:val="24"/>
          <w:szCs w:val="24"/>
        </w:rPr>
        <w:t>ub in the usual way.</w:t>
      </w:r>
    </w:p>
    <w:p w14:paraId="712DAA32" w14:textId="77777777" w:rsidR="00261D45" w:rsidRDefault="00261D45" w:rsidP="00261D45">
      <w:pPr>
        <w:spacing w:after="0"/>
        <w:jc w:val="both"/>
        <w:rPr>
          <w:rFonts w:ascii="Arial" w:hAnsi="Arial" w:cs="Arial"/>
          <w:sz w:val="24"/>
          <w:szCs w:val="24"/>
        </w:rPr>
      </w:pPr>
    </w:p>
    <w:p w14:paraId="565AEE73" w14:textId="22CEF235" w:rsidR="00866FFF" w:rsidRPr="00261D45" w:rsidRDefault="00866FFF" w:rsidP="00261D45">
      <w:pPr>
        <w:pStyle w:val="Heading1"/>
        <w:numPr>
          <w:ilvl w:val="0"/>
          <w:numId w:val="13"/>
        </w:numPr>
        <w:spacing w:before="0"/>
        <w:ind w:left="567" w:hanging="567"/>
        <w:rPr>
          <w:b/>
          <w:bCs/>
        </w:rPr>
      </w:pPr>
      <w:bookmarkStart w:id="8" w:name="_Toc53048223"/>
      <w:r w:rsidRPr="00261D45">
        <w:rPr>
          <w:b/>
          <w:bCs/>
        </w:rPr>
        <w:t xml:space="preserve">Allegations against </w:t>
      </w:r>
      <w:r w:rsidR="001F26FB" w:rsidRPr="00261D45">
        <w:rPr>
          <w:b/>
          <w:bCs/>
        </w:rPr>
        <w:t>f</w:t>
      </w:r>
      <w:r w:rsidRPr="00261D45">
        <w:rPr>
          <w:b/>
          <w:bCs/>
        </w:rPr>
        <w:t xml:space="preserve">oster </w:t>
      </w:r>
      <w:r w:rsidR="001F26FB" w:rsidRPr="00261D45">
        <w:rPr>
          <w:b/>
          <w:bCs/>
        </w:rPr>
        <w:t>c</w:t>
      </w:r>
      <w:r w:rsidRPr="00261D45">
        <w:rPr>
          <w:b/>
          <w:bCs/>
        </w:rPr>
        <w:t>arers</w:t>
      </w:r>
      <w:bookmarkEnd w:id="8"/>
    </w:p>
    <w:p w14:paraId="1DBC0838" w14:textId="77777777" w:rsidR="00261D45" w:rsidRDefault="00261D45" w:rsidP="00261D45">
      <w:pPr>
        <w:spacing w:after="0"/>
        <w:jc w:val="both"/>
        <w:rPr>
          <w:rFonts w:ascii="Arial" w:hAnsi="Arial" w:cs="Arial"/>
          <w:iCs/>
          <w:sz w:val="24"/>
          <w:szCs w:val="24"/>
        </w:rPr>
      </w:pPr>
    </w:p>
    <w:p w14:paraId="389E4C5F" w14:textId="77777777" w:rsidR="00261D45" w:rsidRDefault="00095829" w:rsidP="00261D45">
      <w:pPr>
        <w:spacing w:after="0"/>
        <w:jc w:val="both"/>
        <w:rPr>
          <w:rFonts w:ascii="Arial" w:hAnsi="Arial" w:cs="Arial"/>
          <w:i/>
          <w:sz w:val="24"/>
          <w:szCs w:val="24"/>
        </w:rPr>
      </w:pPr>
      <w:r w:rsidRPr="00894C3E">
        <w:rPr>
          <w:rFonts w:ascii="Arial" w:hAnsi="Arial" w:cs="Arial"/>
          <w:iCs/>
          <w:sz w:val="24"/>
          <w:szCs w:val="24"/>
        </w:rPr>
        <w:t xml:space="preserve">BCP recognise that foster carers work in challenging </w:t>
      </w:r>
      <w:r w:rsidR="007045FE" w:rsidRPr="00894C3E">
        <w:rPr>
          <w:rFonts w:ascii="Arial" w:hAnsi="Arial" w:cs="Arial"/>
          <w:iCs/>
          <w:sz w:val="24"/>
          <w:szCs w:val="24"/>
        </w:rPr>
        <w:t>circumstances</w:t>
      </w:r>
      <w:r w:rsidRPr="00894C3E">
        <w:rPr>
          <w:rFonts w:ascii="Arial" w:hAnsi="Arial" w:cs="Arial"/>
          <w:iCs/>
          <w:sz w:val="24"/>
          <w:szCs w:val="24"/>
        </w:rPr>
        <w:t xml:space="preserve"> on behalf of the </w:t>
      </w:r>
      <w:r w:rsidR="007045FE" w:rsidRPr="00894C3E">
        <w:rPr>
          <w:rFonts w:ascii="Arial" w:hAnsi="Arial" w:cs="Arial"/>
          <w:iCs/>
          <w:sz w:val="24"/>
          <w:szCs w:val="24"/>
        </w:rPr>
        <w:t xml:space="preserve">local </w:t>
      </w:r>
      <w:r w:rsidRPr="00894C3E">
        <w:rPr>
          <w:rFonts w:ascii="Arial" w:hAnsi="Arial" w:cs="Arial"/>
          <w:iCs/>
          <w:sz w:val="24"/>
          <w:szCs w:val="24"/>
        </w:rPr>
        <w:t>authorit</w:t>
      </w:r>
      <w:r w:rsidR="007045FE" w:rsidRPr="00894C3E">
        <w:rPr>
          <w:rFonts w:ascii="Arial" w:hAnsi="Arial" w:cs="Arial"/>
          <w:iCs/>
          <w:sz w:val="24"/>
          <w:szCs w:val="24"/>
        </w:rPr>
        <w:t>ies</w:t>
      </w:r>
      <w:r w:rsidRPr="00894C3E">
        <w:rPr>
          <w:rFonts w:ascii="Arial" w:hAnsi="Arial" w:cs="Arial"/>
          <w:iCs/>
          <w:sz w:val="24"/>
          <w:szCs w:val="24"/>
        </w:rPr>
        <w:t xml:space="preserve"> and </w:t>
      </w:r>
      <w:r w:rsidR="007045FE" w:rsidRPr="00894C3E">
        <w:rPr>
          <w:rFonts w:ascii="Arial" w:hAnsi="Arial" w:cs="Arial"/>
          <w:iCs/>
          <w:sz w:val="24"/>
          <w:szCs w:val="24"/>
        </w:rPr>
        <w:t>there</w:t>
      </w:r>
      <w:r w:rsidRPr="00894C3E">
        <w:rPr>
          <w:rFonts w:ascii="Arial" w:hAnsi="Arial" w:cs="Arial"/>
          <w:iCs/>
          <w:sz w:val="24"/>
          <w:szCs w:val="24"/>
        </w:rPr>
        <w:t xml:space="preserve"> are </w:t>
      </w:r>
      <w:r w:rsidR="007045FE" w:rsidRPr="00894C3E">
        <w:rPr>
          <w:rFonts w:ascii="Arial" w:hAnsi="Arial" w:cs="Arial"/>
          <w:iCs/>
          <w:sz w:val="24"/>
          <w:szCs w:val="24"/>
        </w:rPr>
        <w:t>detailed</w:t>
      </w:r>
      <w:r w:rsidRPr="00894C3E">
        <w:rPr>
          <w:rFonts w:ascii="Arial" w:hAnsi="Arial" w:cs="Arial"/>
          <w:iCs/>
          <w:sz w:val="24"/>
          <w:szCs w:val="24"/>
        </w:rPr>
        <w:t xml:space="preserve"> </w:t>
      </w:r>
      <w:r w:rsidR="007045FE" w:rsidRPr="00894C3E">
        <w:rPr>
          <w:rFonts w:ascii="Arial" w:hAnsi="Arial" w:cs="Arial"/>
          <w:iCs/>
          <w:sz w:val="24"/>
          <w:szCs w:val="24"/>
        </w:rPr>
        <w:t xml:space="preserve">procedures regarding allegations against this group. See </w:t>
      </w:r>
      <w:r w:rsidR="007045FE" w:rsidRPr="00894C3E">
        <w:rPr>
          <w:rFonts w:ascii="Arial" w:hAnsi="Arial" w:cs="Arial"/>
          <w:i/>
          <w:sz w:val="24"/>
          <w:szCs w:val="24"/>
        </w:rPr>
        <w:t>the</w:t>
      </w:r>
      <w:r w:rsidR="006F35B0" w:rsidRPr="00894C3E">
        <w:rPr>
          <w:rFonts w:ascii="Arial" w:hAnsi="Arial" w:cs="Arial"/>
          <w:i/>
          <w:sz w:val="24"/>
          <w:szCs w:val="24"/>
        </w:rPr>
        <w:t xml:space="preserve"> Allegations/Serious concerns arising about the carers of children in care.</w:t>
      </w:r>
    </w:p>
    <w:p w14:paraId="797A9C19" w14:textId="519412B3" w:rsidR="00CF41FB" w:rsidRPr="00FD3C5E" w:rsidRDefault="006D7FEE" w:rsidP="00261D45">
      <w:pPr>
        <w:spacing w:after="0"/>
        <w:jc w:val="both"/>
        <w:rPr>
          <w:rFonts w:ascii="Arial" w:hAnsi="Arial" w:cs="Arial"/>
          <w:iCs/>
          <w:sz w:val="24"/>
          <w:szCs w:val="24"/>
        </w:rPr>
      </w:pPr>
      <w:r w:rsidRPr="00FD3C5E">
        <w:rPr>
          <w:rFonts w:ascii="Arial" w:hAnsi="Arial" w:cs="Arial"/>
          <w:iCs/>
          <w:sz w:val="24"/>
          <w:szCs w:val="24"/>
        </w:rPr>
        <w:t xml:space="preserve"> </w:t>
      </w:r>
    </w:p>
    <w:p w14:paraId="6FC3619E" w14:textId="10F73D50" w:rsidR="00866FFF" w:rsidRPr="00261D45" w:rsidRDefault="00AC7C4B" w:rsidP="00FD3C5E">
      <w:pPr>
        <w:pStyle w:val="Heading1"/>
        <w:numPr>
          <w:ilvl w:val="0"/>
          <w:numId w:val="13"/>
        </w:numPr>
        <w:spacing w:before="0"/>
        <w:ind w:left="567" w:hanging="567"/>
        <w:rPr>
          <w:b/>
          <w:bCs/>
        </w:rPr>
      </w:pPr>
      <w:bookmarkStart w:id="9" w:name="_Toc53048224"/>
      <w:r w:rsidRPr="00261D45">
        <w:rPr>
          <w:b/>
          <w:bCs/>
        </w:rPr>
        <w:t xml:space="preserve">Referrals to </w:t>
      </w:r>
      <w:r w:rsidR="00313B2C" w:rsidRPr="00261D45">
        <w:rPr>
          <w:b/>
          <w:bCs/>
        </w:rPr>
        <w:t>A</w:t>
      </w:r>
      <w:r w:rsidR="00866FFF" w:rsidRPr="00261D45">
        <w:rPr>
          <w:b/>
          <w:bCs/>
        </w:rPr>
        <w:t xml:space="preserve">dult </w:t>
      </w:r>
      <w:r w:rsidR="00CF41FB" w:rsidRPr="00261D45">
        <w:rPr>
          <w:b/>
          <w:bCs/>
        </w:rPr>
        <w:t>S</w:t>
      </w:r>
      <w:r w:rsidR="00866FFF" w:rsidRPr="00261D45">
        <w:rPr>
          <w:b/>
          <w:bCs/>
        </w:rPr>
        <w:t>afeguarding</w:t>
      </w:r>
      <w:bookmarkEnd w:id="9"/>
    </w:p>
    <w:p w14:paraId="6E266A5D" w14:textId="77777777" w:rsidR="00261D45" w:rsidRDefault="00261D45" w:rsidP="00261D45">
      <w:pPr>
        <w:spacing w:after="0"/>
        <w:jc w:val="both"/>
        <w:rPr>
          <w:rFonts w:ascii="Arial" w:hAnsi="Arial" w:cs="Arial"/>
          <w:sz w:val="24"/>
          <w:szCs w:val="24"/>
        </w:rPr>
      </w:pPr>
    </w:p>
    <w:p w14:paraId="3584D206" w14:textId="14B490DF" w:rsidR="00866FFF" w:rsidRPr="00894C3E" w:rsidRDefault="00BB1DE6" w:rsidP="00261D45">
      <w:pPr>
        <w:spacing w:after="0"/>
        <w:jc w:val="both"/>
        <w:rPr>
          <w:rFonts w:ascii="Arial" w:hAnsi="Arial" w:cs="Arial"/>
          <w:sz w:val="24"/>
          <w:szCs w:val="24"/>
        </w:rPr>
      </w:pPr>
      <w:r w:rsidRPr="00894C3E">
        <w:rPr>
          <w:rFonts w:ascii="Arial" w:hAnsi="Arial" w:cs="Arial"/>
          <w:sz w:val="24"/>
          <w:szCs w:val="24"/>
        </w:rPr>
        <w:t xml:space="preserve">There are times when an </w:t>
      </w:r>
      <w:r w:rsidR="00313B2C" w:rsidRPr="00894C3E">
        <w:rPr>
          <w:rFonts w:ascii="Arial" w:hAnsi="Arial" w:cs="Arial"/>
          <w:sz w:val="24"/>
          <w:szCs w:val="24"/>
        </w:rPr>
        <w:t xml:space="preserve">accused adult </w:t>
      </w:r>
      <w:r w:rsidRPr="00894C3E">
        <w:rPr>
          <w:rFonts w:ascii="Arial" w:hAnsi="Arial" w:cs="Arial"/>
          <w:sz w:val="24"/>
          <w:szCs w:val="24"/>
        </w:rPr>
        <w:t>has a job</w:t>
      </w:r>
      <w:r w:rsidR="007045FE" w:rsidRPr="00894C3E">
        <w:rPr>
          <w:rFonts w:ascii="Arial" w:hAnsi="Arial" w:cs="Arial"/>
          <w:sz w:val="24"/>
          <w:szCs w:val="24"/>
        </w:rPr>
        <w:t xml:space="preserve"> (or number of jobs)</w:t>
      </w:r>
      <w:r w:rsidRPr="00894C3E">
        <w:rPr>
          <w:rFonts w:ascii="Arial" w:hAnsi="Arial" w:cs="Arial"/>
          <w:sz w:val="24"/>
          <w:szCs w:val="24"/>
        </w:rPr>
        <w:t xml:space="preserve"> that brings them into contact with both children and adults. On these occasions the LADO will negotiate with the </w:t>
      </w:r>
      <w:r w:rsidR="00313B2C" w:rsidRPr="00894C3E">
        <w:rPr>
          <w:rFonts w:ascii="Arial" w:hAnsi="Arial" w:cs="Arial"/>
          <w:sz w:val="24"/>
          <w:szCs w:val="24"/>
        </w:rPr>
        <w:t>A</w:t>
      </w:r>
      <w:r w:rsidRPr="00894C3E">
        <w:rPr>
          <w:rFonts w:ascii="Arial" w:hAnsi="Arial" w:cs="Arial"/>
          <w:sz w:val="24"/>
          <w:szCs w:val="24"/>
        </w:rPr>
        <w:t xml:space="preserve">dult </w:t>
      </w:r>
      <w:r w:rsidR="00313B2C" w:rsidRPr="00894C3E">
        <w:rPr>
          <w:rFonts w:ascii="Arial" w:hAnsi="Arial" w:cs="Arial"/>
          <w:sz w:val="24"/>
          <w:szCs w:val="24"/>
        </w:rPr>
        <w:t>S</w:t>
      </w:r>
      <w:r w:rsidRPr="00894C3E">
        <w:rPr>
          <w:rFonts w:ascii="Arial" w:hAnsi="Arial" w:cs="Arial"/>
          <w:sz w:val="24"/>
          <w:szCs w:val="24"/>
        </w:rPr>
        <w:t xml:space="preserve">afeguarding </w:t>
      </w:r>
      <w:r w:rsidR="00313B2C" w:rsidRPr="00894C3E">
        <w:rPr>
          <w:rFonts w:ascii="Arial" w:hAnsi="Arial" w:cs="Arial"/>
          <w:sz w:val="24"/>
          <w:szCs w:val="24"/>
        </w:rPr>
        <w:t xml:space="preserve">Team Manager </w:t>
      </w:r>
      <w:r w:rsidRPr="00894C3E">
        <w:rPr>
          <w:rFonts w:ascii="Arial" w:hAnsi="Arial" w:cs="Arial"/>
          <w:sz w:val="24"/>
          <w:szCs w:val="24"/>
        </w:rPr>
        <w:t>about how the adult safeguarding processes will run alongside the Allegations Management procedures.</w:t>
      </w:r>
    </w:p>
    <w:p w14:paraId="140A0F64" w14:textId="77777777" w:rsidR="00261D45" w:rsidRDefault="00261D45" w:rsidP="00894C3E">
      <w:pPr>
        <w:jc w:val="both"/>
        <w:rPr>
          <w:rFonts w:ascii="Arial" w:hAnsi="Arial" w:cs="Arial"/>
          <w:sz w:val="24"/>
          <w:szCs w:val="24"/>
        </w:rPr>
      </w:pPr>
    </w:p>
    <w:p w14:paraId="437A121C" w14:textId="743451E2" w:rsidR="00313B2C" w:rsidRDefault="006D7FEE" w:rsidP="00261D45">
      <w:pPr>
        <w:spacing w:after="0"/>
        <w:jc w:val="both"/>
        <w:rPr>
          <w:rFonts w:ascii="Arial" w:hAnsi="Arial" w:cs="Arial"/>
          <w:sz w:val="24"/>
          <w:szCs w:val="24"/>
        </w:rPr>
      </w:pPr>
      <w:r w:rsidRPr="00894C3E">
        <w:rPr>
          <w:rFonts w:ascii="Arial" w:hAnsi="Arial" w:cs="Arial"/>
          <w:sz w:val="24"/>
          <w:szCs w:val="24"/>
        </w:rPr>
        <w:t>In respect of transferable risk, there may be concerns that an adult has harmed their own children and they work with vulnerable adults. T</w:t>
      </w:r>
      <w:r w:rsidR="006A04D6" w:rsidRPr="00894C3E">
        <w:rPr>
          <w:rFonts w:ascii="Arial" w:hAnsi="Arial" w:cs="Arial"/>
          <w:sz w:val="24"/>
          <w:szCs w:val="24"/>
        </w:rPr>
        <w:t>h</w:t>
      </w:r>
      <w:r w:rsidRPr="00894C3E">
        <w:rPr>
          <w:rFonts w:ascii="Arial" w:hAnsi="Arial" w:cs="Arial"/>
          <w:sz w:val="24"/>
          <w:szCs w:val="24"/>
        </w:rPr>
        <w:t xml:space="preserve">is is a </w:t>
      </w:r>
      <w:r w:rsidR="00313B2C" w:rsidRPr="00894C3E">
        <w:rPr>
          <w:rFonts w:ascii="Arial" w:hAnsi="Arial" w:cs="Arial"/>
          <w:sz w:val="24"/>
          <w:szCs w:val="24"/>
        </w:rPr>
        <w:t>matter</w:t>
      </w:r>
      <w:r w:rsidRPr="00894C3E">
        <w:rPr>
          <w:rFonts w:ascii="Arial" w:hAnsi="Arial" w:cs="Arial"/>
          <w:sz w:val="24"/>
          <w:szCs w:val="24"/>
        </w:rPr>
        <w:t xml:space="preserve"> for Adult </w:t>
      </w:r>
      <w:r w:rsidR="00313B2C" w:rsidRPr="00894C3E">
        <w:rPr>
          <w:rFonts w:ascii="Arial" w:hAnsi="Arial" w:cs="Arial"/>
          <w:sz w:val="24"/>
          <w:szCs w:val="24"/>
        </w:rPr>
        <w:t>S</w:t>
      </w:r>
      <w:r w:rsidRPr="00894C3E">
        <w:rPr>
          <w:rFonts w:ascii="Arial" w:hAnsi="Arial" w:cs="Arial"/>
          <w:sz w:val="24"/>
          <w:szCs w:val="24"/>
        </w:rPr>
        <w:t xml:space="preserve">afeguarding. </w:t>
      </w:r>
      <w:r w:rsidR="00CF41FB" w:rsidRPr="00894C3E">
        <w:rPr>
          <w:rFonts w:ascii="Arial" w:hAnsi="Arial" w:cs="Arial"/>
          <w:sz w:val="24"/>
          <w:szCs w:val="24"/>
        </w:rPr>
        <w:t>Children’s Service’s practitioners should contact Adult Safeguarding for a discussion regarding thresholds as below:</w:t>
      </w:r>
      <w:r w:rsidR="00313B2C" w:rsidRPr="00894C3E">
        <w:rPr>
          <w:rFonts w:ascii="Arial" w:hAnsi="Arial" w:cs="Arial"/>
          <w:sz w:val="24"/>
          <w:szCs w:val="24"/>
        </w:rPr>
        <w:t xml:space="preserve"> </w:t>
      </w:r>
    </w:p>
    <w:p w14:paraId="16363042" w14:textId="77777777" w:rsidR="00261D45" w:rsidRPr="00894C3E" w:rsidRDefault="00261D45" w:rsidP="00261D45">
      <w:pPr>
        <w:spacing w:after="0"/>
        <w:jc w:val="both"/>
        <w:rPr>
          <w:rFonts w:ascii="Arial" w:hAnsi="Arial" w:cs="Arial"/>
          <w:sz w:val="24"/>
          <w:szCs w:val="24"/>
        </w:rPr>
      </w:pPr>
    </w:p>
    <w:p w14:paraId="3D15A586" w14:textId="77777777" w:rsidR="00313B2C" w:rsidRPr="00894C3E" w:rsidRDefault="00313B2C" w:rsidP="00261D45">
      <w:pPr>
        <w:shd w:val="clear" w:color="auto" w:fill="FFFFFF"/>
        <w:spacing w:after="0" w:line="240" w:lineRule="auto"/>
        <w:jc w:val="both"/>
        <w:rPr>
          <w:rFonts w:ascii="Arial" w:eastAsia="Times New Roman" w:hAnsi="Arial" w:cs="Arial"/>
          <w:sz w:val="24"/>
          <w:szCs w:val="24"/>
          <w:lang w:eastAsia="en-GB"/>
        </w:rPr>
      </w:pPr>
      <w:r w:rsidRPr="00894C3E">
        <w:rPr>
          <w:rFonts w:ascii="Arial" w:eastAsia="Times New Roman" w:hAnsi="Arial" w:cs="Arial"/>
          <w:sz w:val="24"/>
          <w:szCs w:val="24"/>
          <w:lang w:eastAsia="en-GB"/>
        </w:rPr>
        <w:t>In Bournemouth and Christchurch contact:</w:t>
      </w:r>
      <w:r w:rsidR="007200D5" w:rsidRPr="00894C3E">
        <w:rPr>
          <w:rFonts w:ascii="Arial" w:eastAsia="Times New Roman" w:hAnsi="Arial" w:cs="Arial"/>
          <w:sz w:val="24"/>
          <w:szCs w:val="24"/>
          <w:lang w:eastAsia="en-GB"/>
        </w:rPr>
        <w:t xml:space="preserve"> </w:t>
      </w:r>
      <w:r w:rsidRPr="00894C3E">
        <w:rPr>
          <w:rFonts w:ascii="Arial" w:eastAsia="Times New Roman" w:hAnsi="Arial" w:cs="Arial"/>
          <w:sz w:val="24"/>
          <w:szCs w:val="24"/>
          <w:lang w:eastAsia="en-GB"/>
        </w:rPr>
        <w:t xml:space="preserve">Care Direct: Tel 01202 454979, </w:t>
      </w:r>
    </w:p>
    <w:p w14:paraId="027BC7FF" w14:textId="77777777" w:rsidR="00313B2C" w:rsidRPr="00894C3E" w:rsidRDefault="00313B2C" w:rsidP="00261D45">
      <w:pPr>
        <w:shd w:val="clear" w:color="auto" w:fill="FFFFFF"/>
        <w:spacing w:after="0" w:line="240" w:lineRule="auto"/>
        <w:jc w:val="both"/>
        <w:rPr>
          <w:rFonts w:ascii="Arial" w:eastAsia="Times New Roman" w:hAnsi="Arial" w:cs="Arial"/>
          <w:sz w:val="24"/>
          <w:szCs w:val="24"/>
          <w:lang w:eastAsia="en-GB"/>
        </w:rPr>
      </w:pPr>
      <w:r w:rsidRPr="00894C3E">
        <w:rPr>
          <w:rFonts w:ascii="Arial" w:eastAsia="Times New Roman" w:hAnsi="Arial" w:cs="Arial"/>
          <w:sz w:val="24"/>
          <w:szCs w:val="24"/>
          <w:lang w:eastAsia="en-GB"/>
        </w:rPr>
        <w:t>email: </w:t>
      </w:r>
      <w:hyperlink r:id="rId10" w:history="1">
        <w:r w:rsidRPr="00894C3E">
          <w:rPr>
            <w:rFonts w:ascii="Arial" w:eastAsia="Times New Roman" w:hAnsi="Arial" w:cs="Arial"/>
            <w:sz w:val="24"/>
            <w:szCs w:val="24"/>
            <w:u w:val="single"/>
            <w:lang w:eastAsia="en-GB"/>
          </w:rPr>
          <w:t>caredirect@bcpcouncil.gov.uk</w:t>
        </w:r>
      </w:hyperlink>
    </w:p>
    <w:p w14:paraId="0FFAB055" w14:textId="77777777" w:rsidR="00261D45" w:rsidRDefault="00261D45" w:rsidP="00261D45">
      <w:pPr>
        <w:shd w:val="clear" w:color="auto" w:fill="FFFFFF"/>
        <w:spacing w:after="0" w:line="240" w:lineRule="auto"/>
        <w:jc w:val="both"/>
        <w:rPr>
          <w:rFonts w:ascii="Arial" w:eastAsia="Times New Roman" w:hAnsi="Arial" w:cs="Arial"/>
          <w:sz w:val="24"/>
          <w:szCs w:val="24"/>
          <w:lang w:eastAsia="en-GB"/>
        </w:rPr>
      </w:pPr>
    </w:p>
    <w:p w14:paraId="61B42B98" w14:textId="37E60FD8" w:rsidR="00313B2C" w:rsidRPr="00894C3E" w:rsidRDefault="00313B2C" w:rsidP="00261D45">
      <w:pPr>
        <w:shd w:val="clear" w:color="auto" w:fill="FFFFFF"/>
        <w:spacing w:after="0" w:line="240" w:lineRule="auto"/>
        <w:jc w:val="both"/>
        <w:rPr>
          <w:rFonts w:ascii="Arial" w:eastAsia="Times New Roman" w:hAnsi="Arial" w:cs="Arial"/>
          <w:sz w:val="24"/>
          <w:szCs w:val="24"/>
          <w:lang w:eastAsia="en-GB"/>
        </w:rPr>
      </w:pPr>
      <w:r w:rsidRPr="00894C3E">
        <w:rPr>
          <w:rFonts w:ascii="Arial" w:eastAsia="Times New Roman" w:hAnsi="Arial" w:cs="Arial"/>
          <w:sz w:val="24"/>
          <w:szCs w:val="24"/>
          <w:lang w:eastAsia="en-GB"/>
        </w:rPr>
        <w:t>In Poole contact:</w:t>
      </w:r>
      <w:r w:rsidR="007200D5" w:rsidRPr="00894C3E">
        <w:rPr>
          <w:rFonts w:ascii="Arial" w:eastAsia="Times New Roman" w:hAnsi="Arial" w:cs="Arial"/>
          <w:sz w:val="24"/>
          <w:szCs w:val="24"/>
          <w:lang w:eastAsia="en-GB"/>
        </w:rPr>
        <w:t xml:space="preserve"> </w:t>
      </w:r>
      <w:r w:rsidRPr="00894C3E">
        <w:rPr>
          <w:rFonts w:ascii="Arial" w:eastAsia="Times New Roman" w:hAnsi="Arial" w:cs="Arial"/>
          <w:sz w:val="24"/>
          <w:szCs w:val="24"/>
          <w:lang w:eastAsia="en-GB"/>
        </w:rPr>
        <w:t xml:space="preserve">Helpdesk: Tel 01202 633902 </w:t>
      </w:r>
    </w:p>
    <w:p w14:paraId="57F95BA2" w14:textId="77777777" w:rsidR="00313B2C" w:rsidRPr="00894C3E" w:rsidRDefault="00313B2C" w:rsidP="00261D45">
      <w:pPr>
        <w:shd w:val="clear" w:color="auto" w:fill="FFFFFF"/>
        <w:spacing w:after="0" w:line="240" w:lineRule="auto"/>
        <w:jc w:val="both"/>
        <w:rPr>
          <w:rFonts w:ascii="Arial" w:eastAsia="Times New Roman" w:hAnsi="Arial" w:cs="Arial"/>
          <w:sz w:val="24"/>
          <w:szCs w:val="24"/>
          <w:lang w:eastAsia="en-GB"/>
        </w:rPr>
      </w:pPr>
      <w:r w:rsidRPr="00894C3E">
        <w:rPr>
          <w:rFonts w:ascii="Arial" w:eastAsia="Times New Roman" w:hAnsi="Arial" w:cs="Arial"/>
          <w:sz w:val="24"/>
          <w:szCs w:val="24"/>
          <w:lang w:eastAsia="en-GB"/>
        </w:rPr>
        <w:t>email: </w:t>
      </w:r>
      <w:hyperlink r:id="rId11" w:history="1">
        <w:r w:rsidRPr="00894C3E">
          <w:rPr>
            <w:rFonts w:ascii="Arial" w:eastAsia="Times New Roman" w:hAnsi="Arial" w:cs="Arial"/>
            <w:sz w:val="24"/>
            <w:szCs w:val="24"/>
            <w:u w:val="single"/>
            <w:lang w:eastAsia="en-GB"/>
          </w:rPr>
          <w:t>sshelpdesk@bcpcouncil.gov.uk</w:t>
        </w:r>
      </w:hyperlink>
    </w:p>
    <w:p w14:paraId="143D3889" w14:textId="77777777" w:rsidR="00DB0B0B" w:rsidRPr="00894C3E" w:rsidRDefault="00DB0B0B" w:rsidP="00261D45">
      <w:pPr>
        <w:spacing w:after="0"/>
        <w:jc w:val="both"/>
        <w:rPr>
          <w:rFonts w:ascii="Arial" w:hAnsi="Arial" w:cs="Arial"/>
          <w:sz w:val="24"/>
          <w:szCs w:val="24"/>
        </w:rPr>
      </w:pPr>
    </w:p>
    <w:p w14:paraId="0BAE9BB7" w14:textId="77777777" w:rsidR="00DB0B0B" w:rsidRPr="00894C3E" w:rsidRDefault="00DB0B0B" w:rsidP="00261D45">
      <w:pPr>
        <w:pStyle w:val="Default"/>
        <w:shd w:val="clear" w:color="auto" w:fill="FFFFFF" w:themeFill="background1"/>
        <w:jc w:val="both"/>
        <w:rPr>
          <w:bCs/>
        </w:rPr>
      </w:pPr>
    </w:p>
    <w:sectPr w:rsidR="00DB0B0B" w:rsidRPr="00894C3E" w:rsidSect="00AF6224">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E070A" w14:textId="77777777" w:rsidR="00B26267" w:rsidRDefault="00B26267" w:rsidP="0013032B">
      <w:pPr>
        <w:spacing w:after="0" w:line="240" w:lineRule="auto"/>
      </w:pPr>
      <w:r>
        <w:separator/>
      </w:r>
    </w:p>
  </w:endnote>
  <w:endnote w:type="continuationSeparator" w:id="0">
    <w:p w14:paraId="0450B7F2" w14:textId="77777777" w:rsidR="00B26267" w:rsidRDefault="00B26267" w:rsidP="0013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424461"/>
      <w:docPartObj>
        <w:docPartGallery w:val="Page Numbers (Bottom of Page)"/>
        <w:docPartUnique/>
      </w:docPartObj>
    </w:sdtPr>
    <w:sdtEndPr/>
    <w:sdtContent>
      <w:sdt>
        <w:sdtPr>
          <w:id w:val="-1769616900"/>
          <w:docPartObj>
            <w:docPartGallery w:val="Page Numbers (Top of Page)"/>
            <w:docPartUnique/>
          </w:docPartObj>
        </w:sdtPr>
        <w:sdtEndPr/>
        <w:sdtContent>
          <w:p w14:paraId="1FC9AD5F" w14:textId="60DABFD4" w:rsidR="00FD3C5E" w:rsidRDefault="00FD3C5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2711457" w14:textId="77777777" w:rsidR="0013032B" w:rsidRDefault="00130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BBABE" w14:textId="77777777" w:rsidR="00B26267" w:rsidRDefault="00B26267" w:rsidP="0013032B">
      <w:pPr>
        <w:spacing w:after="0" w:line="240" w:lineRule="auto"/>
      </w:pPr>
      <w:r>
        <w:separator/>
      </w:r>
    </w:p>
  </w:footnote>
  <w:footnote w:type="continuationSeparator" w:id="0">
    <w:p w14:paraId="6B1212C1" w14:textId="77777777" w:rsidR="00B26267" w:rsidRDefault="00B26267" w:rsidP="00130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87CEE"/>
    <w:multiLevelType w:val="hybridMultilevel"/>
    <w:tmpl w:val="34B8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E5D75"/>
    <w:multiLevelType w:val="hybridMultilevel"/>
    <w:tmpl w:val="50264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A64FD"/>
    <w:multiLevelType w:val="hybridMultilevel"/>
    <w:tmpl w:val="63B0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D363A"/>
    <w:multiLevelType w:val="multilevel"/>
    <w:tmpl w:val="2B46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973AA"/>
    <w:multiLevelType w:val="hybridMultilevel"/>
    <w:tmpl w:val="FFA86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A1C3F"/>
    <w:multiLevelType w:val="hybridMultilevel"/>
    <w:tmpl w:val="A5CE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6D634E"/>
    <w:multiLevelType w:val="hybridMultilevel"/>
    <w:tmpl w:val="E38A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302B5D"/>
    <w:multiLevelType w:val="hybridMultilevel"/>
    <w:tmpl w:val="C260802C"/>
    <w:lvl w:ilvl="0" w:tplc="09986A54">
      <w:start w:val="1"/>
      <w:numFmt w:val="bullet"/>
      <w:lvlText w:val=""/>
      <w:lvlJc w:val="left"/>
      <w:pPr>
        <w:ind w:left="502"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D8065C"/>
    <w:multiLevelType w:val="multilevel"/>
    <w:tmpl w:val="5986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6D40B2"/>
    <w:multiLevelType w:val="hybridMultilevel"/>
    <w:tmpl w:val="A87E684A"/>
    <w:lvl w:ilvl="0" w:tplc="4FF852B0">
      <w:start w:val="1"/>
      <w:numFmt w:val="decimal"/>
      <w:lvlText w:val="%1."/>
      <w:lvlJc w:val="left"/>
      <w:pPr>
        <w:ind w:left="720" w:hanging="360"/>
      </w:pPr>
      <w:rPr>
        <w:rFonts w:asciiTheme="majorHAnsi" w:hAnsiTheme="majorHAnsi" w:cstheme="majorBidi"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404371"/>
    <w:multiLevelType w:val="hybridMultilevel"/>
    <w:tmpl w:val="EC8A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BC2E22"/>
    <w:multiLevelType w:val="hybridMultilevel"/>
    <w:tmpl w:val="1C4A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D35354"/>
    <w:multiLevelType w:val="hybridMultilevel"/>
    <w:tmpl w:val="18A4D5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
  </w:num>
  <w:num w:numId="6">
    <w:abstractNumId w:val="12"/>
  </w:num>
  <w:num w:numId="7">
    <w:abstractNumId w:val="2"/>
  </w:num>
  <w:num w:numId="8">
    <w:abstractNumId w:val="10"/>
  </w:num>
  <w:num w:numId="9">
    <w:abstractNumId w:val="0"/>
  </w:num>
  <w:num w:numId="10">
    <w:abstractNumId w:val="4"/>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C9"/>
    <w:rsid w:val="00020246"/>
    <w:rsid w:val="00022895"/>
    <w:rsid w:val="00063594"/>
    <w:rsid w:val="00066099"/>
    <w:rsid w:val="00082272"/>
    <w:rsid w:val="00091452"/>
    <w:rsid w:val="00095829"/>
    <w:rsid w:val="000A2F72"/>
    <w:rsid w:val="000B0B52"/>
    <w:rsid w:val="000B5C55"/>
    <w:rsid w:val="000E368C"/>
    <w:rsid w:val="0013032B"/>
    <w:rsid w:val="00181E6D"/>
    <w:rsid w:val="001F26FB"/>
    <w:rsid w:val="001F3755"/>
    <w:rsid w:val="0020635E"/>
    <w:rsid w:val="002064C0"/>
    <w:rsid w:val="00207FEF"/>
    <w:rsid w:val="002170C9"/>
    <w:rsid w:val="002255CE"/>
    <w:rsid w:val="002342DB"/>
    <w:rsid w:val="002424D0"/>
    <w:rsid w:val="00257F4D"/>
    <w:rsid w:val="00261D45"/>
    <w:rsid w:val="00271A17"/>
    <w:rsid w:val="002912C0"/>
    <w:rsid w:val="00293313"/>
    <w:rsid w:val="002A08F2"/>
    <w:rsid w:val="002A1F31"/>
    <w:rsid w:val="002C7138"/>
    <w:rsid w:val="002E05C4"/>
    <w:rsid w:val="002F5079"/>
    <w:rsid w:val="002F64D8"/>
    <w:rsid w:val="00313B2C"/>
    <w:rsid w:val="00336BBD"/>
    <w:rsid w:val="003405EC"/>
    <w:rsid w:val="00384958"/>
    <w:rsid w:val="003A693E"/>
    <w:rsid w:val="003B2B90"/>
    <w:rsid w:val="003D2DA7"/>
    <w:rsid w:val="003D7CBC"/>
    <w:rsid w:val="003F2C55"/>
    <w:rsid w:val="00402A10"/>
    <w:rsid w:val="004047B7"/>
    <w:rsid w:val="004156E2"/>
    <w:rsid w:val="00433FAC"/>
    <w:rsid w:val="00436170"/>
    <w:rsid w:val="00451338"/>
    <w:rsid w:val="00451DAD"/>
    <w:rsid w:val="00454E8C"/>
    <w:rsid w:val="00456591"/>
    <w:rsid w:val="004631C5"/>
    <w:rsid w:val="00475AB4"/>
    <w:rsid w:val="004A7FA4"/>
    <w:rsid w:val="004B1CA9"/>
    <w:rsid w:val="004B3C7B"/>
    <w:rsid w:val="004B69F6"/>
    <w:rsid w:val="004D1B90"/>
    <w:rsid w:val="004F2CAA"/>
    <w:rsid w:val="004F74F1"/>
    <w:rsid w:val="00510FB8"/>
    <w:rsid w:val="00532871"/>
    <w:rsid w:val="00572738"/>
    <w:rsid w:val="00572A71"/>
    <w:rsid w:val="005A570E"/>
    <w:rsid w:val="005B13CD"/>
    <w:rsid w:val="00605CDF"/>
    <w:rsid w:val="00620EAA"/>
    <w:rsid w:val="00623922"/>
    <w:rsid w:val="00626D76"/>
    <w:rsid w:val="00636D15"/>
    <w:rsid w:val="00660485"/>
    <w:rsid w:val="00662D62"/>
    <w:rsid w:val="00664403"/>
    <w:rsid w:val="00696B3E"/>
    <w:rsid w:val="006A04D6"/>
    <w:rsid w:val="006D7FEE"/>
    <w:rsid w:val="006E1047"/>
    <w:rsid w:val="006F09D6"/>
    <w:rsid w:val="006F35B0"/>
    <w:rsid w:val="00702286"/>
    <w:rsid w:val="00703F22"/>
    <w:rsid w:val="007045FE"/>
    <w:rsid w:val="007116E6"/>
    <w:rsid w:val="007200D5"/>
    <w:rsid w:val="00762993"/>
    <w:rsid w:val="00763DEF"/>
    <w:rsid w:val="007803EF"/>
    <w:rsid w:val="007C1666"/>
    <w:rsid w:val="007D41D3"/>
    <w:rsid w:val="00835351"/>
    <w:rsid w:val="00866FFF"/>
    <w:rsid w:val="0087125E"/>
    <w:rsid w:val="0088117D"/>
    <w:rsid w:val="00894C3E"/>
    <w:rsid w:val="008E0229"/>
    <w:rsid w:val="008E36C0"/>
    <w:rsid w:val="008F68DC"/>
    <w:rsid w:val="00902A6D"/>
    <w:rsid w:val="00935BB2"/>
    <w:rsid w:val="009646B2"/>
    <w:rsid w:val="009C6F41"/>
    <w:rsid w:val="009D457F"/>
    <w:rsid w:val="009E13E6"/>
    <w:rsid w:val="00A404DF"/>
    <w:rsid w:val="00A739DB"/>
    <w:rsid w:val="00A8494D"/>
    <w:rsid w:val="00A92959"/>
    <w:rsid w:val="00A97467"/>
    <w:rsid w:val="00AA69D2"/>
    <w:rsid w:val="00AB6B55"/>
    <w:rsid w:val="00AC068A"/>
    <w:rsid w:val="00AC7C4B"/>
    <w:rsid w:val="00AF0F76"/>
    <w:rsid w:val="00AF6224"/>
    <w:rsid w:val="00B26267"/>
    <w:rsid w:val="00B31452"/>
    <w:rsid w:val="00B33522"/>
    <w:rsid w:val="00B60D3A"/>
    <w:rsid w:val="00B92AA2"/>
    <w:rsid w:val="00BA65D9"/>
    <w:rsid w:val="00BB1DE6"/>
    <w:rsid w:val="00C056C3"/>
    <w:rsid w:val="00C20DC0"/>
    <w:rsid w:val="00C212A0"/>
    <w:rsid w:val="00C76A4A"/>
    <w:rsid w:val="00CA2A6F"/>
    <w:rsid w:val="00CA2E3F"/>
    <w:rsid w:val="00CF19B1"/>
    <w:rsid w:val="00CF3126"/>
    <w:rsid w:val="00CF41FB"/>
    <w:rsid w:val="00D329B2"/>
    <w:rsid w:val="00D44093"/>
    <w:rsid w:val="00D464B2"/>
    <w:rsid w:val="00D5341E"/>
    <w:rsid w:val="00D60732"/>
    <w:rsid w:val="00D70E02"/>
    <w:rsid w:val="00DB0B0B"/>
    <w:rsid w:val="00DC09E8"/>
    <w:rsid w:val="00DC284D"/>
    <w:rsid w:val="00DD4E17"/>
    <w:rsid w:val="00DE224D"/>
    <w:rsid w:val="00DE3827"/>
    <w:rsid w:val="00E339A9"/>
    <w:rsid w:val="00E34C1D"/>
    <w:rsid w:val="00E54E6D"/>
    <w:rsid w:val="00EA5130"/>
    <w:rsid w:val="00EA787F"/>
    <w:rsid w:val="00EB28C3"/>
    <w:rsid w:val="00EB66F1"/>
    <w:rsid w:val="00EC46A5"/>
    <w:rsid w:val="00ED4679"/>
    <w:rsid w:val="00EE1189"/>
    <w:rsid w:val="00EE47B6"/>
    <w:rsid w:val="00F04E1F"/>
    <w:rsid w:val="00F11CC3"/>
    <w:rsid w:val="00F1298D"/>
    <w:rsid w:val="00F4773C"/>
    <w:rsid w:val="00F6530D"/>
    <w:rsid w:val="00F7200B"/>
    <w:rsid w:val="00F74156"/>
    <w:rsid w:val="00F96DB1"/>
    <w:rsid w:val="00FD3C5E"/>
    <w:rsid w:val="00FD7C18"/>
    <w:rsid w:val="00FE5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181C13"/>
  <w15:chartTrackingRefBased/>
  <w15:docId w15:val="{C06F411D-26AA-44B2-A1BE-385DA377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4C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0C9"/>
    <w:pPr>
      <w:ind w:left="720"/>
      <w:contextualSpacing/>
    </w:pPr>
  </w:style>
  <w:style w:type="paragraph" w:customStyle="1" w:styleId="Default">
    <w:name w:val="Default"/>
    <w:rsid w:val="006E1047"/>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664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403"/>
    <w:rPr>
      <w:rFonts w:ascii="Segoe UI" w:hAnsi="Segoe UI" w:cs="Segoe UI"/>
      <w:sz w:val="18"/>
      <w:szCs w:val="18"/>
    </w:rPr>
  </w:style>
  <w:style w:type="paragraph" w:styleId="Header">
    <w:name w:val="header"/>
    <w:basedOn w:val="Normal"/>
    <w:link w:val="HeaderChar"/>
    <w:uiPriority w:val="99"/>
    <w:unhideWhenUsed/>
    <w:rsid w:val="00463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1C5"/>
  </w:style>
  <w:style w:type="character" w:styleId="Hyperlink">
    <w:name w:val="Hyperlink"/>
    <w:basedOn w:val="DefaultParagraphFont"/>
    <w:uiPriority w:val="99"/>
    <w:unhideWhenUsed/>
    <w:rsid w:val="00384958"/>
    <w:rPr>
      <w:color w:val="0563C1" w:themeColor="hyperlink"/>
      <w:u w:val="single"/>
    </w:rPr>
  </w:style>
  <w:style w:type="character" w:styleId="Mention">
    <w:name w:val="Mention"/>
    <w:basedOn w:val="DefaultParagraphFont"/>
    <w:uiPriority w:val="99"/>
    <w:semiHidden/>
    <w:unhideWhenUsed/>
    <w:rsid w:val="00384958"/>
    <w:rPr>
      <w:color w:val="2B579A"/>
      <w:shd w:val="clear" w:color="auto" w:fill="E6E6E6"/>
    </w:rPr>
  </w:style>
  <w:style w:type="paragraph" w:styleId="Footer">
    <w:name w:val="footer"/>
    <w:basedOn w:val="Normal"/>
    <w:link w:val="FooterChar"/>
    <w:uiPriority w:val="99"/>
    <w:unhideWhenUsed/>
    <w:rsid w:val="00130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32B"/>
  </w:style>
  <w:style w:type="character" w:styleId="UnresolvedMention">
    <w:name w:val="Unresolved Mention"/>
    <w:basedOn w:val="DefaultParagraphFont"/>
    <w:uiPriority w:val="99"/>
    <w:semiHidden/>
    <w:unhideWhenUsed/>
    <w:rsid w:val="00F1298D"/>
    <w:rPr>
      <w:color w:val="605E5C"/>
      <w:shd w:val="clear" w:color="auto" w:fill="E1DFDD"/>
    </w:rPr>
  </w:style>
  <w:style w:type="table" w:customStyle="1" w:styleId="TableGrid1">
    <w:name w:val="Table Grid1"/>
    <w:basedOn w:val="TableNormal"/>
    <w:next w:val="TableGrid"/>
    <w:uiPriority w:val="39"/>
    <w:rsid w:val="0066048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0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4C3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156E2"/>
    <w:pPr>
      <w:outlineLvl w:val="9"/>
    </w:pPr>
    <w:rPr>
      <w:lang w:val="en-US"/>
    </w:rPr>
  </w:style>
  <w:style w:type="paragraph" w:styleId="TOC1">
    <w:name w:val="toc 1"/>
    <w:basedOn w:val="Normal"/>
    <w:next w:val="Normal"/>
    <w:autoRedefine/>
    <w:uiPriority w:val="39"/>
    <w:unhideWhenUsed/>
    <w:rsid w:val="004156E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238943">
      <w:bodyDiv w:val="1"/>
      <w:marLeft w:val="0"/>
      <w:marRight w:val="0"/>
      <w:marTop w:val="0"/>
      <w:marBottom w:val="0"/>
      <w:divBdr>
        <w:top w:val="none" w:sz="0" w:space="0" w:color="auto"/>
        <w:left w:val="none" w:sz="0" w:space="0" w:color="auto"/>
        <w:bottom w:val="none" w:sz="0" w:space="0" w:color="auto"/>
        <w:right w:val="none" w:sz="0" w:space="0" w:color="auto"/>
      </w:divBdr>
    </w:div>
    <w:div w:id="136428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helpdesk@bcpcouncil.gov.uk" TargetMode="External"/><Relationship Id="rId5" Type="http://schemas.openxmlformats.org/officeDocument/2006/relationships/webSettings" Target="webSettings.xml"/><Relationship Id="rId10" Type="http://schemas.openxmlformats.org/officeDocument/2006/relationships/hyperlink" Target="mailto:caredirect@bcpcouncil.gov.uk" TargetMode="External"/><Relationship Id="rId4" Type="http://schemas.openxmlformats.org/officeDocument/2006/relationships/settings" Target="settings.xml"/><Relationship Id="rId9" Type="http://schemas.openxmlformats.org/officeDocument/2006/relationships/hyperlink" Target="https://pandorsetscb.proceduresonline.com/p_alleg_against_staff.html?zoom_highlight=LAD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9C398-0B72-40CC-AB01-900E150D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Daniells;Tracey Newcomb</dc:creator>
  <cp:keywords/>
  <dc:description/>
  <cp:lastModifiedBy>Andrea Almeida</cp:lastModifiedBy>
  <cp:revision>4</cp:revision>
  <cp:lastPrinted>2018-11-12T10:14:00Z</cp:lastPrinted>
  <dcterms:created xsi:type="dcterms:W3CDTF">2020-10-21T11:13:00Z</dcterms:created>
  <dcterms:modified xsi:type="dcterms:W3CDTF">2020-10-21T11:20:00Z</dcterms:modified>
</cp:coreProperties>
</file>