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B8" w:rsidRDefault="00F73DB8" w:rsidP="00F73DB8">
      <w:pPr>
        <w:pStyle w:val="Header"/>
        <w:jc w:val="center"/>
        <w:rPr>
          <w:noProof/>
        </w:rPr>
      </w:pPr>
      <w:bookmarkStart w:id="0" w:name="_GoBack"/>
      <w:bookmarkEnd w:id="0"/>
    </w:p>
    <w:p w:rsidR="00F73DB8" w:rsidRDefault="00F73DB8" w:rsidP="00F73DB8">
      <w:pPr>
        <w:pStyle w:val="Header"/>
        <w:jc w:val="center"/>
        <w:rPr>
          <w:rFonts w:ascii="Arial" w:hAnsi="Arial" w:cs="Arial"/>
          <w:b/>
          <w:noProof/>
          <w:sz w:val="24"/>
          <w:szCs w:val="24"/>
        </w:rPr>
      </w:pPr>
      <w:r w:rsidRPr="00F73DB8">
        <w:rPr>
          <w:rFonts w:ascii="Arial" w:hAnsi="Arial" w:cs="Arial"/>
          <w:b/>
          <w:noProof/>
          <w:sz w:val="24"/>
          <w:szCs w:val="24"/>
        </w:rPr>
        <w:t xml:space="preserve">GUIDANCE NOTE </w:t>
      </w:r>
    </w:p>
    <w:p w:rsidR="004753EA" w:rsidRPr="00F73DB8" w:rsidRDefault="004753EA" w:rsidP="00F73DB8">
      <w:pPr>
        <w:pStyle w:val="Header"/>
        <w:jc w:val="center"/>
        <w:rPr>
          <w:rFonts w:ascii="Arial" w:hAnsi="Arial" w:cs="Arial"/>
          <w:b/>
          <w:noProof/>
          <w:sz w:val="24"/>
          <w:szCs w:val="24"/>
        </w:rPr>
      </w:pPr>
    </w:p>
    <w:p w:rsidR="00F73DB8" w:rsidRPr="00F73DB8" w:rsidRDefault="00F73DB8" w:rsidP="00F73DB8">
      <w:pPr>
        <w:pStyle w:val="Header"/>
        <w:jc w:val="center"/>
        <w:rPr>
          <w:rFonts w:ascii="Arial" w:hAnsi="Arial" w:cs="Arial"/>
          <w:b/>
          <w:noProof/>
          <w:sz w:val="24"/>
          <w:szCs w:val="24"/>
        </w:rPr>
      </w:pPr>
      <w:r w:rsidRPr="00F73DB8">
        <w:rPr>
          <w:rFonts w:ascii="Arial" w:hAnsi="Arial" w:cs="Arial"/>
          <w:b/>
          <w:noProof/>
          <w:sz w:val="24"/>
          <w:szCs w:val="24"/>
        </w:rPr>
        <w:t>SECTION 20 OF THE CHILDREN ACT 1989</w:t>
      </w:r>
    </w:p>
    <w:p w:rsidR="00F73DB8" w:rsidRPr="00F73DB8" w:rsidRDefault="00F73DB8" w:rsidP="00F73DB8">
      <w:pPr>
        <w:pStyle w:val="Header"/>
        <w:jc w:val="center"/>
        <w:rPr>
          <w:rFonts w:ascii="Arial" w:hAnsi="Arial" w:cs="Arial"/>
          <w:b/>
          <w:noProof/>
          <w:sz w:val="24"/>
          <w:szCs w:val="24"/>
        </w:rPr>
      </w:pPr>
      <w:r w:rsidRPr="00F73DB8">
        <w:rPr>
          <w:rFonts w:ascii="Arial" w:hAnsi="Arial" w:cs="Arial"/>
          <w:b/>
          <w:noProof/>
          <w:sz w:val="24"/>
          <w:szCs w:val="24"/>
        </w:rPr>
        <w:t>CAPACITY TO AGREE TO SECTION 20 ACCOMMODATION</w:t>
      </w:r>
    </w:p>
    <w:p w:rsidR="00F73DB8" w:rsidRPr="00F73DB8" w:rsidRDefault="00F73DB8" w:rsidP="00F73DB8">
      <w:pPr>
        <w:pStyle w:val="Header"/>
        <w:jc w:val="center"/>
        <w:rPr>
          <w:rFonts w:ascii="Arial" w:hAnsi="Arial" w:cs="Arial"/>
          <w:b/>
          <w:noProof/>
          <w:sz w:val="24"/>
          <w:szCs w:val="24"/>
        </w:rPr>
      </w:pPr>
    </w:p>
    <w:p w:rsidR="00F73DB8" w:rsidRDefault="00F73DB8" w:rsidP="00F73DB8">
      <w:pPr>
        <w:pStyle w:val="Header"/>
        <w:rPr>
          <w:noProof/>
        </w:rPr>
      </w:pPr>
    </w:p>
    <w:p w:rsidR="00F73DB8" w:rsidRDefault="00F73DB8" w:rsidP="00F73DB8">
      <w:pPr>
        <w:pStyle w:val="Header"/>
        <w:jc w:val="center"/>
        <w:rPr>
          <w:rFonts w:ascii="Arial" w:hAnsi="Arial" w:cs="Arial"/>
          <w:b/>
          <w:i/>
          <w:noProof/>
          <w:sz w:val="28"/>
          <w:szCs w:val="28"/>
        </w:rPr>
      </w:pPr>
      <w:r w:rsidRPr="00F73DB8">
        <w:rPr>
          <w:rFonts w:ascii="Arial" w:hAnsi="Arial" w:cs="Arial"/>
          <w:b/>
          <w:i/>
          <w:noProof/>
          <w:sz w:val="28"/>
          <w:szCs w:val="28"/>
        </w:rPr>
        <w:t>ONLY PEOPLE WITH CAPACITY CAN AGREE TO SECTION 20 ACCOMMODATION</w:t>
      </w:r>
    </w:p>
    <w:p w:rsidR="00F73DB8" w:rsidRDefault="00F73DB8" w:rsidP="00F73DB8">
      <w:pPr>
        <w:pStyle w:val="Header"/>
        <w:jc w:val="center"/>
        <w:rPr>
          <w:rFonts w:ascii="Arial" w:hAnsi="Arial" w:cs="Arial"/>
          <w:b/>
          <w:i/>
          <w:noProof/>
          <w:sz w:val="28"/>
          <w:szCs w:val="28"/>
        </w:rPr>
      </w:pPr>
    </w:p>
    <w:p w:rsidR="004753EA" w:rsidRDefault="004753EA" w:rsidP="00F73DB8">
      <w:pPr>
        <w:pStyle w:val="Header"/>
        <w:jc w:val="center"/>
        <w:rPr>
          <w:rFonts w:ascii="Arial" w:hAnsi="Arial" w:cs="Arial"/>
          <w:b/>
          <w:i/>
          <w:noProof/>
          <w:sz w:val="28"/>
          <w:szCs w:val="28"/>
        </w:rPr>
      </w:pPr>
    </w:p>
    <w:p w:rsidR="00F73DB8" w:rsidRDefault="00F73DB8" w:rsidP="00F73DB8">
      <w:pPr>
        <w:pStyle w:val="Header"/>
        <w:jc w:val="both"/>
        <w:rPr>
          <w:rFonts w:ascii="Arial" w:hAnsi="Arial" w:cs="Arial"/>
          <w:noProof/>
          <w:sz w:val="24"/>
          <w:szCs w:val="24"/>
        </w:rPr>
      </w:pPr>
      <w:r>
        <w:rPr>
          <w:rFonts w:ascii="Arial" w:hAnsi="Arial" w:cs="Arial"/>
          <w:noProof/>
          <w:sz w:val="24"/>
          <w:szCs w:val="24"/>
        </w:rPr>
        <w:t>Every parent or person with parental responsibility who is able to make decisions has the right to agree to S20 accommodation for their child.  Being able to make decisions is described as “having capacity.”  If a parent or person with parental responsibiluty does not have “capacity”, they cannot give genuine consent to S20 accommodation.</w:t>
      </w:r>
    </w:p>
    <w:p w:rsidR="00F73DB8" w:rsidRDefault="00F73DB8" w:rsidP="00F73DB8">
      <w:pPr>
        <w:pStyle w:val="Header"/>
        <w:jc w:val="both"/>
        <w:rPr>
          <w:rFonts w:ascii="Arial" w:hAnsi="Arial" w:cs="Arial"/>
          <w:noProof/>
          <w:sz w:val="24"/>
          <w:szCs w:val="24"/>
        </w:rPr>
      </w:pPr>
    </w:p>
    <w:p w:rsidR="004753EA" w:rsidRDefault="00F73DB8" w:rsidP="00F73DB8">
      <w:pPr>
        <w:pStyle w:val="Header"/>
        <w:jc w:val="both"/>
        <w:rPr>
          <w:rFonts w:ascii="Arial" w:hAnsi="Arial" w:cs="Arial"/>
          <w:noProof/>
          <w:sz w:val="24"/>
          <w:szCs w:val="24"/>
        </w:rPr>
      </w:pPr>
      <w:r>
        <w:rPr>
          <w:rFonts w:ascii="Arial" w:hAnsi="Arial" w:cs="Arial"/>
          <w:noProof/>
          <w:sz w:val="24"/>
          <w:szCs w:val="24"/>
        </w:rPr>
        <w:t xml:space="preserve">The issue of “capacity” is explained in sections 2 and 3 of the Mental Capacity Act 2005. </w:t>
      </w:r>
      <w:hyperlink r:id="rId8" w:history="1">
        <w:r w:rsidR="004753EA" w:rsidRPr="004753EA">
          <w:rPr>
            <w:rStyle w:val="Hyperlink"/>
            <w:rFonts w:ascii="Arial" w:hAnsi="Arial" w:cs="Arial"/>
            <w:noProof/>
            <w:sz w:val="24"/>
            <w:szCs w:val="24"/>
          </w:rPr>
          <w:t>https://www.legislation.gov.uk/ukpga/2005/9/section/2</w:t>
        </w:r>
      </w:hyperlink>
    </w:p>
    <w:p w:rsidR="004753EA" w:rsidRDefault="004753EA" w:rsidP="00F73DB8">
      <w:pPr>
        <w:pStyle w:val="Header"/>
        <w:jc w:val="both"/>
        <w:rPr>
          <w:rFonts w:ascii="Arial" w:hAnsi="Arial" w:cs="Arial"/>
          <w:noProof/>
          <w:sz w:val="24"/>
          <w:szCs w:val="24"/>
        </w:rPr>
      </w:pPr>
    </w:p>
    <w:p w:rsidR="00F73DB8" w:rsidRDefault="00F73DB8" w:rsidP="00F73DB8">
      <w:pPr>
        <w:pStyle w:val="Header"/>
        <w:jc w:val="both"/>
        <w:rPr>
          <w:rFonts w:ascii="Arial" w:hAnsi="Arial" w:cs="Arial"/>
          <w:noProof/>
          <w:sz w:val="24"/>
          <w:szCs w:val="24"/>
        </w:rPr>
      </w:pPr>
      <w:r>
        <w:rPr>
          <w:rFonts w:ascii="Arial" w:hAnsi="Arial" w:cs="Arial"/>
          <w:noProof/>
          <w:sz w:val="24"/>
          <w:szCs w:val="24"/>
        </w:rPr>
        <w:t>If an adult has either a permanent or temporary problem with their mental functioning, they will be said to “lack capacity” to make a decision if they:</w:t>
      </w:r>
    </w:p>
    <w:p w:rsidR="00F73DB8" w:rsidRDefault="00F73DB8" w:rsidP="00F73DB8">
      <w:pPr>
        <w:pStyle w:val="Header"/>
        <w:jc w:val="both"/>
        <w:rPr>
          <w:rFonts w:ascii="Arial" w:hAnsi="Arial" w:cs="Arial"/>
          <w:noProof/>
          <w:sz w:val="24"/>
          <w:szCs w:val="24"/>
        </w:rPr>
      </w:pPr>
    </w:p>
    <w:p w:rsidR="00F73DB8" w:rsidRDefault="00F73DB8" w:rsidP="00F73DB8">
      <w:pPr>
        <w:pStyle w:val="Header"/>
        <w:numPr>
          <w:ilvl w:val="0"/>
          <w:numId w:val="1"/>
        </w:numPr>
        <w:jc w:val="both"/>
        <w:rPr>
          <w:rFonts w:ascii="Arial" w:hAnsi="Arial" w:cs="Arial"/>
          <w:noProof/>
          <w:sz w:val="24"/>
          <w:szCs w:val="24"/>
        </w:rPr>
      </w:pPr>
      <w:r>
        <w:rPr>
          <w:rFonts w:ascii="Arial" w:hAnsi="Arial" w:cs="Arial"/>
          <w:noProof/>
          <w:sz w:val="24"/>
          <w:szCs w:val="24"/>
        </w:rPr>
        <w:t>Cannot understand the information which is relevant to the decision, or</w:t>
      </w:r>
    </w:p>
    <w:p w:rsidR="00F73DB8" w:rsidRDefault="00F73DB8" w:rsidP="00F73DB8">
      <w:pPr>
        <w:pStyle w:val="Header"/>
        <w:numPr>
          <w:ilvl w:val="0"/>
          <w:numId w:val="1"/>
        </w:numPr>
        <w:jc w:val="both"/>
        <w:rPr>
          <w:rFonts w:ascii="Arial" w:hAnsi="Arial" w:cs="Arial"/>
          <w:noProof/>
          <w:sz w:val="24"/>
          <w:szCs w:val="24"/>
        </w:rPr>
      </w:pPr>
      <w:r>
        <w:rPr>
          <w:rFonts w:ascii="Arial" w:hAnsi="Arial" w:cs="Arial"/>
          <w:noProof/>
          <w:sz w:val="24"/>
          <w:szCs w:val="24"/>
        </w:rPr>
        <w:t xml:space="preserve">Cannot retain the information about the decision, or </w:t>
      </w:r>
    </w:p>
    <w:p w:rsidR="00F73DB8" w:rsidRDefault="004753EA" w:rsidP="00F73DB8">
      <w:pPr>
        <w:pStyle w:val="Header"/>
        <w:numPr>
          <w:ilvl w:val="0"/>
          <w:numId w:val="1"/>
        </w:numPr>
        <w:jc w:val="both"/>
        <w:rPr>
          <w:rFonts w:ascii="Arial" w:hAnsi="Arial" w:cs="Arial"/>
          <w:noProof/>
          <w:sz w:val="24"/>
          <w:szCs w:val="24"/>
        </w:rPr>
      </w:pPr>
      <w:r>
        <w:rPr>
          <w:rFonts w:ascii="Arial" w:hAnsi="Arial" w:cs="Arial"/>
          <w:noProof/>
          <w:sz w:val="24"/>
          <w:szCs w:val="24"/>
        </w:rPr>
        <w:t>Cannot use or weigh up that in</w:t>
      </w:r>
      <w:r w:rsidR="00F73DB8">
        <w:rPr>
          <w:rFonts w:ascii="Arial" w:hAnsi="Arial" w:cs="Arial"/>
          <w:noProof/>
          <w:sz w:val="24"/>
          <w:szCs w:val="24"/>
        </w:rPr>
        <w:t>formation as part of the decision making process, or</w:t>
      </w:r>
    </w:p>
    <w:p w:rsidR="00F73DB8" w:rsidRDefault="00F73DB8" w:rsidP="00F73DB8">
      <w:pPr>
        <w:pStyle w:val="Header"/>
        <w:numPr>
          <w:ilvl w:val="0"/>
          <w:numId w:val="1"/>
        </w:numPr>
        <w:jc w:val="both"/>
        <w:rPr>
          <w:rFonts w:ascii="Arial" w:hAnsi="Arial" w:cs="Arial"/>
          <w:noProof/>
          <w:sz w:val="24"/>
          <w:szCs w:val="24"/>
        </w:rPr>
      </w:pPr>
      <w:r>
        <w:rPr>
          <w:rFonts w:ascii="Arial" w:hAnsi="Arial" w:cs="Arial"/>
          <w:noProof/>
          <w:sz w:val="24"/>
          <w:szCs w:val="24"/>
        </w:rPr>
        <w:t>Cannot communicate their decision, by speech, sign language or any other means</w:t>
      </w:r>
    </w:p>
    <w:p w:rsidR="00F73DB8" w:rsidRDefault="00F73DB8" w:rsidP="00F73DB8">
      <w:pPr>
        <w:pStyle w:val="Header"/>
        <w:jc w:val="both"/>
        <w:rPr>
          <w:rFonts w:ascii="Arial" w:hAnsi="Arial" w:cs="Arial"/>
          <w:noProof/>
          <w:sz w:val="24"/>
          <w:szCs w:val="24"/>
        </w:rPr>
      </w:pPr>
    </w:p>
    <w:p w:rsidR="00F73DB8" w:rsidRDefault="00F73DB8" w:rsidP="00F73DB8">
      <w:pPr>
        <w:pStyle w:val="Header"/>
        <w:jc w:val="both"/>
        <w:rPr>
          <w:rFonts w:ascii="Arial" w:hAnsi="Arial" w:cs="Arial"/>
          <w:noProof/>
          <w:sz w:val="24"/>
          <w:szCs w:val="24"/>
        </w:rPr>
      </w:pPr>
      <w:r>
        <w:rPr>
          <w:rFonts w:ascii="Arial" w:hAnsi="Arial" w:cs="Arial"/>
          <w:noProof/>
          <w:sz w:val="24"/>
          <w:szCs w:val="24"/>
        </w:rPr>
        <w:t xml:space="preserve">Social Workers are required to be satisfied that the parents or person with parental responsibility have capacity to give their consent.  </w:t>
      </w:r>
    </w:p>
    <w:p w:rsidR="00F73DB8" w:rsidRDefault="00F73DB8" w:rsidP="00F73DB8">
      <w:pPr>
        <w:pStyle w:val="Header"/>
        <w:jc w:val="both"/>
        <w:rPr>
          <w:rFonts w:ascii="Arial" w:hAnsi="Arial" w:cs="Arial"/>
          <w:noProof/>
          <w:sz w:val="24"/>
          <w:szCs w:val="24"/>
        </w:rPr>
      </w:pPr>
    </w:p>
    <w:p w:rsidR="00F73DB8" w:rsidRDefault="00F73DB8" w:rsidP="00F73DB8">
      <w:pPr>
        <w:pStyle w:val="Header"/>
        <w:jc w:val="both"/>
        <w:rPr>
          <w:rFonts w:ascii="Arial" w:hAnsi="Arial" w:cs="Arial"/>
          <w:noProof/>
          <w:sz w:val="24"/>
          <w:szCs w:val="24"/>
        </w:rPr>
      </w:pPr>
      <w:r>
        <w:rPr>
          <w:rFonts w:ascii="Arial" w:hAnsi="Arial" w:cs="Arial"/>
          <w:noProof/>
          <w:sz w:val="24"/>
          <w:szCs w:val="24"/>
        </w:rPr>
        <w:t>“Capacity” can change over time and may depend on what kind of decision a parent or person with parental responsibility is being asked to make.  If there is doubt about whether or not someone has cap</w:t>
      </w:r>
      <w:r w:rsidR="004753EA">
        <w:rPr>
          <w:rFonts w:ascii="Arial" w:hAnsi="Arial" w:cs="Arial"/>
          <w:noProof/>
          <w:sz w:val="24"/>
          <w:szCs w:val="24"/>
        </w:rPr>
        <w:t>a</w:t>
      </w:r>
      <w:r>
        <w:rPr>
          <w:rFonts w:ascii="Arial" w:hAnsi="Arial" w:cs="Arial"/>
          <w:noProof/>
          <w:sz w:val="24"/>
          <w:szCs w:val="24"/>
        </w:rPr>
        <w:t>city, then an expert assessment will be needed and the Social Worker should take urgent advice.</w:t>
      </w:r>
    </w:p>
    <w:p w:rsidR="00F73DB8" w:rsidRDefault="00F73DB8" w:rsidP="00F73DB8">
      <w:pPr>
        <w:pStyle w:val="Header"/>
        <w:jc w:val="both"/>
        <w:rPr>
          <w:rFonts w:ascii="Arial" w:hAnsi="Arial" w:cs="Arial"/>
          <w:noProof/>
          <w:sz w:val="24"/>
          <w:szCs w:val="24"/>
        </w:rPr>
      </w:pPr>
    </w:p>
    <w:p w:rsidR="00F73DB8" w:rsidRDefault="00F73DB8" w:rsidP="00F73DB8">
      <w:pPr>
        <w:pStyle w:val="Header"/>
        <w:jc w:val="both"/>
        <w:rPr>
          <w:rFonts w:ascii="Arial" w:hAnsi="Arial" w:cs="Arial"/>
          <w:noProof/>
          <w:sz w:val="24"/>
          <w:szCs w:val="24"/>
        </w:rPr>
      </w:pPr>
      <w:r>
        <w:rPr>
          <w:rFonts w:ascii="Arial" w:hAnsi="Arial" w:cs="Arial"/>
          <w:noProof/>
          <w:sz w:val="24"/>
          <w:szCs w:val="24"/>
        </w:rPr>
        <w:t>A person’s “capacity”</w:t>
      </w:r>
      <w:r w:rsidR="00FC142B">
        <w:rPr>
          <w:rFonts w:ascii="Arial" w:hAnsi="Arial" w:cs="Arial"/>
          <w:noProof/>
          <w:sz w:val="24"/>
          <w:szCs w:val="24"/>
        </w:rPr>
        <w:t xml:space="preserve"> can fluctuate.  For example, somebody who has mental health pro</w:t>
      </w:r>
      <w:r w:rsidR="004753EA">
        <w:rPr>
          <w:rFonts w:ascii="Arial" w:hAnsi="Arial" w:cs="Arial"/>
          <w:noProof/>
          <w:sz w:val="24"/>
          <w:szCs w:val="24"/>
        </w:rPr>
        <w:t>blems but who normally has ca</w:t>
      </w:r>
      <w:r w:rsidR="00FC142B">
        <w:rPr>
          <w:rFonts w:ascii="Arial" w:hAnsi="Arial" w:cs="Arial"/>
          <w:noProof/>
          <w:sz w:val="24"/>
          <w:szCs w:val="24"/>
        </w:rPr>
        <w:t>p</w:t>
      </w:r>
      <w:r w:rsidR="004753EA">
        <w:rPr>
          <w:rFonts w:ascii="Arial" w:hAnsi="Arial" w:cs="Arial"/>
          <w:noProof/>
          <w:sz w:val="24"/>
          <w:szCs w:val="24"/>
        </w:rPr>
        <w:t>acit</w:t>
      </w:r>
      <w:r w:rsidR="00FC142B">
        <w:rPr>
          <w:rFonts w:ascii="Arial" w:hAnsi="Arial" w:cs="Arial"/>
          <w:noProof/>
          <w:sz w:val="24"/>
          <w:szCs w:val="24"/>
        </w:rPr>
        <w:t>y to make decision</w:t>
      </w:r>
      <w:r w:rsidR="004753EA">
        <w:rPr>
          <w:rFonts w:ascii="Arial" w:hAnsi="Arial" w:cs="Arial"/>
          <w:noProof/>
          <w:sz w:val="24"/>
          <w:szCs w:val="24"/>
        </w:rPr>
        <w:t>s</w:t>
      </w:r>
      <w:r w:rsidR="00FC142B">
        <w:rPr>
          <w:rFonts w:ascii="Arial" w:hAnsi="Arial" w:cs="Arial"/>
          <w:noProof/>
          <w:sz w:val="24"/>
          <w:szCs w:val="24"/>
        </w:rPr>
        <w:t xml:space="preserve"> may lose that capacity in </w:t>
      </w:r>
      <w:r w:rsidR="004753EA">
        <w:rPr>
          <w:rFonts w:ascii="Arial" w:hAnsi="Arial" w:cs="Arial"/>
          <w:noProof/>
          <w:sz w:val="24"/>
          <w:szCs w:val="24"/>
        </w:rPr>
        <w:t>m</w:t>
      </w:r>
      <w:r w:rsidR="00FC142B">
        <w:rPr>
          <w:rFonts w:ascii="Arial" w:hAnsi="Arial" w:cs="Arial"/>
          <w:noProof/>
          <w:sz w:val="24"/>
          <w:szCs w:val="24"/>
        </w:rPr>
        <w:t>oments of very high stress.</w:t>
      </w:r>
      <w:r w:rsidR="004753EA">
        <w:rPr>
          <w:rFonts w:ascii="Arial" w:hAnsi="Arial" w:cs="Arial"/>
          <w:noProof/>
          <w:sz w:val="24"/>
          <w:szCs w:val="24"/>
        </w:rPr>
        <w:t xml:space="preserve">  If there is any doubt about the ability of a person to provide ongoing consent, then legal advice should be sought urgently.</w:t>
      </w:r>
    </w:p>
    <w:p w:rsidR="00F73DB8" w:rsidRDefault="00F73DB8" w:rsidP="00F73DB8">
      <w:pPr>
        <w:pStyle w:val="Header"/>
        <w:jc w:val="both"/>
        <w:rPr>
          <w:rFonts w:ascii="Arial" w:hAnsi="Arial" w:cs="Arial"/>
          <w:noProof/>
          <w:sz w:val="24"/>
          <w:szCs w:val="24"/>
        </w:rPr>
      </w:pPr>
    </w:p>
    <w:p w:rsidR="00F73DB8" w:rsidRPr="00F73DB8" w:rsidRDefault="00F73DB8" w:rsidP="00F73DB8">
      <w:pPr>
        <w:pStyle w:val="Header"/>
        <w:rPr>
          <w:rFonts w:ascii="Arial" w:hAnsi="Arial" w:cs="Arial"/>
          <w:noProof/>
          <w:sz w:val="24"/>
          <w:szCs w:val="24"/>
        </w:rPr>
      </w:pPr>
    </w:p>
    <w:p w:rsidR="00F73DB8" w:rsidRPr="00F73DB8" w:rsidRDefault="00F73DB8" w:rsidP="00F73DB8">
      <w:pPr>
        <w:pStyle w:val="Header"/>
        <w:jc w:val="center"/>
        <w:rPr>
          <w:rFonts w:ascii="Arial" w:hAnsi="Arial" w:cs="Arial"/>
          <w:b/>
          <w:i/>
          <w:noProof/>
        </w:rPr>
      </w:pPr>
    </w:p>
    <w:p w:rsidR="00F73DB8" w:rsidRPr="00F73DB8" w:rsidRDefault="00F73DB8" w:rsidP="00F73DB8">
      <w:pPr>
        <w:pStyle w:val="Header"/>
        <w:jc w:val="center"/>
        <w:rPr>
          <w:rFonts w:ascii="Arial" w:hAnsi="Arial" w:cs="Arial"/>
        </w:rPr>
      </w:pPr>
    </w:p>
    <w:p w:rsidR="007B0F20" w:rsidRDefault="007B0F20"/>
    <w:sectPr w:rsidR="007B0F2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84" w:rsidRDefault="00093084" w:rsidP="00F73DB8">
      <w:pPr>
        <w:spacing w:after="0" w:line="240" w:lineRule="auto"/>
      </w:pPr>
      <w:r>
        <w:separator/>
      </w:r>
    </w:p>
  </w:endnote>
  <w:endnote w:type="continuationSeparator" w:id="0">
    <w:p w:rsidR="00093084" w:rsidRDefault="00093084" w:rsidP="00F7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3EA" w:rsidRPr="004753EA" w:rsidRDefault="004753EA">
    <w:pPr>
      <w:pStyle w:val="Footer"/>
      <w:rPr>
        <w:b/>
        <w:i/>
      </w:rPr>
    </w:pPr>
    <w:r w:rsidRPr="004753EA">
      <w:rPr>
        <w:b/>
        <w:i/>
      </w:rPr>
      <w:t>Guidance note – S20 consent &amp; capacity – December 2017 – v1</w:t>
    </w:r>
  </w:p>
  <w:p w:rsidR="004753EA" w:rsidRPr="004753EA" w:rsidRDefault="004753EA">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84" w:rsidRDefault="00093084" w:rsidP="00F73DB8">
      <w:pPr>
        <w:spacing w:after="0" w:line="240" w:lineRule="auto"/>
      </w:pPr>
      <w:r>
        <w:separator/>
      </w:r>
    </w:p>
  </w:footnote>
  <w:footnote w:type="continuationSeparator" w:id="0">
    <w:p w:rsidR="00093084" w:rsidRDefault="00093084" w:rsidP="00F73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B8" w:rsidRDefault="00F73DB8" w:rsidP="00F73DB8">
    <w:pPr>
      <w:pStyle w:val="Header"/>
      <w:jc w:val="center"/>
    </w:pPr>
    <w:r>
      <w:rPr>
        <w:noProof/>
      </w:rPr>
      <w:fldChar w:fldCharType="begin"/>
    </w:r>
    <w:r>
      <w:rPr>
        <w:noProof/>
      </w:rPr>
      <w:instrText xml:space="preserve"> INCLUDEPICTURE  "\\\\Oa-server\\shared$\\DBC Logos\\BMP - Hi Res\\DBC colour landscape Logo.bmp" \* MERGEFORMATINET </w:instrText>
    </w:r>
    <w:r>
      <w:rPr>
        <w:noProof/>
      </w:rPr>
      <w:fldChar w:fldCharType="separate"/>
    </w:r>
    <w:r>
      <w:rPr>
        <w:noProof/>
      </w:rPr>
      <w:fldChar w:fldCharType="begin"/>
    </w:r>
    <w:r>
      <w:rPr>
        <w:noProof/>
      </w:rPr>
      <w:instrText xml:space="preserve"> INCLUDEPICTURE  "\\\\Oa-server\\shared$\\DBC Logos\\BMP - Hi Res\\DBC colour landscape Logo.bmp" \* MERGEFORMATINET </w:instrText>
    </w:r>
    <w:r>
      <w:rPr>
        <w:noProof/>
      </w:rPr>
      <w:fldChar w:fldCharType="separate"/>
    </w:r>
    <w:r>
      <w:rPr>
        <w:noProof/>
      </w:rPr>
      <w:fldChar w:fldCharType="begin"/>
    </w:r>
    <w:r>
      <w:rPr>
        <w:noProof/>
      </w:rPr>
      <w:instrText xml:space="preserve"> INCLUDEPICTURE  "\\\\Oa-server\\shared$\\DBC Logos\\BMP - Hi Res\\DBC colour landscape Logo.bmp" \* MERGEFORMATINET </w:instrText>
    </w:r>
    <w:r>
      <w:rPr>
        <w:noProof/>
      </w:rPr>
      <w:fldChar w:fldCharType="separate"/>
    </w:r>
    <w:r>
      <w:rPr>
        <w:noProof/>
      </w:rPr>
      <w:fldChar w:fldCharType="begin"/>
    </w:r>
    <w:r>
      <w:rPr>
        <w:noProof/>
      </w:rPr>
      <w:instrText xml:space="preserve"> INCLUDEPICTURE  "\\\\Oa-server\\shared$\\DBC Logos\\BMP - Hi Res\\DBC colour landscape Logo.bmp" \* MERGEFORMATINET </w:instrText>
    </w:r>
    <w:r>
      <w:rPr>
        <w:noProof/>
      </w:rPr>
      <w:fldChar w:fldCharType="separate"/>
    </w:r>
    <w:r>
      <w:rPr>
        <w:noProof/>
      </w:rPr>
      <w:fldChar w:fldCharType="begin"/>
    </w:r>
    <w:r>
      <w:rPr>
        <w:noProof/>
      </w:rPr>
      <w:instrText xml:space="preserve"> INCLUDEPICTURE  "\\\\Oa-server\\shared$\\DBC Logos\\BMP - Hi Res\\DBC colour landscape Logo.bmp" \* MERGEFORMATINET </w:instrText>
    </w:r>
    <w:r>
      <w:rPr>
        <w:noProof/>
      </w:rPr>
      <w:fldChar w:fldCharType="separate"/>
    </w:r>
    <w:r w:rsidR="00093084">
      <w:rPr>
        <w:noProof/>
      </w:rPr>
      <w:fldChar w:fldCharType="begin"/>
    </w:r>
    <w:r w:rsidR="00093084">
      <w:rPr>
        <w:noProof/>
      </w:rPr>
      <w:instrText xml:space="preserve"> INCLUDEPICTURE  "\\\\Oa-server\\shared$\\DBC Logos\\BMP - Hi Res\\DBC colour landscape Logo.bmp" \* MERGEFORMATINET </w:instrText>
    </w:r>
    <w:r w:rsidR="00093084">
      <w:rPr>
        <w:noProof/>
      </w:rPr>
      <w:fldChar w:fldCharType="separate"/>
    </w:r>
    <w:r w:rsidR="00863010">
      <w:rPr>
        <w:noProof/>
      </w:rPr>
      <w:fldChar w:fldCharType="begin"/>
    </w:r>
    <w:r w:rsidR="00863010">
      <w:rPr>
        <w:noProof/>
      </w:rPr>
      <w:instrText xml:space="preserve"> </w:instrText>
    </w:r>
    <w:r w:rsidR="00863010">
      <w:rPr>
        <w:noProof/>
      </w:rPr>
      <w:instrText>INCLUDEPICTURE  "\\\\Oa-server\\shared$\\DBC Logos\\BMP - Hi Res\</w:instrText>
    </w:r>
    <w:r w:rsidR="00863010">
      <w:rPr>
        <w:noProof/>
      </w:rPr>
      <w:instrText>\DBC colour landscape Logo.bmp" \* MERGEFORMATINET</w:instrText>
    </w:r>
    <w:r w:rsidR="00863010">
      <w:rPr>
        <w:noProof/>
      </w:rPr>
      <w:instrText xml:space="preserve"> </w:instrText>
    </w:r>
    <w:r w:rsidR="00863010">
      <w:rPr>
        <w:noProof/>
      </w:rPr>
      <w:fldChar w:fldCharType="separate"/>
    </w:r>
    <w:r w:rsidR="008630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3pt;height:48.85pt">
          <v:imagedata r:id="rId1" r:href="rId2"/>
        </v:shape>
      </w:pict>
    </w:r>
    <w:r w:rsidR="00863010">
      <w:rPr>
        <w:noProof/>
      </w:rPr>
      <w:fldChar w:fldCharType="end"/>
    </w:r>
    <w:r w:rsidR="00093084">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2FD0"/>
    <w:multiLevelType w:val="hybridMultilevel"/>
    <w:tmpl w:val="116E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B8"/>
    <w:rsid w:val="00093084"/>
    <w:rsid w:val="004753EA"/>
    <w:rsid w:val="007B0F20"/>
    <w:rsid w:val="00863010"/>
    <w:rsid w:val="00964C40"/>
    <w:rsid w:val="00F73DB8"/>
    <w:rsid w:val="00FC1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DB8"/>
  </w:style>
  <w:style w:type="paragraph" w:styleId="Footer">
    <w:name w:val="footer"/>
    <w:basedOn w:val="Normal"/>
    <w:link w:val="FooterChar"/>
    <w:uiPriority w:val="99"/>
    <w:unhideWhenUsed/>
    <w:rsid w:val="00F73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DB8"/>
  </w:style>
  <w:style w:type="character" w:styleId="Hyperlink">
    <w:name w:val="Hyperlink"/>
    <w:basedOn w:val="DefaultParagraphFont"/>
    <w:uiPriority w:val="99"/>
    <w:unhideWhenUsed/>
    <w:rsid w:val="004753EA"/>
    <w:rPr>
      <w:color w:val="0563C1" w:themeColor="hyperlink"/>
      <w:u w:val="single"/>
    </w:rPr>
  </w:style>
  <w:style w:type="character" w:styleId="FollowedHyperlink">
    <w:name w:val="FollowedHyperlink"/>
    <w:basedOn w:val="DefaultParagraphFont"/>
    <w:uiPriority w:val="99"/>
    <w:semiHidden/>
    <w:unhideWhenUsed/>
    <w:rsid w:val="004753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DB8"/>
  </w:style>
  <w:style w:type="paragraph" w:styleId="Footer">
    <w:name w:val="footer"/>
    <w:basedOn w:val="Normal"/>
    <w:link w:val="FooterChar"/>
    <w:uiPriority w:val="99"/>
    <w:unhideWhenUsed/>
    <w:rsid w:val="00F73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DB8"/>
  </w:style>
  <w:style w:type="character" w:styleId="Hyperlink">
    <w:name w:val="Hyperlink"/>
    <w:basedOn w:val="DefaultParagraphFont"/>
    <w:uiPriority w:val="99"/>
    <w:unhideWhenUsed/>
    <w:rsid w:val="004753EA"/>
    <w:rPr>
      <w:color w:val="0563C1" w:themeColor="hyperlink"/>
      <w:u w:val="single"/>
    </w:rPr>
  </w:style>
  <w:style w:type="character" w:styleId="FollowedHyperlink">
    <w:name w:val="FollowedHyperlink"/>
    <w:basedOn w:val="DefaultParagraphFont"/>
    <w:uiPriority w:val="99"/>
    <w:semiHidden/>
    <w:unhideWhenUsed/>
    <w:rsid w:val="004753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5/9/section/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Oa-server\shared$\DBC%20Logos\BMP%20-%20Hi%20Res\DBC%20colour%20landscape%20Logo.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Stoddart</dc:creator>
  <cp:lastModifiedBy>Simon Bishop</cp:lastModifiedBy>
  <cp:revision>2</cp:revision>
  <cp:lastPrinted>2017-12-27T16:57:00Z</cp:lastPrinted>
  <dcterms:created xsi:type="dcterms:W3CDTF">2018-01-04T13:19:00Z</dcterms:created>
  <dcterms:modified xsi:type="dcterms:W3CDTF">2018-01-04T13:19:00Z</dcterms:modified>
</cp:coreProperties>
</file>