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CED" w:rsidRDefault="000C5CED" w:rsidP="00150C7B">
      <w:pPr>
        <w:pStyle w:val="Header"/>
        <w:jc w:val="center"/>
        <w:rPr>
          <w:sz w:val="16"/>
          <w:szCs w:val="16"/>
        </w:rPr>
      </w:pPr>
      <w:bookmarkStart w:id="0" w:name="_GoBack"/>
      <w:bookmarkEnd w:id="0"/>
    </w:p>
    <w:p w:rsidR="00150C7B" w:rsidRPr="005B5FA5" w:rsidRDefault="00150C7B" w:rsidP="00150C7B">
      <w:pPr>
        <w:pStyle w:val="Header"/>
        <w:jc w:val="center"/>
        <w:rPr>
          <w:sz w:val="16"/>
          <w:szCs w:val="16"/>
        </w:rPr>
      </w:pPr>
    </w:p>
    <w:p w:rsidR="001D2C97" w:rsidRDefault="001D2C97"/>
    <w:p w:rsidR="00CA4ED3" w:rsidRDefault="00CA4ED3"/>
    <w:p w:rsidR="00CA4ED3" w:rsidRDefault="00CA4ED3"/>
    <w:tbl>
      <w:tblPr>
        <w:tblW w:w="137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11340"/>
      </w:tblGrid>
      <w:tr w:rsidR="00150C7B" w:rsidTr="00EA440A">
        <w:trPr>
          <w:trHeight w:val="1482"/>
        </w:trPr>
        <w:tc>
          <w:tcPr>
            <w:tcW w:w="137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440A" w:rsidRDefault="00150C7B" w:rsidP="00EA440A">
            <w:pPr>
              <w:jc w:val="center"/>
              <w:rPr>
                <w:rFonts w:asciiTheme="minorHAnsi" w:hAnsiTheme="minorHAnsi"/>
                <w:b/>
                <w:sz w:val="52"/>
                <w:szCs w:val="52"/>
                <w:u w:val="single"/>
              </w:rPr>
            </w:pPr>
            <w:r>
              <w:rPr>
                <w:rFonts w:asciiTheme="minorHAnsi" w:hAnsiTheme="minorHAnsi"/>
                <w:b/>
                <w:sz w:val="22"/>
                <w:szCs w:val="22"/>
              </w:rPr>
              <w:tab/>
            </w:r>
            <w:r w:rsidR="00EA440A" w:rsidRPr="00936AA2">
              <w:rPr>
                <w:rFonts w:asciiTheme="minorHAnsi" w:hAnsiTheme="minorHAnsi"/>
                <w:b/>
                <w:sz w:val="52"/>
                <w:szCs w:val="52"/>
                <w:u w:val="single"/>
              </w:rPr>
              <w:t xml:space="preserve">Auditors Report – 6 Step Briefing </w:t>
            </w:r>
          </w:p>
          <w:p w:rsidR="00EA440A" w:rsidRPr="00936AA2" w:rsidRDefault="00EA440A" w:rsidP="00EA440A">
            <w:pPr>
              <w:jc w:val="center"/>
              <w:rPr>
                <w:rFonts w:asciiTheme="minorHAnsi" w:hAnsiTheme="minorHAnsi"/>
                <w:b/>
                <w:sz w:val="52"/>
                <w:szCs w:val="52"/>
                <w:u w:val="single"/>
              </w:rPr>
            </w:pPr>
          </w:p>
          <w:p w:rsidR="00EA440A" w:rsidRPr="00936AA2" w:rsidRDefault="00EA440A" w:rsidP="00EA440A">
            <w:pPr>
              <w:jc w:val="center"/>
              <w:rPr>
                <w:rFonts w:asciiTheme="minorHAnsi" w:hAnsiTheme="minorHAnsi"/>
                <w:sz w:val="40"/>
                <w:szCs w:val="40"/>
              </w:rPr>
            </w:pPr>
            <w:r w:rsidRPr="00936AA2">
              <w:rPr>
                <w:rFonts w:asciiTheme="minorHAnsi" w:hAnsiTheme="minorHAnsi"/>
                <w:sz w:val="40"/>
                <w:szCs w:val="40"/>
              </w:rPr>
              <w:t>F</w:t>
            </w:r>
            <w:r>
              <w:rPr>
                <w:rFonts w:asciiTheme="minorHAnsi" w:hAnsiTheme="minorHAnsi"/>
                <w:sz w:val="40"/>
                <w:szCs w:val="40"/>
              </w:rPr>
              <w:t>or staff to share, reflect and discuss</w:t>
            </w:r>
          </w:p>
          <w:p w:rsidR="00EA440A" w:rsidRDefault="00EA440A" w:rsidP="00EA440A"/>
          <w:p w:rsidR="00150C7B" w:rsidRDefault="00150C7B" w:rsidP="00EA440A">
            <w:pPr>
              <w:pStyle w:val="Default"/>
              <w:tabs>
                <w:tab w:val="left" w:pos="2805"/>
              </w:tabs>
              <w:jc w:val="center"/>
              <w:rPr>
                <w:rFonts w:asciiTheme="minorHAnsi" w:hAnsiTheme="minorHAnsi"/>
                <w:b/>
                <w:sz w:val="22"/>
                <w:szCs w:val="22"/>
              </w:rPr>
            </w:pPr>
          </w:p>
          <w:p w:rsidR="00150C7B" w:rsidRDefault="00150C7B" w:rsidP="00EA440A">
            <w:pPr>
              <w:pStyle w:val="Default"/>
              <w:tabs>
                <w:tab w:val="left" w:pos="2805"/>
              </w:tabs>
              <w:rPr>
                <w:rFonts w:asciiTheme="minorHAnsi" w:hAnsiTheme="minorHAnsi"/>
                <w:b/>
                <w:sz w:val="22"/>
                <w:szCs w:val="22"/>
              </w:rPr>
            </w:pPr>
          </w:p>
        </w:tc>
      </w:tr>
      <w:tr w:rsidR="00150C7B" w:rsidTr="00480725">
        <w:trPr>
          <w:trHeight w:val="420"/>
        </w:trPr>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17E1" w:rsidRPr="00480725" w:rsidRDefault="00480725" w:rsidP="00480725">
            <w:pPr>
              <w:pStyle w:val="NoSpacing"/>
              <w:rPr>
                <w:rFonts w:asciiTheme="minorHAnsi" w:hAnsiTheme="minorHAnsi" w:cstheme="minorHAnsi"/>
                <w:b/>
                <w:sz w:val="28"/>
                <w:szCs w:val="28"/>
              </w:rPr>
            </w:pPr>
            <w:r>
              <w:rPr>
                <w:rFonts w:asciiTheme="minorHAnsi" w:hAnsiTheme="minorHAnsi" w:cstheme="minorHAnsi"/>
                <w:b/>
                <w:sz w:val="28"/>
                <w:szCs w:val="28"/>
              </w:rPr>
              <w:t>1.</w:t>
            </w:r>
            <w:r w:rsidRPr="00480725">
              <w:rPr>
                <w:rFonts w:asciiTheme="minorHAnsi" w:hAnsiTheme="minorHAnsi" w:cstheme="minorHAnsi"/>
                <w:b/>
                <w:sz w:val="28"/>
                <w:szCs w:val="28"/>
              </w:rPr>
              <w:t xml:space="preserve">Theme </w:t>
            </w:r>
          </w:p>
        </w:tc>
        <w:tc>
          <w:tcPr>
            <w:tcW w:w="11340" w:type="dxa"/>
            <w:tcBorders>
              <w:top w:val="single" w:sz="4" w:space="0" w:color="auto"/>
              <w:left w:val="single" w:sz="4" w:space="0" w:color="auto"/>
              <w:bottom w:val="single" w:sz="4" w:space="0" w:color="auto"/>
              <w:right w:val="single" w:sz="4" w:space="0" w:color="auto"/>
            </w:tcBorders>
            <w:shd w:val="clear" w:color="auto" w:fill="FFFFFF" w:themeFill="background1"/>
          </w:tcPr>
          <w:p w:rsidR="003E47A2" w:rsidRPr="00601854" w:rsidRDefault="00601854" w:rsidP="005257DC">
            <w:pPr>
              <w:pStyle w:val="Default"/>
              <w:spacing w:before="120"/>
              <w:rPr>
                <w:rFonts w:asciiTheme="minorHAnsi" w:hAnsiTheme="minorHAnsi"/>
                <w:b/>
                <w:sz w:val="28"/>
                <w:szCs w:val="28"/>
              </w:rPr>
            </w:pPr>
            <w:r w:rsidRPr="00601854">
              <w:rPr>
                <w:rFonts w:asciiTheme="minorHAnsi" w:hAnsiTheme="minorHAnsi"/>
                <w:b/>
                <w:sz w:val="28"/>
                <w:szCs w:val="28"/>
              </w:rPr>
              <w:t xml:space="preserve">Re-referrals </w:t>
            </w:r>
          </w:p>
        </w:tc>
      </w:tr>
      <w:tr w:rsidR="00150C7B" w:rsidTr="00480725">
        <w:trPr>
          <w:trHeight w:val="420"/>
        </w:trPr>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17E1" w:rsidRPr="00480725" w:rsidRDefault="00480725" w:rsidP="00480725">
            <w:pPr>
              <w:pStyle w:val="Default"/>
              <w:rPr>
                <w:rFonts w:asciiTheme="minorHAnsi" w:hAnsiTheme="minorHAnsi"/>
                <w:sz w:val="22"/>
                <w:szCs w:val="22"/>
              </w:rPr>
            </w:pPr>
            <w:r>
              <w:rPr>
                <w:rFonts w:asciiTheme="minorHAnsi" w:hAnsiTheme="minorHAnsi"/>
                <w:b/>
                <w:sz w:val="28"/>
                <w:szCs w:val="28"/>
              </w:rPr>
              <w:t>2.</w:t>
            </w:r>
            <w:r w:rsidRPr="00480725">
              <w:rPr>
                <w:rFonts w:asciiTheme="minorHAnsi" w:hAnsiTheme="minorHAnsi"/>
                <w:b/>
                <w:sz w:val="28"/>
                <w:szCs w:val="28"/>
              </w:rPr>
              <w:t xml:space="preserve">Methadology </w:t>
            </w:r>
            <w:r>
              <w:rPr>
                <w:rFonts w:asciiTheme="minorHAnsi" w:hAnsiTheme="minorHAnsi"/>
                <w:sz w:val="22"/>
                <w:szCs w:val="22"/>
              </w:rPr>
              <w:t>(reasons for audit)</w:t>
            </w:r>
          </w:p>
        </w:tc>
        <w:tc>
          <w:tcPr>
            <w:tcW w:w="1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1854" w:rsidRDefault="00601854" w:rsidP="00601854">
            <w:pPr>
              <w:autoSpaceDE w:val="0"/>
              <w:autoSpaceDN w:val="0"/>
              <w:adjustRightInd w:val="0"/>
              <w:jc w:val="both"/>
              <w:rPr>
                <w:rFonts w:ascii="Calibri" w:hAnsi="Calibri" w:cs="Arial"/>
                <w:color w:val="000000"/>
                <w:lang w:eastAsia="en-GB"/>
              </w:rPr>
            </w:pPr>
            <w:r>
              <w:rPr>
                <w:rFonts w:ascii="Calibri" w:hAnsi="Calibri" w:cs="Arial"/>
                <w:color w:val="000000"/>
                <w:lang w:eastAsia="en-GB"/>
              </w:rPr>
              <w:t>Managers reviewed the previous six months of the child’s case file and used the CareFirst Signs of Safety audit tool. In addition, the following eight thematic questions were answered:</w:t>
            </w:r>
          </w:p>
          <w:p w:rsidR="00601854" w:rsidRDefault="00601854" w:rsidP="00601854">
            <w:pPr>
              <w:autoSpaceDE w:val="0"/>
              <w:autoSpaceDN w:val="0"/>
              <w:adjustRightInd w:val="0"/>
              <w:jc w:val="both"/>
              <w:rPr>
                <w:rFonts w:ascii="Calibri" w:hAnsi="Calibri" w:cs="Arial"/>
                <w:color w:val="000000"/>
                <w:lang w:eastAsia="en-GB"/>
              </w:rPr>
            </w:pPr>
          </w:p>
          <w:p w:rsidR="00601854" w:rsidRDefault="00601854" w:rsidP="00601854">
            <w:pPr>
              <w:pStyle w:val="ListParagraph"/>
              <w:numPr>
                <w:ilvl w:val="0"/>
                <w:numId w:val="10"/>
              </w:numPr>
              <w:autoSpaceDE w:val="0"/>
              <w:autoSpaceDN w:val="0"/>
              <w:adjustRightInd w:val="0"/>
              <w:jc w:val="both"/>
              <w:rPr>
                <w:lang w:eastAsia="en-GB"/>
              </w:rPr>
            </w:pPr>
            <w:r>
              <w:rPr>
                <w:lang w:eastAsia="en-GB"/>
              </w:rPr>
              <w:t>Are the issues highlighted in the re-referral the same as previous concerns?</w:t>
            </w:r>
          </w:p>
          <w:p w:rsidR="00601854" w:rsidRDefault="00601854" w:rsidP="00601854">
            <w:pPr>
              <w:pStyle w:val="ListParagraph"/>
              <w:numPr>
                <w:ilvl w:val="0"/>
                <w:numId w:val="10"/>
              </w:numPr>
              <w:autoSpaceDE w:val="0"/>
              <w:autoSpaceDN w:val="0"/>
              <w:adjustRightInd w:val="0"/>
              <w:jc w:val="both"/>
              <w:rPr>
                <w:lang w:eastAsia="en-GB"/>
              </w:rPr>
            </w:pPr>
            <w:r>
              <w:rPr>
                <w:lang w:eastAsia="en-GB"/>
              </w:rPr>
              <w:t>If the previous assessment was abandoned, was there appropriate management rationale for this?</w:t>
            </w:r>
          </w:p>
          <w:p w:rsidR="00601854" w:rsidRDefault="00601854" w:rsidP="00601854">
            <w:pPr>
              <w:pStyle w:val="ListParagraph"/>
              <w:numPr>
                <w:ilvl w:val="0"/>
                <w:numId w:val="10"/>
              </w:numPr>
              <w:autoSpaceDE w:val="0"/>
              <w:autoSpaceDN w:val="0"/>
              <w:adjustRightInd w:val="0"/>
              <w:jc w:val="both"/>
              <w:rPr>
                <w:lang w:eastAsia="en-GB"/>
              </w:rPr>
            </w:pPr>
            <w:r>
              <w:rPr>
                <w:lang w:eastAsia="en-GB"/>
              </w:rPr>
              <w:t>Did previous interventions address identify risks?</w:t>
            </w:r>
          </w:p>
          <w:p w:rsidR="00601854" w:rsidRDefault="00601854" w:rsidP="00601854">
            <w:pPr>
              <w:pStyle w:val="ListParagraph"/>
              <w:numPr>
                <w:ilvl w:val="0"/>
                <w:numId w:val="10"/>
              </w:numPr>
              <w:autoSpaceDE w:val="0"/>
              <w:autoSpaceDN w:val="0"/>
              <w:adjustRightInd w:val="0"/>
              <w:jc w:val="both"/>
              <w:rPr>
                <w:lang w:eastAsia="en-GB"/>
              </w:rPr>
            </w:pPr>
            <w:r>
              <w:rPr>
                <w:lang w:eastAsia="en-GB"/>
              </w:rPr>
              <w:t>What work, if any, was outstanding when case was last closed?</w:t>
            </w:r>
          </w:p>
          <w:p w:rsidR="00601854" w:rsidRDefault="00601854" w:rsidP="00601854">
            <w:pPr>
              <w:pStyle w:val="ListParagraph"/>
              <w:numPr>
                <w:ilvl w:val="0"/>
                <w:numId w:val="10"/>
              </w:numPr>
              <w:autoSpaceDE w:val="0"/>
              <w:autoSpaceDN w:val="0"/>
              <w:adjustRightInd w:val="0"/>
              <w:jc w:val="both"/>
              <w:rPr>
                <w:lang w:eastAsia="en-GB"/>
              </w:rPr>
            </w:pPr>
            <w:r>
              <w:rPr>
                <w:lang w:eastAsia="en-GB"/>
              </w:rPr>
              <w:t>Was the role for partner agencies made clear to them at point of closure / step-down?</w:t>
            </w:r>
          </w:p>
          <w:p w:rsidR="00601854" w:rsidRDefault="00601854" w:rsidP="00601854">
            <w:pPr>
              <w:pStyle w:val="ListParagraph"/>
              <w:numPr>
                <w:ilvl w:val="0"/>
                <w:numId w:val="10"/>
              </w:numPr>
              <w:autoSpaceDE w:val="0"/>
              <w:autoSpaceDN w:val="0"/>
              <w:adjustRightInd w:val="0"/>
              <w:jc w:val="both"/>
              <w:rPr>
                <w:lang w:eastAsia="en-GB"/>
              </w:rPr>
            </w:pPr>
            <w:r>
              <w:rPr>
                <w:lang w:eastAsia="en-GB"/>
              </w:rPr>
              <w:t>Was a Safety Plan in place at time of closure?</w:t>
            </w:r>
          </w:p>
          <w:p w:rsidR="00601854" w:rsidRPr="00A53C50" w:rsidRDefault="00601854" w:rsidP="00601854">
            <w:pPr>
              <w:pStyle w:val="ListParagraph"/>
              <w:numPr>
                <w:ilvl w:val="0"/>
                <w:numId w:val="10"/>
              </w:numPr>
              <w:autoSpaceDE w:val="0"/>
              <w:autoSpaceDN w:val="0"/>
              <w:adjustRightInd w:val="0"/>
              <w:jc w:val="both"/>
              <w:rPr>
                <w:lang w:eastAsia="en-GB"/>
              </w:rPr>
            </w:pPr>
            <w:r>
              <w:rPr>
                <w:lang w:eastAsia="en-GB"/>
              </w:rPr>
              <w:t>Was the decision to close underpinned by appropriate management advice?</w:t>
            </w:r>
          </w:p>
          <w:p w:rsidR="00601854" w:rsidRDefault="00601854" w:rsidP="00601854">
            <w:pPr>
              <w:pStyle w:val="ListParagraph"/>
              <w:numPr>
                <w:ilvl w:val="0"/>
                <w:numId w:val="10"/>
              </w:numPr>
              <w:autoSpaceDE w:val="0"/>
              <w:autoSpaceDN w:val="0"/>
              <w:adjustRightInd w:val="0"/>
              <w:jc w:val="both"/>
            </w:pPr>
            <w:r>
              <w:t>Identify examples of good practice</w:t>
            </w:r>
          </w:p>
          <w:p w:rsidR="00150C7B" w:rsidRDefault="00150C7B" w:rsidP="00E71C2F">
            <w:pPr>
              <w:pStyle w:val="Default"/>
              <w:rPr>
                <w:rFonts w:asciiTheme="minorHAnsi" w:hAnsiTheme="minorHAnsi"/>
                <w:b/>
                <w:sz w:val="22"/>
                <w:szCs w:val="22"/>
              </w:rPr>
            </w:pPr>
          </w:p>
        </w:tc>
      </w:tr>
      <w:tr w:rsidR="008E6637" w:rsidTr="00480725">
        <w:trPr>
          <w:trHeight w:val="766"/>
        </w:trPr>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7145" w:rsidRDefault="00480725" w:rsidP="00480725">
            <w:pPr>
              <w:pStyle w:val="Default"/>
              <w:rPr>
                <w:rFonts w:asciiTheme="minorHAnsi" w:hAnsiTheme="minorHAnsi"/>
                <w:b/>
                <w:sz w:val="28"/>
                <w:szCs w:val="28"/>
              </w:rPr>
            </w:pPr>
            <w:r w:rsidRPr="00480725">
              <w:rPr>
                <w:rFonts w:asciiTheme="minorHAnsi" w:hAnsiTheme="minorHAnsi"/>
                <w:b/>
                <w:sz w:val="28"/>
                <w:szCs w:val="28"/>
              </w:rPr>
              <w:t xml:space="preserve">3.Summary of </w:t>
            </w:r>
            <w:r>
              <w:rPr>
                <w:rFonts w:asciiTheme="minorHAnsi" w:hAnsiTheme="minorHAnsi"/>
                <w:b/>
                <w:sz w:val="28"/>
                <w:szCs w:val="28"/>
              </w:rPr>
              <w:t xml:space="preserve">     </w:t>
            </w:r>
            <w:r w:rsidRPr="00480725">
              <w:rPr>
                <w:rFonts w:asciiTheme="minorHAnsi" w:hAnsiTheme="minorHAnsi"/>
                <w:b/>
                <w:sz w:val="28"/>
                <w:szCs w:val="28"/>
              </w:rPr>
              <w:t>findings</w:t>
            </w:r>
          </w:p>
          <w:p w:rsidR="008E6637" w:rsidRPr="00480725" w:rsidRDefault="00480725" w:rsidP="00480725">
            <w:pPr>
              <w:pStyle w:val="Default"/>
              <w:rPr>
                <w:rFonts w:asciiTheme="minorHAnsi" w:hAnsiTheme="minorHAnsi"/>
                <w:sz w:val="22"/>
                <w:szCs w:val="22"/>
              </w:rPr>
            </w:pPr>
            <w:r w:rsidRPr="00480725">
              <w:rPr>
                <w:rFonts w:asciiTheme="minorHAnsi" w:hAnsiTheme="minorHAnsi"/>
                <w:b/>
                <w:sz w:val="28"/>
                <w:szCs w:val="28"/>
              </w:rPr>
              <w:t xml:space="preserve"> </w:t>
            </w:r>
            <w:r>
              <w:rPr>
                <w:rFonts w:asciiTheme="minorHAnsi" w:hAnsiTheme="minorHAnsi"/>
                <w:sz w:val="22"/>
                <w:szCs w:val="22"/>
              </w:rPr>
              <w:t>(positives &amp; worries)</w:t>
            </w:r>
          </w:p>
        </w:tc>
        <w:tc>
          <w:tcPr>
            <w:tcW w:w="1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1854" w:rsidRDefault="00601854" w:rsidP="00601854">
            <w:pPr>
              <w:autoSpaceDE w:val="0"/>
              <w:autoSpaceDN w:val="0"/>
              <w:adjustRightInd w:val="0"/>
              <w:rPr>
                <w:rFonts w:ascii="Calibri" w:hAnsi="Calibri" w:cs="Arial"/>
                <w:color w:val="000000"/>
                <w:lang w:eastAsia="en-GB"/>
              </w:rPr>
            </w:pPr>
            <w:r>
              <w:rPr>
                <w:rFonts w:ascii="Calibri" w:hAnsi="Calibri" w:cs="Arial"/>
                <w:color w:val="000000"/>
                <w:lang w:eastAsia="en-GB"/>
              </w:rPr>
              <w:t xml:space="preserve">Auditors found good evidence that practitioners were able to identify risk and undertake assessments to address the risk to children. The majority of the cases previously opened also evidenced no outstanding work at the times of case closure. This indicates that social workers have a good understanding of risk to children, and can therefore action planning to address the risk and safeguard children. </w:t>
            </w:r>
          </w:p>
          <w:p w:rsidR="00601854" w:rsidRDefault="00601854" w:rsidP="00601854">
            <w:pPr>
              <w:autoSpaceDE w:val="0"/>
              <w:autoSpaceDN w:val="0"/>
              <w:adjustRightInd w:val="0"/>
              <w:rPr>
                <w:rFonts w:ascii="Calibri" w:hAnsi="Calibri" w:cs="Arial"/>
                <w:color w:val="000000"/>
                <w:lang w:eastAsia="en-GB"/>
              </w:rPr>
            </w:pPr>
          </w:p>
          <w:p w:rsidR="008E6637" w:rsidRDefault="00601854" w:rsidP="00601854">
            <w:pPr>
              <w:pStyle w:val="Default"/>
              <w:rPr>
                <w:rFonts w:ascii="Calibri" w:hAnsi="Calibri"/>
              </w:rPr>
            </w:pPr>
            <w:r>
              <w:rPr>
                <w:rFonts w:ascii="Calibri" w:hAnsi="Calibri"/>
              </w:rPr>
              <w:t xml:space="preserve">Referrals from partner agencies, who were also able to identify risk to the children, evidences that partner agencies are working in collaboration with CFN to provide safeguarding towards children. </w:t>
            </w:r>
          </w:p>
          <w:p w:rsidR="00196AC3" w:rsidRDefault="00196AC3" w:rsidP="00601854">
            <w:pPr>
              <w:autoSpaceDE w:val="0"/>
              <w:autoSpaceDN w:val="0"/>
              <w:adjustRightInd w:val="0"/>
              <w:rPr>
                <w:rFonts w:ascii="Calibri" w:hAnsi="Calibri" w:cs="Arial"/>
                <w:color w:val="000000"/>
                <w:lang w:eastAsia="en-GB"/>
              </w:rPr>
            </w:pPr>
          </w:p>
          <w:p w:rsidR="00196AC3" w:rsidRDefault="00196AC3" w:rsidP="00601854">
            <w:pPr>
              <w:autoSpaceDE w:val="0"/>
              <w:autoSpaceDN w:val="0"/>
              <w:adjustRightInd w:val="0"/>
              <w:rPr>
                <w:rFonts w:ascii="Calibri" w:hAnsi="Calibri" w:cs="Arial"/>
                <w:color w:val="000000"/>
                <w:lang w:eastAsia="en-GB"/>
              </w:rPr>
            </w:pPr>
            <w:r>
              <w:rPr>
                <w:rFonts w:ascii="Calibri" w:hAnsi="Calibri" w:cs="Arial"/>
                <w:color w:val="000000"/>
                <w:lang w:eastAsia="en-GB"/>
              </w:rPr>
              <w:t xml:space="preserve">The audit identified gaps in ‘direct work’ practice. Notwithstanding the current challenges around Covid-19, </w:t>
            </w:r>
            <w:r w:rsidR="007356F3">
              <w:rPr>
                <w:rFonts w:ascii="Calibri" w:hAnsi="Calibri" w:cs="Arial"/>
                <w:color w:val="000000"/>
                <w:lang w:eastAsia="en-GB"/>
              </w:rPr>
              <w:t xml:space="preserve">there was minimal evidence of direct work being undertaken with children, young people, and their parents. </w:t>
            </w:r>
          </w:p>
          <w:p w:rsidR="007356F3" w:rsidRDefault="007356F3" w:rsidP="00601854">
            <w:pPr>
              <w:autoSpaceDE w:val="0"/>
              <w:autoSpaceDN w:val="0"/>
              <w:adjustRightInd w:val="0"/>
              <w:rPr>
                <w:rFonts w:ascii="Calibri" w:hAnsi="Calibri" w:cs="Arial"/>
                <w:color w:val="000000"/>
                <w:lang w:eastAsia="en-GB"/>
              </w:rPr>
            </w:pPr>
          </w:p>
          <w:p w:rsidR="007356F3" w:rsidRDefault="007356F3" w:rsidP="00601854">
            <w:pPr>
              <w:autoSpaceDE w:val="0"/>
              <w:autoSpaceDN w:val="0"/>
              <w:adjustRightInd w:val="0"/>
              <w:rPr>
                <w:rFonts w:ascii="Calibri" w:hAnsi="Calibri" w:cs="Arial"/>
                <w:color w:val="000000"/>
                <w:lang w:eastAsia="en-GB"/>
              </w:rPr>
            </w:pPr>
            <w:r>
              <w:rPr>
                <w:rFonts w:ascii="Calibri" w:hAnsi="Calibri" w:cs="Arial"/>
                <w:color w:val="000000"/>
                <w:lang w:eastAsia="en-GB"/>
              </w:rPr>
              <w:t xml:space="preserve">Meaningful and effective Signs of Safety practice was not consistently evident within the case audits. Audits did recognise Signs of Safety practice being used sporadically, however the quality and effective use of Danger Statements – Safety Goals, Safety Planning, Direct Work tools and scaling was not consistent. </w:t>
            </w:r>
          </w:p>
          <w:p w:rsidR="00601854" w:rsidRDefault="00601854" w:rsidP="00601854">
            <w:pPr>
              <w:autoSpaceDE w:val="0"/>
              <w:autoSpaceDN w:val="0"/>
              <w:adjustRightInd w:val="0"/>
              <w:rPr>
                <w:rFonts w:asciiTheme="minorHAnsi" w:hAnsiTheme="minorHAnsi"/>
                <w:b/>
                <w:sz w:val="22"/>
                <w:szCs w:val="22"/>
              </w:rPr>
            </w:pPr>
          </w:p>
        </w:tc>
      </w:tr>
      <w:tr w:rsidR="005257DC" w:rsidTr="00480725">
        <w:trPr>
          <w:trHeight w:val="420"/>
        </w:trPr>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7145" w:rsidRDefault="00480725" w:rsidP="00402F17">
            <w:pPr>
              <w:pStyle w:val="Default"/>
              <w:rPr>
                <w:rFonts w:asciiTheme="minorHAnsi" w:hAnsiTheme="minorHAnsi"/>
                <w:b/>
                <w:sz w:val="28"/>
                <w:szCs w:val="28"/>
              </w:rPr>
            </w:pPr>
            <w:r w:rsidRPr="00480725">
              <w:rPr>
                <w:rFonts w:asciiTheme="minorHAnsi" w:hAnsiTheme="minorHAnsi"/>
                <w:b/>
                <w:sz w:val="28"/>
                <w:szCs w:val="28"/>
              </w:rPr>
              <w:t>4.Learning</w:t>
            </w:r>
            <w:r w:rsidR="003B0FAD">
              <w:rPr>
                <w:rFonts w:asciiTheme="minorHAnsi" w:hAnsiTheme="minorHAnsi"/>
                <w:b/>
                <w:sz w:val="28"/>
                <w:szCs w:val="28"/>
              </w:rPr>
              <w:t xml:space="preserve"> </w:t>
            </w:r>
          </w:p>
          <w:p w:rsidR="005257DC" w:rsidRPr="00237145" w:rsidRDefault="00480725" w:rsidP="00402F17">
            <w:pPr>
              <w:pStyle w:val="Default"/>
              <w:rPr>
                <w:rFonts w:asciiTheme="minorHAnsi" w:hAnsiTheme="minorHAnsi"/>
                <w:b/>
                <w:sz w:val="28"/>
                <w:szCs w:val="28"/>
              </w:rPr>
            </w:pPr>
            <w:r>
              <w:rPr>
                <w:rFonts w:asciiTheme="minorHAnsi" w:hAnsiTheme="minorHAnsi"/>
                <w:b/>
                <w:sz w:val="28"/>
                <w:szCs w:val="28"/>
              </w:rPr>
              <w:t xml:space="preserve"> </w:t>
            </w:r>
            <w:r w:rsidR="00237145">
              <w:rPr>
                <w:rFonts w:asciiTheme="minorHAnsi" w:hAnsiTheme="minorHAnsi"/>
                <w:sz w:val="22"/>
                <w:szCs w:val="22"/>
              </w:rPr>
              <w:t>(examples of good practice</w:t>
            </w:r>
            <w:r w:rsidR="00EA440A">
              <w:rPr>
                <w:rFonts w:asciiTheme="minorHAnsi" w:hAnsiTheme="minorHAnsi"/>
                <w:sz w:val="22"/>
                <w:szCs w:val="22"/>
              </w:rPr>
              <w:t>,</w:t>
            </w:r>
            <w:r w:rsidR="00237145">
              <w:rPr>
                <w:rFonts w:asciiTheme="minorHAnsi" w:hAnsiTheme="minorHAnsi"/>
                <w:sz w:val="22"/>
                <w:szCs w:val="22"/>
              </w:rPr>
              <w:t xml:space="preserve"> and areas for improvement identified) </w:t>
            </w:r>
          </w:p>
          <w:p w:rsidR="00480725" w:rsidRDefault="00480725" w:rsidP="00402F17">
            <w:pPr>
              <w:pStyle w:val="Default"/>
              <w:rPr>
                <w:rFonts w:asciiTheme="minorHAnsi" w:hAnsiTheme="minorHAnsi"/>
                <w:b/>
                <w:sz w:val="22"/>
                <w:szCs w:val="22"/>
              </w:rPr>
            </w:pPr>
          </w:p>
        </w:tc>
        <w:tc>
          <w:tcPr>
            <w:tcW w:w="1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3FF9" w:rsidRDefault="00B03FF9" w:rsidP="00B03FF9">
            <w:pPr>
              <w:autoSpaceDE w:val="0"/>
              <w:autoSpaceDN w:val="0"/>
              <w:adjustRightInd w:val="0"/>
              <w:rPr>
                <w:rFonts w:ascii="Calibri" w:hAnsi="Calibri" w:cs="Arial"/>
                <w:color w:val="000000"/>
                <w:lang w:eastAsia="en-GB"/>
              </w:rPr>
            </w:pPr>
            <w:r>
              <w:rPr>
                <w:rFonts w:ascii="Calibri" w:hAnsi="Calibri" w:cs="Arial"/>
                <w:color w:val="000000"/>
                <w:lang w:eastAsia="en-GB"/>
              </w:rPr>
              <w:t xml:space="preserve"> Auditors found good evidence that practitioners were able to identify risk and undertake assessments to address the risk to children. The majority of the cases previously opened also evidenced no outstanding work at the times of case closure. This indicates that social workers have a good understanding of risk to children, and can therefore action planning to address the risk and safeguard children. </w:t>
            </w:r>
          </w:p>
          <w:p w:rsidR="005257DC" w:rsidRDefault="00B03FF9" w:rsidP="00B03FF9">
            <w:pPr>
              <w:pStyle w:val="Default"/>
              <w:rPr>
                <w:rFonts w:ascii="Calibri" w:hAnsi="Calibri"/>
              </w:rPr>
            </w:pPr>
            <w:r>
              <w:rPr>
                <w:rFonts w:ascii="Calibri" w:hAnsi="Calibri"/>
              </w:rPr>
              <w:t>Referrals from partner agencies, who were also able to identify risk to the children, evidences that partner agencies are working in collaboration with CFN to provide safeguarding towards children.</w:t>
            </w:r>
          </w:p>
          <w:p w:rsidR="00B03FF9" w:rsidRDefault="00B03FF9" w:rsidP="00B03FF9">
            <w:pPr>
              <w:pStyle w:val="Default"/>
              <w:rPr>
                <w:rFonts w:ascii="Calibri" w:hAnsi="Calibri"/>
              </w:rPr>
            </w:pPr>
          </w:p>
          <w:p w:rsidR="00B03FF9" w:rsidRDefault="00B03FF9" w:rsidP="00B03FF9">
            <w:pPr>
              <w:autoSpaceDE w:val="0"/>
              <w:autoSpaceDN w:val="0"/>
              <w:adjustRightInd w:val="0"/>
              <w:rPr>
                <w:rFonts w:ascii="Calibri" w:hAnsi="Calibri" w:cs="Arial"/>
                <w:color w:val="000000"/>
                <w:lang w:eastAsia="en-GB"/>
              </w:rPr>
            </w:pPr>
            <w:r>
              <w:rPr>
                <w:rFonts w:ascii="Calibri" w:hAnsi="Calibri" w:cs="Arial"/>
                <w:color w:val="000000"/>
                <w:lang w:eastAsia="en-GB"/>
              </w:rPr>
              <w:t xml:space="preserve">Evidence from the audit would suggest that there are cases being closed down without robust safety planning in place. Rather than children and families </w:t>
            </w:r>
            <w:proofErr w:type="spellStart"/>
            <w:r>
              <w:rPr>
                <w:rFonts w:ascii="Calibri" w:hAnsi="Calibri" w:cs="Arial"/>
                <w:color w:val="000000"/>
                <w:lang w:eastAsia="en-GB"/>
              </w:rPr>
              <w:t>actioning</w:t>
            </w:r>
            <w:proofErr w:type="spellEnd"/>
            <w:r>
              <w:rPr>
                <w:rFonts w:ascii="Calibri" w:hAnsi="Calibri" w:cs="Arial"/>
                <w:color w:val="000000"/>
                <w:lang w:eastAsia="en-GB"/>
              </w:rPr>
              <w:t xml:space="preserve"> and ‘owning’ their own safety plans, cases are being re-referred to CFN. </w:t>
            </w:r>
          </w:p>
          <w:p w:rsidR="00B03FF9" w:rsidRDefault="00B03FF9" w:rsidP="00B03FF9">
            <w:pPr>
              <w:autoSpaceDE w:val="0"/>
              <w:autoSpaceDN w:val="0"/>
              <w:adjustRightInd w:val="0"/>
              <w:rPr>
                <w:rFonts w:ascii="Calibri" w:hAnsi="Calibri" w:cs="Arial"/>
                <w:color w:val="000000"/>
                <w:lang w:eastAsia="en-GB"/>
              </w:rPr>
            </w:pPr>
          </w:p>
          <w:p w:rsidR="00B03FF9" w:rsidRDefault="00B03FF9" w:rsidP="00B03FF9">
            <w:pPr>
              <w:autoSpaceDE w:val="0"/>
              <w:autoSpaceDN w:val="0"/>
              <w:adjustRightInd w:val="0"/>
              <w:rPr>
                <w:rFonts w:ascii="Calibri" w:hAnsi="Calibri" w:cs="Arial"/>
                <w:color w:val="000000"/>
                <w:lang w:eastAsia="en-GB"/>
              </w:rPr>
            </w:pPr>
            <w:r>
              <w:rPr>
                <w:rFonts w:ascii="Calibri" w:hAnsi="Calibri" w:cs="Arial"/>
                <w:color w:val="000000"/>
                <w:lang w:eastAsia="en-GB"/>
              </w:rPr>
              <w:t xml:space="preserve">The audit evidenced that Signs of Safety practice is not consistent with practitioners lacking a meaningful understanding of the methodology and practice framework. </w:t>
            </w:r>
          </w:p>
          <w:p w:rsidR="00B03FF9" w:rsidRDefault="00B03FF9" w:rsidP="00B03FF9">
            <w:pPr>
              <w:pStyle w:val="Default"/>
              <w:rPr>
                <w:rFonts w:asciiTheme="minorHAnsi" w:hAnsiTheme="minorHAnsi"/>
                <w:b/>
                <w:sz w:val="22"/>
                <w:szCs w:val="22"/>
              </w:rPr>
            </w:pPr>
          </w:p>
        </w:tc>
      </w:tr>
      <w:tr w:rsidR="008E6637" w:rsidTr="00480725">
        <w:trPr>
          <w:trHeight w:val="420"/>
        </w:trPr>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7145" w:rsidRDefault="00480725" w:rsidP="00E71C2F">
            <w:pPr>
              <w:pStyle w:val="Default"/>
              <w:rPr>
                <w:rFonts w:asciiTheme="minorHAnsi" w:hAnsiTheme="minorHAnsi"/>
                <w:b/>
                <w:sz w:val="28"/>
                <w:szCs w:val="28"/>
              </w:rPr>
            </w:pPr>
            <w:r w:rsidRPr="00480725">
              <w:rPr>
                <w:rFonts w:asciiTheme="minorHAnsi" w:hAnsiTheme="minorHAnsi"/>
                <w:b/>
                <w:sz w:val="28"/>
                <w:szCs w:val="28"/>
              </w:rPr>
              <w:t>5.Recomendations</w:t>
            </w:r>
          </w:p>
          <w:p w:rsidR="008E6637" w:rsidRPr="00237145" w:rsidRDefault="00237145" w:rsidP="00E71C2F">
            <w:pPr>
              <w:pStyle w:val="Default"/>
              <w:rPr>
                <w:rFonts w:asciiTheme="minorHAnsi" w:hAnsiTheme="minorHAnsi"/>
                <w:sz w:val="22"/>
                <w:szCs w:val="22"/>
              </w:rPr>
            </w:pPr>
            <w:r>
              <w:rPr>
                <w:rFonts w:asciiTheme="minorHAnsi" w:hAnsiTheme="minorHAnsi"/>
                <w:sz w:val="22"/>
                <w:szCs w:val="22"/>
              </w:rPr>
              <w:t xml:space="preserve">(what needs to happen to move up the </w:t>
            </w:r>
            <w:r w:rsidR="00934128">
              <w:rPr>
                <w:rFonts w:asciiTheme="minorHAnsi" w:hAnsiTheme="minorHAnsi"/>
                <w:sz w:val="22"/>
                <w:szCs w:val="22"/>
              </w:rPr>
              <w:t xml:space="preserve"> </w:t>
            </w:r>
            <w:r w:rsidR="00934128" w:rsidRPr="00934128">
              <w:rPr>
                <w:rFonts w:asciiTheme="minorHAnsi" w:hAnsiTheme="minorHAnsi"/>
                <w:i/>
                <w:sz w:val="22"/>
                <w:szCs w:val="22"/>
              </w:rPr>
              <w:t>0 – 10</w:t>
            </w:r>
            <w:r w:rsidR="00934128">
              <w:rPr>
                <w:rFonts w:asciiTheme="minorHAnsi" w:hAnsiTheme="minorHAnsi"/>
                <w:sz w:val="22"/>
                <w:szCs w:val="22"/>
              </w:rPr>
              <w:t xml:space="preserve"> </w:t>
            </w:r>
            <w:r>
              <w:rPr>
                <w:rFonts w:asciiTheme="minorHAnsi" w:hAnsiTheme="minorHAnsi"/>
                <w:sz w:val="22"/>
                <w:szCs w:val="22"/>
              </w:rPr>
              <w:t>scale</w:t>
            </w:r>
            <w:r w:rsidR="00934128">
              <w:rPr>
                <w:rFonts w:asciiTheme="minorHAnsi" w:hAnsiTheme="minorHAnsi"/>
                <w:sz w:val="22"/>
                <w:szCs w:val="22"/>
              </w:rPr>
              <w:t>)</w:t>
            </w:r>
          </w:p>
        </w:tc>
        <w:tc>
          <w:tcPr>
            <w:tcW w:w="1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0FAD" w:rsidRPr="003B0FAD" w:rsidRDefault="00601854" w:rsidP="005F75AD">
            <w:pPr>
              <w:pStyle w:val="ListParagraph"/>
              <w:numPr>
                <w:ilvl w:val="0"/>
                <w:numId w:val="11"/>
              </w:numPr>
              <w:autoSpaceDE w:val="0"/>
              <w:autoSpaceDN w:val="0"/>
              <w:adjustRightInd w:val="0"/>
              <w:jc w:val="both"/>
              <w:rPr>
                <w:rFonts w:ascii="Calibri" w:hAnsi="Calibri" w:cs="Arial"/>
                <w:b/>
                <w:color w:val="000000"/>
                <w:lang w:eastAsia="en-GB"/>
              </w:rPr>
            </w:pPr>
            <w:r w:rsidRPr="003B0FAD">
              <w:rPr>
                <w:rFonts w:ascii="Calibri" w:hAnsi="Calibri" w:cs="Arial"/>
                <w:b/>
                <w:color w:val="000000"/>
                <w:lang w:eastAsia="en-GB"/>
              </w:rPr>
              <w:t xml:space="preserve">Practitioners need to think more creatively about how they capture children’s wishes and feelings and deployment of direct work tools during the covid-19 period. </w:t>
            </w:r>
          </w:p>
          <w:p w:rsidR="00601854" w:rsidRPr="003B0FAD" w:rsidRDefault="00601854" w:rsidP="005F75AD">
            <w:pPr>
              <w:pStyle w:val="ListParagraph"/>
              <w:numPr>
                <w:ilvl w:val="0"/>
                <w:numId w:val="11"/>
              </w:numPr>
              <w:autoSpaceDE w:val="0"/>
              <w:autoSpaceDN w:val="0"/>
              <w:adjustRightInd w:val="0"/>
              <w:jc w:val="both"/>
              <w:rPr>
                <w:rFonts w:ascii="Calibri" w:hAnsi="Calibri" w:cs="Arial"/>
                <w:b/>
                <w:color w:val="000000"/>
                <w:lang w:eastAsia="en-GB"/>
              </w:rPr>
            </w:pPr>
            <w:r w:rsidRPr="003B0FAD">
              <w:rPr>
                <w:rFonts w:ascii="Calibri" w:hAnsi="Calibri" w:cs="Arial"/>
                <w:b/>
                <w:color w:val="000000"/>
                <w:lang w:eastAsia="en-GB"/>
              </w:rPr>
              <w:t xml:space="preserve">In order to mitigate the numbers of re-referrals raising the same or similar concerns at previous case closure, Social Work teams need to focus on quality of case closures – </w:t>
            </w:r>
          </w:p>
          <w:p w:rsidR="00601854" w:rsidRDefault="00601854" w:rsidP="00601854">
            <w:pPr>
              <w:pStyle w:val="ListParagraph"/>
              <w:numPr>
                <w:ilvl w:val="0"/>
                <w:numId w:val="12"/>
              </w:numPr>
              <w:autoSpaceDE w:val="0"/>
              <w:autoSpaceDN w:val="0"/>
              <w:adjustRightInd w:val="0"/>
              <w:jc w:val="both"/>
              <w:rPr>
                <w:rFonts w:ascii="Calibri" w:hAnsi="Calibri" w:cs="Arial"/>
                <w:b/>
                <w:color w:val="000000"/>
                <w:lang w:eastAsia="en-GB"/>
              </w:rPr>
            </w:pPr>
            <w:r>
              <w:rPr>
                <w:rFonts w:ascii="Calibri" w:hAnsi="Calibri" w:cs="Arial"/>
                <w:b/>
                <w:color w:val="000000"/>
                <w:lang w:eastAsia="en-GB"/>
              </w:rPr>
              <w:t>Where are the safety plans?</w:t>
            </w:r>
          </w:p>
          <w:p w:rsidR="00601854" w:rsidRDefault="00601854" w:rsidP="00601854">
            <w:pPr>
              <w:pStyle w:val="ListParagraph"/>
              <w:numPr>
                <w:ilvl w:val="0"/>
                <w:numId w:val="12"/>
              </w:numPr>
              <w:autoSpaceDE w:val="0"/>
              <w:autoSpaceDN w:val="0"/>
              <w:adjustRightInd w:val="0"/>
              <w:jc w:val="both"/>
              <w:rPr>
                <w:rFonts w:ascii="Calibri" w:hAnsi="Calibri" w:cs="Arial"/>
                <w:b/>
                <w:color w:val="000000"/>
                <w:lang w:eastAsia="en-GB"/>
              </w:rPr>
            </w:pPr>
            <w:r>
              <w:rPr>
                <w:rFonts w:ascii="Calibri" w:hAnsi="Calibri" w:cs="Arial"/>
                <w:b/>
                <w:color w:val="000000"/>
                <w:lang w:eastAsia="en-GB"/>
              </w:rPr>
              <w:t>Are there good enough plans in place?</w:t>
            </w:r>
          </w:p>
          <w:p w:rsidR="00601854" w:rsidRDefault="00601854" w:rsidP="00601854">
            <w:pPr>
              <w:pStyle w:val="ListParagraph"/>
              <w:numPr>
                <w:ilvl w:val="0"/>
                <w:numId w:val="12"/>
              </w:numPr>
              <w:autoSpaceDE w:val="0"/>
              <w:autoSpaceDN w:val="0"/>
              <w:adjustRightInd w:val="0"/>
              <w:jc w:val="both"/>
              <w:rPr>
                <w:rFonts w:ascii="Calibri" w:hAnsi="Calibri" w:cs="Arial"/>
                <w:b/>
                <w:color w:val="000000"/>
                <w:lang w:eastAsia="en-GB"/>
              </w:rPr>
            </w:pPr>
            <w:r>
              <w:rPr>
                <w:rFonts w:ascii="Calibri" w:hAnsi="Calibri" w:cs="Arial"/>
                <w:b/>
                <w:color w:val="000000"/>
                <w:lang w:eastAsia="en-GB"/>
              </w:rPr>
              <w:t>Are other involved agencies aware of the plans at closure?</w:t>
            </w:r>
          </w:p>
          <w:p w:rsidR="00601854" w:rsidRPr="003B0FAD" w:rsidRDefault="00601854" w:rsidP="00601854">
            <w:pPr>
              <w:pStyle w:val="ListParagraph"/>
              <w:numPr>
                <w:ilvl w:val="0"/>
                <w:numId w:val="12"/>
              </w:numPr>
              <w:autoSpaceDE w:val="0"/>
              <w:autoSpaceDN w:val="0"/>
              <w:adjustRightInd w:val="0"/>
              <w:jc w:val="both"/>
              <w:rPr>
                <w:rFonts w:ascii="Calibri" w:hAnsi="Calibri" w:cs="Arial"/>
                <w:b/>
                <w:color w:val="000000"/>
                <w:lang w:eastAsia="en-GB"/>
              </w:rPr>
            </w:pPr>
            <w:r>
              <w:rPr>
                <w:rFonts w:ascii="Calibri" w:hAnsi="Calibri" w:cs="Arial"/>
                <w:b/>
                <w:color w:val="000000"/>
                <w:lang w:eastAsia="en-GB"/>
              </w:rPr>
              <w:t>Is there good enough management oversight?</w:t>
            </w:r>
          </w:p>
          <w:p w:rsidR="003B0FAD" w:rsidRPr="003B0FAD" w:rsidRDefault="00601854" w:rsidP="00873AB9">
            <w:pPr>
              <w:pStyle w:val="ListParagraph"/>
              <w:numPr>
                <w:ilvl w:val="0"/>
                <w:numId w:val="11"/>
              </w:numPr>
              <w:autoSpaceDE w:val="0"/>
              <w:autoSpaceDN w:val="0"/>
              <w:adjustRightInd w:val="0"/>
              <w:jc w:val="both"/>
              <w:rPr>
                <w:rFonts w:ascii="Calibri" w:hAnsi="Calibri" w:cs="Arial"/>
                <w:b/>
                <w:i/>
                <w:color w:val="000000"/>
                <w:lang w:eastAsia="en-GB"/>
              </w:rPr>
            </w:pPr>
            <w:r w:rsidRPr="003B0FAD">
              <w:rPr>
                <w:rFonts w:ascii="Calibri" w:hAnsi="Calibri" w:cs="Arial"/>
                <w:b/>
                <w:color w:val="000000"/>
                <w:lang w:eastAsia="en-GB"/>
              </w:rPr>
              <w:t xml:space="preserve">Partner agencies should be provided with positive feedback when they produce good work which supports Social Workers and multi-agency planning. </w:t>
            </w:r>
          </w:p>
          <w:p w:rsidR="00601854" w:rsidRPr="003B0FAD" w:rsidRDefault="00601854" w:rsidP="00873AB9">
            <w:pPr>
              <w:pStyle w:val="ListParagraph"/>
              <w:numPr>
                <w:ilvl w:val="0"/>
                <w:numId w:val="11"/>
              </w:numPr>
              <w:autoSpaceDE w:val="0"/>
              <w:autoSpaceDN w:val="0"/>
              <w:adjustRightInd w:val="0"/>
              <w:jc w:val="both"/>
              <w:rPr>
                <w:rFonts w:ascii="Calibri" w:hAnsi="Calibri" w:cs="Arial"/>
                <w:b/>
                <w:i/>
                <w:color w:val="000000"/>
                <w:lang w:eastAsia="en-GB"/>
              </w:rPr>
            </w:pPr>
            <w:r w:rsidRPr="003B0FAD">
              <w:rPr>
                <w:rFonts w:ascii="Calibri" w:hAnsi="Calibri" w:cs="Arial"/>
                <w:b/>
                <w:color w:val="000000"/>
                <w:lang w:eastAsia="en-GB"/>
              </w:rPr>
              <w:t>Auditors need to feedback ‘good practice’ directly to the Social Worker and encourage showcasing this within their team / service area</w:t>
            </w:r>
          </w:p>
          <w:p w:rsidR="003B0FAD" w:rsidRDefault="00601854" w:rsidP="001A306D">
            <w:pPr>
              <w:pStyle w:val="ListParagraph"/>
              <w:numPr>
                <w:ilvl w:val="0"/>
                <w:numId w:val="11"/>
              </w:numPr>
              <w:autoSpaceDE w:val="0"/>
              <w:autoSpaceDN w:val="0"/>
              <w:adjustRightInd w:val="0"/>
              <w:jc w:val="both"/>
              <w:rPr>
                <w:rFonts w:ascii="Calibri" w:hAnsi="Calibri" w:cs="Arial"/>
                <w:b/>
                <w:color w:val="000000"/>
                <w:lang w:eastAsia="en-GB"/>
              </w:rPr>
            </w:pPr>
            <w:r w:rsidRPr="003B0FAD">
              <w:rPr>
                <w:rFonts w:ascii="Calibri" w:hAnsi="Calibri" w:cs="Arial"/>
                <w:b/>
                <w:color w:val="000000"/>
                <w:lang w:eastAsia="en-GB"/>
              </w:rPr>
              <w:t>Auditors should include the Social Worker in audits, whether this is face-to-face (subject to covid-19 restrictions), Skype or phone call and record this in the write up of the audit</w:t>
            </w:r>
          </w:p>
          <w:p w:rsidR="008E6637" w:rsidRPr="003B0FAD" w:rsidRDefault="00601854" w:rsidP="003B0FAD">
            <w:pPr>
              <w:pStyle w:val="ListParagraph"/>
              <w:numPr>
                <w:ilvl w:val="0"/>
                <w:numId w:val="11"/>
              </w:numPr>
              <w:autoSpaceDE w:val="0"/>
              <w:autoSpaceDN w:val="0"/>
              <w:adjustRightInd w:val="0"/>
              <w:jc w:val="both"/>
              <w:rPr>
                <w:rFonts w:asciiTheme="minorHAnsi" w:hAnsiTheme="minorHAnsi"/>
                <w:b/>
                <w:sz w:val="22"/>
                <w:szCs w:val="22"/>
              </w:rPr>
            </w:pPr>
            <w:r w:rsidRPr="003B0FAD">
              <w:rPr>
                <w:b/>
              </w:rPr>
              <w:t>CFN’s current training offer regarding ‘Safety Planning’ should be reviewed and strengthened</w:t>
            </w:r>
            <w:r w:rsidRPr="003B0FAD">
              <w:rPr>
                <w:rFonts w:ascii="Calibri" w:hAnsi="Calibri" w:cs="Arial"/>
                <w:b/>
                <w:color w:val="000000"/>
                <w:lang w:eastAsia="en-GB"/>
              </w:rPr>
              <w:t xml:space="preserve">. </w:t>
            </w:r>
          </w:p>
          <w:p w:rsidR="003B0FAD" w:rsidRDefault="003B0FAD" w:rsidP="003B0FAD">
            <w:pPr>
              <w:pStyle w:val="ListParagraph"/>
              <w:autoSpaceDE w:val="0"/>
              <w:autoSpaceDN w:val="0"/>
              <w:adjustRightInd w:val="0"/>
              <w:ind w:left="785"/>
              <w:jc w:val="both"/>
              <w:rPr>
                <w:rFonts w:asciiTheme="minorHAnsi" w:hAnsiTheme="minorHAnsi"/>
                <w:b/>
                <w:sz w:val="22"/>
                <w:szCs w:val="22"/>
              </w:rPr>
            </w:pPr>
          </w:p>
        </w:tc>
      </w:tr>
      <w:tr w:rsidR="00E9392B" w:rsidTr="00480725">
        <w:trPr>
          <w:trHeight w:val="420"/>
        </w:trPr>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92B" w:rsidRDefault="00237145" w:rsidP="00E71C2F">
            <w:pPr>
              <w:pStyle w:val="Default"/>
              <w:rPr>
                <w:rFonts w:asciiTheme="minorHAnsi" w:hAnsiTheme="minorHAnsi"/>
                <w:b/>
                <w:sz w:val="28"/>
                <w:szCs w:val="28"/>
              </w:rPr>
            </w:pPr>
            <w:r>
              <w:rPr>
                <w:rFonts w:asciiTheme="minorHAnsi" w:hAnsiTheme="minorHAnsi"/>
                <w:b/>
                <w:sz w:val="28"/>
                <w:szCs w:val="28"/>
              </w:rPr>
              <w:lastRenderedPageBreak/>
              <w:t xml:space="preserve">6.Is there anything we can do </w:t>
            </w:r>
            <w:r w:rsidR="00E04081">
              <w:rPr>
                <w:rFonts w:asciiTheme="minorHAnsi" w:hAnsiTheme="minorHAnsi"/>
                <w:b/>
                <w:sz w:val="28"/>
                <w:szCs w:val="28"/>
              </w:rPr>
              <w:t>differently?</w:t>
            </w:r>
          </w:p>
          <w:p w:rsidR="00237145" w:rsidRPr="00237145" w:rsidRDefault="00237145" w:rsidP="00E71C2F">
            <w:pPr>
              <w:pStyle w:val="Default"/>
              <w:rPr>
                <w:rFonts w:asciiTheme="minorHAnsi" w:hAnsiTheme="minorHAnsi"/>
                <w:sz w:val="22"/>
                <w:szCs w:val="22"/>
              </w:rPr>
            </w:pPr>
            <w:r>
              <w:rPr>
                <w:rFonts w:asciiTheme="minorHAnsi" w:hAnsiTheme="minorHAnsi"/>
                <w:sz w:val="22"/>
                <w:szCs w:val="22"/>
              </w:rPr>
              <w:t>(as a team, is there any particular practice you are going to change as a result of this audit?)</w:t>
            </w:r>
          </w:p>
        </w:tc>
        <w:tc>
          <w:tcPr>
            <w:tcW w:w="1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392B" w:rsidRDefault="00E9392B" w:rsidP="00E71C2F">
            <w:pPr>
              <w:pStyle w:val="Default"/>
              <w:rPr>
                <w:rFonts w:asciiTheme="minorHAnsi" w:hAnsiTheme="minorHAnsi"/>
                <w:b/>
                <w:sz w:val="22"/>
                <w:szCs w:val="22"/>
              </w:rPr>
            </w:pPr>
          </w:p>
        </w:tc>
      </w:tr>
    </w:tbl>
    <w:p w:rsidR="00150C7B" w:rsidRDefault="00150C7B" w:rsidP="00150C7B"/>
    <w:sectPr w:rsidR="00150C7B" w:rsidSect="00150C7B">
      <w:headerReference w:type="default" r:id="rId8"/>
      <w:footerReference w:type="default" r:id="rId9"/>
      <w:pgSz w:w="15840" w:h="24480" w:code="1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DD" w:rsidRDefault="00B135DD" w:rsidP="00D5780A">
      <w:r>
        <w:separator/>
      </w:r>
    </w:p>
  </w:endnote>
  <w:endnote w:type="continuationSeparator" w:id="0">
    <w:p w:rsidR="00B135DD" w:rsidRDefault="00B135DD" w:rsidP="00D5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91" w:rsidRDefault="00D56D91">
    <w:pPr>
      <w:pStyle w:val="Footer"/>
    </w:pPr>
    <w:r>
      <w:t>Version 8</w:t>
    </w:r>
  </w:p>
  <w:p w:rsidR="00D5780A" w:rsidRDefault="00D5780A" w:rsidP="00D5780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DD" w:rsidRDefault="00B135DD" w:rsidP="00D5780A">
      <w:r>
        <w:separator/>
      </w:r>
    </w:p>
  </w:footnote>
  <w:footnote w:type="continuationSeparator" w:id="0">
    <w:p w:rsidR="00B135DD" w:rsidRDefault="00B135DD" w:rsidP="00D5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410485"/>
      <w:docPartObj>
        <w:docPartGallery w:val="Page Numbers (Top of Page)"/>
        <w:docPartUnique/>
      </w:docPartObj>
    </w:sdtPr>
    <w:sdtEndPr>
      <w:rPr>
        <w:noProof/>
      </w:rPr>
    </w:sdtEndPr>
    <w:sdtContent>
      <w:p w:rsidR="00855CC7" w:rsidRDefault="00855CC7">
        <w:pPr>
          <w:pStyle w:val="Header"/>
          <w:jc w:val="right"/>
        </w:pPr>
        <w:r>
          <w:fldChar w:fldCharType="begin"/>
        </w:r>
        <w:r>
          <w:instrText xml:space="preserve"> PAGE   \* MERGEFORMAT </w:instrText>
        </w:r>
        <w:r>
          <w:fldChar w:fldCharType="separate"/>
        </w:r>
        <w:r w:rsidR="004821CD">
          <w:rPr>
            <w:noProof/>
          </w:rPr>
          <w:t>1</w:t>
        </w:r>
        <w:r>
          <w:rPr>
            <w:noProof/>
          </w:rPr>
          <w:fldChar w:fldCharType="end"/>
        </w:r>
      </w:p>
    </w:sdtContent>
  </w:sdt>
  <w:p w:rsidR="00855CC7" w:rsidRDefault="00855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72C60"/>
    <w:multiLevelType w:val="hybridMultilevel"/>
    <w:tmpl w:val="718C7DC2"/>
    <w:lvl w:ilvl="0" w:tplc="91CCDD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624FF"/>
    <w:multiLevelType w:val="hybridMultilevel"/>
    <w:tmpl w:val="FABCA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08F2975"/>
    <w:multiLevelType w:val="hybridMultilevel"/>
    <w:tmpl w:val="C9BE26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C2237A"/>
    <w:multiLevelType w:val="hybridMultilevel"/>
    <w:tmpl w:val="A51CA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934E8B"/>
    <w:multiLevelType w:val="hybridMultilevel"/>
    <w:tmpl w:val="D0F8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1620D"/>
    <w:multiLevelType w:val="hybridMultilevel"/>
    <w:tmpl w:val="9258AD5C"/>
    <w:lvl w:ilvl="0" w:tplc="3A9CD6A6">
      <w:start w:val="1"/>
      <w:numFmt w:val="decimal"/>
      <w:lvlText w:val="%1."/>
      <w:lvlJc w:val="left"/>
      <w:pPr>
        <w:ind w:left="785"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5F62B6"/>
    <w:multiLevelType w:val="hybridMultilevel"/>
    <w:tmpl w:val="3DEE327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A07EAD"/>
    <w:multiLevelType w:val="hybridMultilevel"/>
    <w:tmpl w:val="5DEA70F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1F1D9D"/>
    <w:multiLevelType w:val="hybridMultilevel"/>
    <w:tmpl w:val="A51CA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4A41E7"/>
    <w:multiLevelType w:val="hybridMultilevel"/>
    <w:tmpl w:val="D5DE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CA0013"/>
    <w:multiLevelType w:val="hybridMultilevel"/>
    <w:tmpl w:val="5DEA70F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DC2409"/>
    <w:multiLevelType w:val="hybridMultilevel"/>
    <w:tmpl w:val="652832D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9"/>
  </w:num>
  <w:num w:numId="5">
    <w:abstractNumId w:val="8"/>
  </w:num>
  <w:num w:numId="6">
    <w:abstractNumId w:val="10"/>
  </w:num>
  <w:num w:numId="7">
    <w:abstractNumId w:val="7"/>
  </w:num>
  <w:num w:numId="8">
    <w:abstractNumId w:val="0"/>
  </w:num>
  <w:num w:numId="9">
    <w:abstractNumId w:val="11"/>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7B"/>
    <w:rsid w:val="000209C9"/>
    <w:rsid w:val="00046EB0"/>
    <w:rsid w:val="00061116"/>
    <w:rsid w:val="0009197C"/>
    <w:rsid w:val="000B5539"/>
    <w:rsid w:val="000C5CED"/>
    <w:rsid w:val="000D1674"/>
    <w:rsid w:val="00150C7B"/>
    <w:rsid w:val="00196AC3"/>
    <w:rsid w:val="001D2C97"/>
    <w:rsid w:val="001D35E5"/>
    <w:rsid w:val="001E6B83"/>
    <w:rsid w:val="001F50CF"/>
    <w:rsid w:val="002308C0"/>
    <w:rsid w:val="00237145"/>
    <w:rsid w:val="00251757"/>
    <w:rsid w:val="00251D0E"/>
    <w:rsid w:val="0027450D"/>
    <w:rsid w:val="002A071A"/>
    <w:rsid w:val="002C17E1"/>
    <w:rsid w:val="00385FE7"/>
    <w:rsid w:val="00395C14"/>
    <w:rsid w:val="003B0FAD"/>
    <w:rsid w:val="003E1B27"/>
    <w:rsid w:val="003E47A2"/>
    <w:rsid w:val="00402F17"/>
    <w:rsid w:val="00474345"/>
    <w:rsid w:val="00480725"/>
    <w:rsid w:val="004821CD"/>
    <w:rsid w:val="004E5A68"/>
    <w:rsid w:val="005257DC"/>
    <w:rsid w:val="00560CC8"/>
    <w:rsid w:val="005933AD"/>
    <w:rsid w:val="00601854"/>
    <w:rsid w:val="006425F9"/>
    <w:rsid w:val="006A0E58"/>
    <w:rsid w:val="007356F3"/>
    <w:rsid w:val="007412B1"/>
    <w:rsid w:val="00742A24"/>
    <w:rsid w:val="0074362B"/>
    <w:rsid w:val="00783EB9"/>
    <w:rsid w:val="007A23B7"/>
    <w:rsid w:val="007A70D2"/>
    <w:rsid w:val="00855CC7"/>
    <w:rsid w:val="008E6637"/>
    <w:rsid w:val="00934128"/>
    <w:rsid w:val="00936AA2"/>
    <w:rsid w:val="00971476"/>
    <w:rsid w:val="009875C4"/>
    <w:rsid w:val="009F15A0"/>
    <w:rsid w:val="00A35082"/>
    <w:rsid w:val="00A446E4"/>
    <w:rsid w:val="00A50199"/>
    <w:rsid w:val="00A8210F"/>
    <w:rsid w:val="00B03FF9"/>
    <w:rsid w:val="00B135DD"/>
    <w:rsid w:val="00B30779"/>
    <w:rsid w:val="00B3250E"/>
    <w:rsid w:val="00B54261"/>
    <w:rsid w:val="00B770E8"/>
    <w:rsid w:val="00BB3EEC"/>
    <w:rsid w:val="00BE26F1"/>
    <w:rsid w:val="00BF3087"/>
    <w:rsid w:val="00C86F06"/>
    <w:rsid w:val="00CA4ED3"/>
    <w:rsid w:val="00CA5492"/>
    <w:rsid w:val="00D51067"/>
    <w:rsid w:val="00D56D91"/>
    <w:rsid w:val="00D5780A"/>
    <w:rsid w:val="00D81CCB"/>
    <w:rsid w:val="00D91A34"/>
    <w:rsid w:val="00DC237B"/>
    <w:rsid w:val="00DF7489"/>
    <w:rsid w:val="00E04081"/>
    <w:rsid w:val="00E336EA"/>
    <w:rsid w:val="00E70DF0"/>
    <w:rsid w:val="00E9392B"/>
    <w:rsid w:val="00EA3FD3"/>
    <w:rsid w:val="00EA440A"/>
    <w:rsid w:val="00EA60F0"/>
    <w:rsid w:val="00EC19DB"/>
    <w:rsid w:val="00EC4692"/>
    <w:rsid w:val="00F305F0"/>
    <w:rsid w:val="00F72A12"/>
    <w:rsid w:val="00F81AB8"/>
    <w:rsid w:val="00FB0375"/>
    <w:rsid w:val="00FD6719"/>
    <w:rsid w:val="00FD7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FD16309-5EF5-4138-9F48-1F16C038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C7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150C7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50C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C7B"/>
    <w:pPr>
      <w:ind w:left="720"/>
      <w:contextualSpacing/>
    </w:pPr>
  </w:style>
  <w:style w:type="paragraph" w:styleId="Header">
    <w:name w:val="header"/>
    <w:basedOn w:val="Normal"/>
    <w:link w:val="HeaderChar"/>
    <w:uiPriority w:val="99"/>
    <w:unhideWhenUsed/>
    <w:rsid w:val="00150C7B"/>
    <w:pPr>
      <w:tabs>
        <w:tab w:val="center" w:pos="4513"/>
        <w:tab w:val="right" w:pos="9026"/>
      </w:tabs>
    </w:pPr>
  </w:style>
  <w:style w:type="character" w:customStyle="1" w:styleId="HeaderChar">
    <w:name w:val="Header Char"/>
    <w:basedOn w:val="DefaultParagraphFont"/>
    <w:link w:val="Header"/>
    <w:uiPriority w:val="99"/>
    <w:rsid w:val="00150C7B"/>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A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5780A"/>
    <w:pPr>
      <w:tabs>
        <w:tab w:val="center" w:pos="4513"/>
        <w:tab w:val="right" w:pos="9026"/>
      </w:tabs>
    </w:pPr>
  </w:style>
  <w:style w:type="character" w:customStyle="1" w:styleId="FooterChar">
    <w:name w:val="Footer Char"/>
    <w:basedOn w:val="DefaultParagraphFont"/>
    <w:link w:val="Footer"/>
    <w:uiPriority w:val="99"/>
    <w:rsid w:val="00D5780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9197C"/>
    <w:rPr>
      <w:color w:val="808080"/>
    </w:rPr>
  </w:style>
  <w:style w:type="character" w:customStyle="1" w:styleId="qtext">
    <w:name w:val="qtext"/>
    <w:basedOn w:val="DefaultParagraphFont"/>
    <w:rsid w:val="00F3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672680">
      <w:bodyDiv w:val="1"/>
      <w:marLeft w:val="0"/>
      <w:marRight w:val="0"/>
      <w:marTop w:val="0"/>
      <w:marBottom w:val="0"/>
      <w:divBdr>
        <w:top w:val="none" w:sz="0" w:space="0" w:color="auto"/>
        <w:left w:val="none" w:sz="0" w:space="0" w:color="auto"/>
        <w:bottom w:val="none" w:sz="0" w:space="0" w:color="auto"/>
        <w:right w:val="none" w:sz="0" w:space="0" w:color="auto"/>
      </w:divBdr>
    </w:div>
    <w:div w:id="926495402">
      <w:bodyDiv w:val="1"/>
      <w:marLeft w:val="0"/>
      <w:marRight w:val="0"/>
      <w:marTop w:val="0"/>
      <w:marBottom w:val="0"/>
      <w:divBdr>
        <w:top w:val="none" w:sz="0" w:space="0" w:color="auto"/>
        <w:left w:val="none" w:sz="0" w:space="0" w:color="auto"/>
        <w:bottom w:val="none" w:sz="0" w:space="0" w:color="auto"/>
        <w:right w:val="none" w:sz="0" w:space="0" w:color="auto"/>
      </w:divBdr>
    </w:div>
    <w:div w:id="1368410233">
      <w:bodyDiv w:val="1"/>
      <w:marLeft w:val="0"/>
      <w:marRight w:val="0"/>
      <w:marTop w:val="0"/>
      <w:marBottom w:val="0"/>
      <w:divBdr>
        <w:top w:val="none" w:sz="0" w:space="0" w:color="auto"/>
        <w:left w:val="none" w:sz="0" w:space="0" w:color="auto"/>
        <w:bottom w:val="none" w:sz="0" w:space="0" w:color="auto"/>
        <w:right w:val="none" w:sz="0" w:space="0" w:color="auto"/>
      </w:divBdr>
    </w:div>
    <w:div w:id="1486556090">
      <w:bodyDiv w:val="1"/>
      <w:marLeft w:val="0"/>
      <w:marRight w:val="0"/>
      <w:marTop w:val="0"/>
      <w:marBottom w:val="0"/>
      <w:divBdr>
        <w:top w:val="none" w:sz="0" w:space="0" w:color="auto"/>
        <w:left w:val="none" w:sz="0" w:space="0" w:color="auto"/>
        <w:bottom w:val="none" w:sz="0" w:space="0" w:color="auto"/>
        <w:right w:val="none" w:sz="0" w:space="0" w:color="auto"/>
      </w:divBdr>
    </w:div>
    <w:div w:id="155269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DAFB1-544B-4758-BA2C-E38C0368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HiKing</dc:creator>
  <cp:keywords/>
  <dc:description/>
  <cp:lastModifiedBy>Hilary King</cp:lastModifiedBy>
  <cp:revision>2</cp:revision>
  <dcterms:created xsi:type="dcterms:W3CDTF">2021-10-17T09:11:00Z</dcterms:created>
  <dcterms:modified xsi:type="dcterms:W3CDTF">2021-10-17T09:11:00Z</dcterms:modified>
</cp:coreProperties>
</file>