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17802" w14:textId="77777777" w:rsidR="00AC44E6" w:rsidRPr="00AC44E6" w:rsidRDefault="00A841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5CE3577" wp14:editId="29CCD1E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3203575" cy="643890"/>
            <wp:effectExtent l="0" t="0" r="0" b="3810"/>
            <wp:wrapThrough wrapText="bothSides">
              <wp:wrapPolygon edited="0">
                <wp:start x="0" y="0"/>
                <wp:lineTo x="0" y="21089"/>
                <wp:lineTo x="21450" y="21089"/>
                <wp:lineTo x="21450" y="0"/>
                <wp:lineTo x="0" y="0"/>
              </wp:wrapPolygon>
            </wp:wrapThrough>
            <wp:docPr id="4" name="Picture 4" descr="B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5E3E1" w14:textId="77777777" w:rsidR="00A8412B" w:rsidRDefault="00A8412B">
      <w:pPr>
        <w:rPr>
          <w:rFonts w:ascii="Arial" w:hAnsi="Arial" w:cs="Arial"/>
          <w:b/>
          <w:sz w:val="24"/>
          <w:szCs w:val="24"/>
        </w:rPr>
      </w:pPr>
    </w:p>
    <w:p w14:paraId="49F41205" w14:textId="57B4CC9B" w:rsidR="0062740F" w:rsidRDefault="0062740F" w:rsidP="0062740F">
      <w:pPr>
        <w:rPr>
          <w:rFonts w:ascii="Arial" w:hAnsi="Arial" w:cs="Arial"/>
          <w:b/>
          <w:sz w:val="24"/>
          <w:szCs w:val="24"/>
        </w:rPr>
      </w:pPr>
      <w:r w:rsidRPr="00332AF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896432" wp14:editId="24202C06">
                <wp:simplePos x="0" y="0"/>
                <wp:positionH relativeFrom="margin">
                  <wp:posOffset>-154305</wp:posOffset>
                </wp:positionH>
                <wp:positionV relativeFrom="paragraph">
                  <wp:posOffset>343535</wp:posOffset>
                </wp:positionV>
                <wp:extent cx="6743700" cy="1404620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DC05" w14:textId="77777777" w:rsidR="0062740F" w:rsidRPr="00332AF0" w:rsidRDefault="0062740F" w:rsidP="006274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ONE –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MANAGEMENT OVERSIGHT &amp; DECISION MAKING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96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15pt;margin-top:27.05pt;width:53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" fillcolor="#d9d9d9">
                <v:textbox style="mso-fit-shape-to-text:t">
                  <w:txbxContent>
                    <w:p w14:paraId="2FACDC05" w14:textId="77777777" w:rsidR="0062740F" w:rsidRPr="00332AF0" w:rsidRDefault="0062740F" w:rsidP="006274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STANDARD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ONE –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MANAGEMENT OVERSIGHT &amp; DECISION MAKING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UNREGULATED </w:t>
      </w:r>
      <w:r w:rsidR="0077459C">
        <w:rPr>
          <w:rFonts w:ascii="Arial" w:hAnsi="Arial" w:cs="Arial"/>
          <w:b/>
          <w:sz w:val="24"/>
          <w:szCs w:val="24"/>
        </w:rPr>
        <w:t>SETTINGS</w:t>
      </w:r>
      <w:r>
        <w:rPr>
          <w:rFonts w:ascii="Arial" w:hAnsi="Arial" w:cs="Arial"/>
          <w:b/>
          <w:sz w:val="24"/>
          <w:szCs w:val="24"/>
        </w:rPr>
        <w:t xml:space="preserve"> – CHECKLIST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9356"/>
        <w:gridCol w:w="1276"/>
      </w:tblGrid>
      <w:tr w:rsidR="0062740F" w14:paraId="2951A9DC" w14:textId="77777777" w:rsidTr="006821DD">
        <w:tc>
          <w:tcPr>
            <w:tcW w:w="9356" w:type="dxa"/>
            <w:shd w:val="clear" w:color="auto" w:fill="F2F2F2" w:themeFill="background1" w:themeFillShade="F2"/>
          </w:tcPr>
          <w:p w14:paraId="1581843C" w14:textId="77777777" w:rsidR="0062740F" w:rsidRPr="00575559" w:rsidRDefault="0062740F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75559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276" w:type="dxa"/>
          </w:tcPr>
          <w:p w14:paraId="24BAB22A" w14:textId="77777777" w:rsidR="0062740F" w:rsidRPr="00575559" w:rsidRDefault="0062740F" w:rsidP="006821DD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TICK WHEN COMPLETED</w:t>
            </w:r>
          </w:p>
        </w:tc>
      </w:tr>
      <w:tr w:rsidR="0062740F" w14:paraId="05051A51" w14:textId="77777777" w:rsidTr="006821DD">
        <w:tc>
          <w:tcPr>
            <w:tcW w:w="9356" w:type="dxa"/>
          </w:tcPr>
          <w:p w14:paraId="3CEE2408" w14:textId="77777777" w:rsidR="0062740F" w:rsidRDefault="0062740F" w:rsidP="006821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 has been notified and informed the Director of Practice</w:t>
            </w:r>
          </w:p>
        </w:tc>
        <w:tc>
          <w:tcPr>
            <w:tcW w:w="1276" w:type="dxa"/>
          </w:tcPr>
          <w:p w14:paraId="16E908D9" w14:textId="77777777" w:rsidR="0062740F" w:rsidRDefault="0062740F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40F" w14:paraId="3DC884EC" w14:textId="77777777" w:rsidTr="006821DD">
        <w:tc>
          <w:tcPr>
            <w:tcW w:w="9356" w:type="dxa"/>
          </w:tcPr>
          <w:p w14:paraId="2FCF52B8" w14:textId="77777777" w:rsidR="0062740F" w:rsidRDefault="0062740F" w:rsidP="006821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Placement approved by Director of Practice</w:t>
            </w:r>
          </w:p>
        </w:tc>
        <w:tc>
          <w:tcPr>
            <w:tcW w:w="1276" w:type="dxa"/>
          </w:tcPr>
          <w:p w14:paraId="3FA526A6" w14:textId="77777777" w:rsidR="0062740F" w:rsidRDefault="0062740F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7633" w14:paraId="64AD5AD0" w14:textId="77777777" w:rsidTr="006821DD">
        <w:tc>
          <w:tcPr>
            <w:tcW w:w="9356" w:type="dxa"/>
          </w:tcPr>
          <w:p w14:paraId="6440436B" w14:textId="37248DCE" w:rsidR="000F7633" w:rsidRDefault="000F7633" w:rsidP="006821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Decision </w:t>
            </w:r>
            <w:r w:rsidR="00904F73">
              <w:rPr>
                <w:rFonts w:ascii="Arial" w:hAnsi="Arial" w:cs="Arial"/>
                <w:b/>
                <w:sz w:val="24"/>
                <w:szCs w:val="24"/>
              </w:rPr>
              <w:t>Agreement Form is completed by</w:t>
            </w:r>
            <w:r w:rsidR="00E20ACF">
              <w:rPr>
                <w:rFonts w:ascii="Arial" w:hAnsi="Arial" w:cs="Arial"/>
                <w:b/>
                <w:sz w:val="24"/>
                <w:szCs w:val="24"/>
              </w:rPr>
              <w:t xml:space="preserve"> Director of Practice</w:t>
            </w:r>
          </w:p>
        </w:tc>
        <w:tc>
          <w:tcPr>
            <w:tcW w:w="1276" w:type="dxa"/>
          </w:tcPr>
          <w:p w14:paraId="10674421" w14:textId="77777777" w:rsidR="000F7633" w:rsidRDefault="000F7633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40F" w14:paraId="1A22539B" w14:textId="77777777" w:rsidTr="006821DD">
        <w:tc>
          <w:tcPr>
            <w:tcW w:w="9356" w:type="dxa"/>
          </w:tcPr>
          <w:p w14:paraId="50A02AAC" w14:textId="77777777" w:rsidR="0062740F" w:rsidRDefault="0062740F" w:rsidP="006821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Director of Commissioning, Responsible AD &amp; IRO informed</w:t>
            </w:r>
          </w:p>
        </w:tc>
        <w:tc>
          <w:tcPr>
            <w:tcW w:w="1276" w:type="dxa"/>
          </w:tcPr>
          <w:p w14:paraId="2B91F9A1" w14:textId="77777777" w:rsidR="0062740F" w:rsidRDefault="0062740F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40F" w14:paraId="2DC31D38" w14:textId="77777777" w:rsidTr="006821DD">
        <w:tc>
          <w:tcPr>
            <w:tcW w:w="9356" w:type="dxa"/>
          </w:tcPr>
          <w:p w14:paraId="31EE2B0A" w14:textId="77777777" w:rsidR="0062740F" w:rsidRDefault="0062740F" w:rsidP="006821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Beyond 48 hours;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DofP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DofC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/DCS/IRO/Ofsted notified</w:t>
            </w:r>
          </w:p>
        </w:tc>
        <w:tc>
          <w:tcPr>
            <w:tcW w:w="1276" w:type="dxa"/>
          </w:tcPr>
          <w:p w14:paraId="18F5EE49" w14:textId="77777777" w:rsidR="0062740F" w:rsidRDefault="0062740F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40F" w14:paraId="164A6E4D" w14:textId="77777777" w:rsidTr="006821DD">
        <w:tc>
          <w:tcPr>
            <w:tcW w:w="9356" w:type="dxa"/>
          </w:tcPr>
          <w:p w14:paraId="3144B7C0" w14:textId="77777777" w:rsidR="0062740F" w:rsidRDefault="0062740F" w:rsidP="006821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Dispute Resolution Received from IRO</w:t>
            </w:r>
          </w:p>
        </w:tc>
        <w:tc>
          <w:tcPr>
            <w:tcW w:w="1276" w:type="dxa"/>
          </w:tcPr>
          <w:p w14:paraId="344A0263" w14:textId="77777777" w:rsidR="0062740F" w:rsidRDefault="0062740F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40F" w14:paraId="0AF708CB" w14:textId="77777777" w:rsidTr="006821DD">
        <w:tc>
          <w:tcPr>
            <w:tcW w:w="9356" w:type="dxa"/>
          </w:tcPr>
          <w:p w14:paraId="40764DC0" w14:textId="77777777" w:rsidR="0062740F" w:rsidRDefault="0062740F" w:rsidP="006821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Risk Assessment/Action Plan signed off by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HofS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(Area)</w:t>
            </w:r>
          </w:p>
        </w:tc>
        <w:tc>
          <w:tcPr>
            <w:tcW w:w="1276" w:type="dxa"/>
          </w:tcPr>
          <w:p w14:paraId="1591870F" w14:textId="77777777" w:rsidR="0062740F" w:rsidRDefault="0062740F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40F" w14:paraId="47F1C6A1" w14:textId="77777777" w:rsidTr="006821DD">
        <w:tc>
          <w:tcPr>
            <w:tcW w:w="9356" w:type="dxa"/>
          </w:tcPr>
          <w:p w14:paraId="42190C04" w14:textId="77777777" w:rsidR="0062740F" w:rsidRDefault="0062740F" w:rsidP="006821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Initial Planning meeting arranged &amp; further date arranged (beyond 7 days)</w:t>
            </w:r>
          </w:p>
        </w:tc>
        <w:tc>
          <w:tcPr>
            <w:tcW w:w="1276" w:type="dxa"/>
          </w:tcPr>
          <w:p w14:paraId="55EEDF1A" w14:textId="77777777" w:rsidR="0062740F" w:rsidRDefault="0062740F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40F" w14:paraId="6B243AC9" w14:textId="77777777" w:rsidTr="006821DD">
        <w:tc>
          <w:tcPr>
            <w:tcW w:w="9356" w:type="dxa"/>
          </w:tcPr>
          <w:p w14:paraId="215DF4B1" w14:textId="77777777" w:rsidR="0062740F" w:rsidRPr="00575559" w:rsidRDefault="0062740F" w:rsidP="006821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Added to AD Agenda of Unregulated Placements to review</w:t>
            </w:r>
          </w:p>
        </w:tc>
        <w:tc>
          <w:tcPr>
            <w:tcW w:w="1276" w:type="dxa"/>
          </w:tcPr>
          <w:p w14:paraId="2C80FADA" w14:textId="77777777" w:rsidR="0062740F" w:rsidRDefault="0062740F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bookmarkStart w:id="0" w:name="_Hlk83711483"/>
    <w:p w14:paraId="67F016B2" w14:textId="77777777" w:rsidR="00AC44E6" w:rsidRDefault="00CB38B9">
      <w:pPr>
        <w:rPr>
          <w:rFonts w:ascii="Arial" w:hAnsi="Arial" w:cs="Arial"/>
          <w:b/>
          <w:sz w:val="24"/>
          <w:szCs w:val="24"/>
        </w:rPr>
      </w:pPr>
      <w:r w:rsidRPr="00332AF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750177" wp14:editId="2EC3A26F">
                <wp:simplePos x="0" y="0"/>
                <wp:positionH relativeFrom="margin">
                  <wp:posOffset>-154305</wp:posOffset>
                </wp:positionH>
                <wp:positionV relativeFrom="paragraph">
                  <wp:posOffset>343535</wp:posOffset>
                </wp:positionV>
                <wp:extent cx="6743700" cy="140462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D3BD4" w14:textId="77777777" w:rsidR="00332AF0" w:rsidRPr="00332AF0" w:rsidRDefault="00332AF0" w:rsidP="00332A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 </w:t>
                            </w:r>
                            <w:r w:rsidR="0062740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TWO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ACCOMMODATION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50177" id="_x0000_s1027" type="#_x0000_t202" style="position:absolute;margin-left:-12.15pt;margin-top:27.05pt;width:53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" fillcolor="#d8d8d8 [2732]">
                <v:textbox style="mso-fit-shape-to-text:t">
                  <w:txbxContent>
                    <w:p w14:paraId="210D3BD4" w14:textId="77777777" w:rsidR="00332AF0" w:rsidRPr="00332AF0" w:rsidRDefault="00332AF0" w:rsidP="00332A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STANDARD </w:t>
                      </w:r>
                      <w:r w:rsidR="0062740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TWO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- ACCOMMODATION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9356"/>
        <w:gridCol w:w="1276"/>
      </w:tblGrid>
      <w:tr w:rsidR="00575559" w14:paraId="2DD03142" w14:textId="77777777" w:rsidTr="00CB38B9">
        <w:tc>
          <w:tcPr>
            <w:tcW w:w="9356" w:type="dxa"/>
            <w:shd w:val="clear" w:color="auto" w:fill="F2F2F2" w:themeFill="background1" w:themeFillShade="F2"/>
          </w:tcPr>
          <w:p w14:paraId="13BCF851" w14:textId="77777777" w:rsidR="00575559" w:rsidRPr="00575559" w:rsidRDefault="00575559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80774494"/>
            <w:r w:rsidRPr="00575559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276" w:type="dxa"/>
          </w:tcPr>
          <w:p w14:paraId="538EF169" w14:textId="77777777" w:rsidR="00575559" w:rsidRPr="00575559" w:rsidRDefault="00575559" w:rsidP="00575559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TICK WHEN COMPLETED</w:t>
            </w:r>
          </w:p>
        </w:tc>
      </w:tr>
      <w:tr w:rsidR="00575559" w14:paraId="796D4433" w14:textId="77777777" w:rsidTr="00CB38B9">
        <w:tc>
          <w:tcPr>
            <w:tcW w:w="9356" w:type="dxa"/>
          </w:tcPr>
          <w:p w14:paraId="26FE868C" w14:textId="77777777" w:rsidR="00575559" w:rsidRDefault="00575559" w:rsidP="005755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5559">
              <w:rPr>
                <w:rFonts w:ascii="Arial" w:hAnsi="Arial" w:cs="Arial"/>
                <w:b/>
                <w:sz w:val="24"/>
                <w:szCs w:val="24"/>
              </w:rPr>
              <w:t>The property has been visited prior to the placement</w:t>
            </w:r>
            <w:r w:rsidR="0062740F">
              <w:rPr>
                <w:rFonts w:ascii="Arial" w:hAnsi="Arial" w:cs="Arial"/>
                <w:b/>
                <w:sz w:val="24"/>
                <w:szCs w:val="24"/>
              </w:rPr>
              <w:t xml:space="preserve"> &amp; checklist completed</w:t>
            </w:r>
          </w:p>
        </w:tc>
        <w:tc>
          <w:tcPr>
            <w:tcW w:w="1276" w:type="dxa"/>
          </w:tcPr>
          <w:p w14:paraId="0D7C6CF9" w14:textId="77777777" w:rsidR="00575559" w:rsidRDefault="00575559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313FEEC6" w14:textId="77777777" w:rsidTr="00CB38B9">
        <w:tc>
          <w:tcPr>
            <w:tcW w:w="9356" w:type="dxa"/>
          </w:tcPr>
          <w:p w14:paraId="6FDE5E1F" w14:textId="77777777" w:rsidR="00575559" w:rsidRDefault="00575559" w:rsidP="005755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5559">
              <w:rPr>
                <w:rFonts w:ascii="Arial" w:hAnsi="Arial" w:cs="Arial"/>
                <w:b/>
                <w:sz w:val="24"/>
                <w:szCs w:val="24"/>
              </w:rPr>
              <w:t>There is electricity/gas/heating to the property</w:t>
            </w:r>
          </w:p>
        </w:tc>
        <w:tc>
          <w:tcPr>
            <w:tcW w:w="1276" w:type="dxa"/>
          </w:tcPr>
          <w:p w14:paraId="40CDC65F" w14:textId="77777777" w:rsidR="00575559" w:rsidRDefault="00575559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68276709" w14:textId="77777777" w:rsidTr="00CB38B9">
        <w:tc>
          <w:tcPr>
            <w:tcW w:w="9356" w:type="dxa"/>
          </w:tcPr>
          <w:p w14:paraId="7CB7E79C" w14:textId="77777777" w:rsidR="00575559" w:rsidRDefault="00575559" w:rsidP="005755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5559">
              <w:rPr>
                <w:rFonts w:ascii="Arial" w:hAnsi="Arial" w:cs="Arial"/>
                <w:b/>
                <w:sz w:val="24"/>
                <w:szCs w:val="24"/>
              </w:rPr>
              <w:t>There is a suitable bed with clean bedding</w:t>
            </w:r>
          </w:p>
        </w:tc>
        <w:tc>
          <w:tcPr>
            <w:tcW w:w="1276" w:type="dxa"/>
          </w:tcPr>
          <w:p w14:paraId="363D4907" w14:textId="77777777" w:rsidR="00575559" w:rsidRDefault="00575559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0552B8C2" w14:textId="77777777" w:rsidTr="00CB38B9">
        <w:tc>
          <w:tcPr>
            <w:tcW w:w="9356" w:type="dxa"/>
          </w:tcPr>
          <w:p w14:paraId="4AA8A7C6" w14:textId="77777777" w:rsidR="00575559" w:rsidRDefault="00575559" w:rsidP="005755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5559">
              <w:rPr>
                <w:rFonts w:ascii="Arial" w:hAnsi="Arial" w:cs="Arial"/>
                <w:b/>
                <w:sz w:val="24"/>
                <w:szCs w:val="24"/>
              </w:rPr>
              <w:t xml:space="preserve">There </w:t>
            </w:r>
            <w:proofErr w:type="gramStart"/>
            <w:r w:rsidRPr="00575559">
              <w:rPr>
                <w:rFonts w:ascii="Arial" w:hAnsi="Arial" w:cs="Arial"/>
                <w:b/>
                <w:sz w:val="24"/>
                <w:szCs w:val="24"/>
              </w:rPr>
              <w:t>is</w:t>
            </w:r>
            <w:proofErr w:type="gramEnd"/>
            <w:r w:rsidRPr="00575559">
              <w:rPr>
                <w:rFonts w:ascii="Arial" w:hAnsi="Arial" w:cs="Arial"/>
                <w:b/>
                <w:sz w:val="24"/>
                <w:szCs w:val="24"/>
              </w:rPr>
              <w:t xml:space="preserve"> adequate toilet/washing facilities – with toilet paper/towels</w:t>
            </w:r>
          </w:p>
        </w:tc>
        <w:tc>
          <w:tcPr>
            <w:tcW w:w="1276" w:type="dxa"/>
          </w:tcPr>
          <w:p w14:paraId="43393929" w14:textId="77777777" w:rsidR="00575559" w:rsidRDefault="00575559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5E229BDB" w14:textId="77777777" w:rsidTr="00CB38B9">
        <w:tc>
          <w:tcPr>
            <w:tcW w:w="9356" w:type="dxa"/>
          </w:tcPr>
          <w:p w14:paraId="51869C4E" w14:textId="77777777" w:rsidR="00575559" w:rsidRDefault="00575559" w:rsidP="005755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5559">
              <w:rPr>
                <w:rFonts w:ascii="Arial" w:hAnsi="Arial" w:cs="Arial"/>
                <w:b/>
                <w:sz w:val="24"/>
                <w:szCs w:val="24"/>
              </w:rPr>
              <w:t>There are sufficient personal items – soap/deodorant/hair products</w:t>
            </w:r>
          </w:p>
        </w:tc>
        <w:tc>
          <w:tcPr>
            <w:tcW w:w="1276" w:type="dxa"/>
          </w:tcPr>
          <w:p w14:paraId="34272E29" w14:textId="77777777" w:rsidR="00575559" w:rsidRDefault="00575559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4A09A007" w14:textId="77777777" w:rsidTr="00CB38B9">
        <w:tc>
          <w:tcPr>
            <w:tcW w:w="9356" w:type="dxa"/>
          </w:tcPr>
          <w:p w14:paraId="70C20CE7" w14:textId="77777777" w:rsidR="00575559" w:rsidRDefault="00575559" w:rsidP="005755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5559">
              <w:rPr>
                <w:rFonts w:ascii="Arial" w:hAnsi="Arial" w:cs="Arial"/>
                <w:b/>
                <w:sz w:val="24"/>
                <w:szCs w:val="24"/>
              </w:rPr>
              <w:t>There is sufficient equipment to provide basic entertainment – TV/Games</w:t>
            </w:r>
          </w:p>
        </w:tc>
        <w:tc>
          <w:tcPr>
            <w:tcW w:w="1276" w:type="dxa"/>
          </w:tcPr>
          <w:p w14:paraId="5F75ECC8" w14:textId="77777777" w:rsidR="00575559" w:rsidRDefault="00575559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2A1E8B9B" w14:textId="77777777" w:rsidTr="00CB38B9">
        <w:tc>
          <w:tcPr>
            <w:tcW w:w="9356" w:type="dxa"/>
          </w:tcPr>
          <w:p w14:paraId="6E4D118B" w14:textId="77777777" w:rsidR="00575559" w:rsidRDefault="00575559" w:rsidP="005755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5559">
              <w:rPr>
                <w:rFonts w:ascii="Arial" w:hAnsi="Arial" w:cs="Arial"/>
                <w:b/>
                <w:sz w:val="24"/>
                <w:szCs w:val="24"/>
              </w:rPr>
              <w:t>There are no obvious risks – e.g. broken windows/broken furniture</w:t>
            </w:r>
          </w:p>
        </w:tc>
        <w:tc>
          <w:tcPr>
            <w:tcW w:w="1276" w:type="dxa"/>
          </w:tcPr>
          <w:p w14:paraId="1DA6FC02" w14:textId="77777777" w:rsidR="00575559" w:rsidRDefault="00575559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6AC81711" w14:textId="77777777" w:rsidTr="00CB38B9">
        <w:tc>
          <w:tcPr>
            <w:tcW w:w="9356" w:type="dxa"/>
          </w:tcPr>
          <w:p w14:paraId="70DE7998" w14:textId="77777777" w:rsidR="00575559" w:rsidRPr="00575559" w:rsidRDefault="00575559" w:rsidP="005755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5559">
              <w:rPr>
                <w:rFonts w:ascii="Arial" w:hAnsi="Arial" w:cs="Arial"/>
                <w:b/>
                <w:sz w:val="24"/>
                <w:szCs w:val="24"/>
              </w:rPr>
              <w:t>There is provision to access drinks/basic food supplies for the day/night</w:t>
            </w:r>
          </w:p>
        </w:tc>
        <w:tc>
          <w:tcPr>
            <w:tcW w:w="1276" w:type="dxa"/>
          </w:tcPr>
          <w:p w14:paraId="21EBB694" w14:textId="77777777" w:rsidR="00575559" w:rsidRDefault="00575559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0C63484B" w14:textId="77777777" w:rsidTr="00CB38B9">
        <w:tc>
          <w:tcPr>
            <w:tcW w:w="9356" w:type="dxa"/>
          </w:tcPr>
          <w:p w14:paraId="1929D613" w14:textId="77777777" w:rsidR="00575559" w:rsidRP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sz w:val="24"/>
                <w:szCs w:val="24"/>
              </w:rPr>
              <w:t>The accommodation provides a level of privacy to enable the child to retain their dignity</w:t>
            </w:r>
          </w:p>
        </w:tc>
        <w:tc>
          <w:tcPr>
            <w:tcW w:w="1276" w:type="dxa"/>
          </w:tcPr>
          <w:p w14:paraId="750643C8" w14:textId="77777777" w:rsidR="00575559" w:rsidRDefault="00575559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5C46DA33" w14:textId="77777777" w:rsidTr="00CB38B9">
        <w:tc>
          <w:tcPr>
            <w:tcW w:w="9356" w:type="dxa"/>
          </w:tcPr>
          <w:p w14:paraId="57D929CE" w14:textId="77777777" w:rsidR="00575559" w:rsidRP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sz w:val="24"/>
                <w:szCs w:val="24"/>
              </w:rPr>
              <w:t xml:space="preserve">The external environment is considered with regard to </w:t>
            </w:r>
            <w:proofErr w:type="spellStart"/>
            <w:proofErr w:type="gramStart"/>
            <w:r w:rsidRPr="0071763F">
              <w:rPr>
                <w:rFonts w:ascii="Arial" w:hAnsi="Arial" w:cs="Arial"/>
                <w:b/>
                <w:sz w:val="24"/>
                <w:szCs w:val="24"/>
              </w:rPr>
              <w:t>it’s</w:t>
            </w:r>
            <w:proofErr w:type="spellEnd"/>
            <w:proofErr w:type="gramEnd"/>
            <w:r w:rsidRPr="0071763F">
              <w:rPr>
                <w:rFonts w:ascii="Arial" w:hAnsi="Arial" w:cs="Arial"/>
                <w:b/>
                <w:sz w:val="24"/>
                <w:szCs w:val="24"/>
              </w:rPr>
              <w:t xml:space="preserve"> location/access to public transport and this is included in the risk assessment </w:t>
            </w:r>
          </w:p>
        </w:tc>
        <w:tc>
          <w:tcPr>
            <w:tcW w:w="1276" w:type="dxa"/>
          </w:tcPr>
          <w:p w14:paraId="4125A565" w14:textId="77777777" w:rsidR="00575559" w:rsidRDefault="00575559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61514AF1" w14:textId="77777777" w:rsidTr="00CB38B9">
        <w:tc>
          <w:tcPr>
            <w:tcW w:w="9356" w:type="dxa"/>
          </w:tcPr>
          <w:p w14:paraId="252DAD72" w14:textId="77777777" w:rsidR="00575559" w:rsidRP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sz w:val="24"/>
                <w:szCs w:val="24"/>
              </w:rPr>
              <w:t>A minimum of two staff are on site – 24 hours</w:t>
            </w:r>
          </w:p>
        </w:tc>
        <w:tc>
          <w:tcPr>
            <w:tcW w:w="1276" w:type="dxa"/>
          </w:tcPr>
          <w:p w14:paraId="6463BCDD" w14:textId="77777777" w:rsidR="00575559" w:rsidRDefault="00575559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22F" w14:paraId="0C7D12AE" w14:textId="77777777" w:rsidTr="00CB38B9">
        <w:tc>
          <w:tcPr>
            <w:tcW w:w="9356" w:type="dxa"/>
          </w:tcPr>
          <w:p w14:paraId="06B4E588" w14:textId="77777777" w:rsidR="00BE122F" w:rsidRPr="0071763F" w:rsidRDefault="00BE122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accommodation is not shared with another young person</w:t>
            </w:r>
          </w:p>
        </w:tc>
        <w:tc>
          <w:tcPr>
            <w:tcW w:w="1276" w:type="dxa"/>
          </w:tcPr>
          <w:p w14:paraId="64D64E0C" w14:textId="77777777" w:rsidR="00BE122F" w:rsidRDefault="00BE122F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22F" w14:paraId="591CFD6D" w14:textId="77777777" w:rsidTr="00CB38B9">
        <w:tc>
          <w:tcPr>
            <w:tcW w:w="9356" w:type="dxa"/>
          </w:tcPr>
          <w:p w14:paraId="35425B67" w14:textId="77777777" w:rsidR="00BE122F" w:rsidRDefault="00BE122F" w:rsidP="00BE1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22F">
              <w:rPr>
                <w:rFonts w:ascii="Arial" w:hAnsi="Arial" w:cs="Arial"/>
                <w:b/>
                <w:sz w:val="24"/>
                <w:szCs w:val="24"/>
              </w:rPr>
              <w:t xml:space="preserve">The external environment is considered </w:t>
            </w:r>
            <w:proofErr w:type="gramStart"/>
            <w:r w:rsidRPr="00BE122F">
              <w:rPr>
                <w:rFonts w:ascii="Arial" w:hAnsi="Arial" w:cs="Arial"/>
                <w:b/>
                <w:sz w:val="24"/>
                <w:szCs w:val="24"/>
              </w:rPr>
              <w:t>with regard to</w:t>
            </w:r>
            <w:proofErr w:type="gramEnd"/>
            <w:r w:rsidRPr="00BE122F">
              <w:rPr>
                <w:rFonts w:ascii="Arial" w:hAnsi="Arial" w:cs="Arial"/>
                <w:b/>
                <w:sz w:val="24"/>
                <w:szCs w:val="24"/>
              </w:rPr>
              <w:t xml:space="preserve"> its location/access to public transport and this is included in the risk assessment </w:t>
            </w:r>
          </w:p>
        </w:tc>
        <w:tc>
          <w:tcPr>
            <w:tcW w:w="1276" w:type="dxa"/>
          </w:tcPr>
          <w:p w14:paraId="4DB94F1D" w14:textId="77777777" w:rsidR="00BE122F" w:rsidRDefault="00BE122F" w:rsidP="005755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bookmarkEnd w:id="0"/>
    <w:bookmarkEnd w:id="1"/>
    <w:p w14:paraId="48331C08" w14:textId="77777777" w:rsidR="0062740F" w:rsidRDefault="000E7918" w:rsidP="0071763F">
      <w:pPr>
        <w:rPr>
          <w:rFonts w:ascii="Arial" w:hAnsi="Arial" w:cs="Arial"/>
          <w:b/>
          <w:sz w:val="24"/>
          <w:szCs w:val="24"/>
        </w:rPr>
      </w:pPr>
      <w:r w:rsidRPr="00332AF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2FEB8E" wp14:editId="288CC603">
                <wp:simplePos x="0" y="0"/>
                <wp:positionH relativeFrom="margin">
                  <wp:posOffset>-173355</wp:posOffset>
                </wp:positionH>
                <wp:positionV relativeFrom="paragraph">
                  <wp:posOffset>344805</wp:posOffset>
                </wp:positionV>
                <wp:extent cx="6743700" cy="1404620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33F99" w14:textId="77777777" w:rsidR="0062740F" w:rsidRPr="00332AF0" w:rsidRDefault="0062740F" w:rsidP="006274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THREE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CARE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FEB8E" id="_x0000_s1028" type="#_x0000_t202" style="position:absolute;margin-left:-13.65pt;margin-top:27.15pt;width:53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" fillcolor="#d9d9d9">
                <v:textbox style="mso-fit-shape-to-text:t">
                  <w:txbxContent>
                    <w:p w14:paraId="2CE33F99" w14:textId="77777777" w:rsidR="0062740F" w:rsidRPr="00332AF0" w:rsidRDefault="0062740F" w:rsidP="006274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STANDARD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THREE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CARE PLANNING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9356"/>
        <w:gridCol w:w="1276"/>
      </w:tblGrid>
      <w:tr w:rsidR="00575559" w14:paraId="460BC2CD" w14:textId="77777777" w:rsidTr="00CB38B9">
        <w:tc>
          <w:tcPr>
            <w:tcW w:w="9356" w:type="dxa"/>
            <w:shd w:val="clear" w:color="auto" w:fill="F2F2F2" w:themeFill="background1" w:themeFillShade="F2"/>
          </w:tcPr>
          <w:p w14:paraId="250B93B8" w14:textId="77777777" w:rsidR="00575559" w:rsidRP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75559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276" w:type="dxa"/>
          </w:tcPr>
          <w:p w14:paraId="482ECA17" w14:textId="77777777" w:rsidR="00575559" w:rsidRP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TICK WHEN COMPLETED</w:t>
            </w:r>
          </w:p>
        </w:tc>
      </w:tr>
      <w:tr w:rsidR="00575559" w14:paraId="4AAEDA56" w14:textId="77777777" w:rsidTr="00CB38B9">
        <w:tc>
          <w:tcPr>
            <w:tcW w:w="9356" w:type="dxa"/>
          </w:tcPr>
          <w:p w14:paraId="4C3D0245" w14:textId="77777777" w:rsid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The social worker accompanies the child to the placement</w:t>
            </w:r>
          </w:p>
        </w:tc>
        <w:tc>
          <w:tcPr>
            <w:tcW w:w="1276" w:type="dxa"/>
          </w:tcPr>
          <w:p w14:paraId="5B8CFC10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0FC4159B" w14:textId="77777777" w:rsidTr="00CB38B9">
        <w:tc>
          <w:tcPr>
            <w:tcW w:w="9356" w:type="dxa"/>
          </w:tcPr>
          <w:p w14:paraId="30FAFDFE" w14:textId="14A1121E" w:rsid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care planning meeting is arranged </w:t>
            </w:r>
            <w:r w:rsidR="002372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the CSW/Chaired by </w:t>
            </w:r>
            <w:proofErr w:type="spellStart"/>
            <w:r w:rsidR="000A50BE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152BE7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r w:rsidR="000A50B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proofErr w:type="spellEnd"/>
            <w:r w:rsidR="002372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/TM </w:t>
            </w: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within 48 hours of the placement – if the young person remains in the placement</w:t>
            </w:r>
          </w:p>
        </w:tc>
        <w:tc>
          <w:tcPr>
            <w:tcW w:w="1276" w:type="dxa"/>
          </w:tcPr>
          <w:p w14:paraId="27EED091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1A02B9FB" w14:textId="77777777" w:rsidTr="00CB38B9">
        <w:tc>
          <w:tcPr>
            <w:tcW w:w="9356" w:type="dxa"/>
          </w:tcPr>
          <w:p w14:paraId="707DA75C" w14:textId="77777777" w:rsid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Risk Assessment/Safe Care Plan is completed </w:t>
            </w:r>
            <w:r w:rsidR="002372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the CSW </w:t>
            </w: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within 24 hours of the placement that identifies any risk factors and how these will be managed</w:t>
            </w:r>
          </w:p>
        </w:tc>
        <w:tc>
          <w:tcPr>
            <w:tcW w:w="1276" w:type="dxa"/>
          </w:tcPr>
          <w:p w14:paraId="1F8A5C46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15B11AE2" w14:textId="77777777" w:rsidTr="00CB38B9">
        <w:tc>
          <w:tcPr>
            <w:tcW w:w="9356" w:type="dxa"/>
          </w:tcPr>
          <w:p w14:paraId="75A58FC6" w14:textId="559422E2" w:rsidR="00575559" w:rsidRDefault="00152BE7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TM/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HofS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agree frequency of visits to the young person (a minimum of twice per week initially</w:t>
            </w:r>
            <w:r w:rsidR="00871FE5">
              <w:rPr>
                <w:rFonts w:ascii="Arial" w:hAnsi="Arial" w:cs="Arial"/>
                <w:b/>
                <w:sz w:val="24"/>
                <w:szCs w:val="24"/>
              </w:rPr>
              <w:t xml:space="preserve"> and further visit schedules to be agreed each week in the care planning meetings.</w:t>
            </w:r>
          </w:p>
        </w:tc>
        <w:tc>
          <w:tcPr>
            <w:tcW w:w="1276" w:type="dxa"/>
          </w:tcPr>
          <w:p w14:paraId="6B89849B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371ED0ED" w14:textId="77777777" w:rsidTr="00CB38B9">
        <w:tc>
          <w:tcPr>
            <w:tcW w:w="9356" w:type="dxa"/>
          </w:tcPr>
          <w:p w14:paraId="46610B38" w14:textId="77777777" w:rsidR="00575559" w:rsidRDefault="0071763F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the child remains in placement beyond 7 days a further care planning meeting will take place and the visiting schedule reviewed</w:t>
            </w:r>
          </w:p>
        </w:tc>
        <w:tc>
          <w:tcPr>
            <w:tcW w:w="1276" w:type="dxa"/>
          </w:tcPr>
          <w:p w14:paraId="13F84940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1F239D7B" w14:textId="77777777" w:rsidTr="00CB38B9">
        <w:tc>
          <w:tcPr>
            <w:tcW w:w="9356" w:type="dxa"/>
          </w:tcPr>
          <w:p w14:paraId="3441E22D" w14:textId="77777777" w:rsid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Key professionals will be involved in the care planning meetings that ensures the child’s overall needs are met (</w:t>
            </w:r>
            <w:proofErr w:type="spellStart"/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e.g</w:t>
            </w:r>
            <w:proofErr w:type="spellEnd"/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EmpowerU</w:t>
            </w:r>
            <w:proofErr w:type="spellEnd"/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E8E9629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763F" w14:paraId="6B8A73E1" w14:textId="77777777" w:rsidTr="00CB38B9">
        <w:tc>
          <w:tcPr>
            <w:tcW w:w="9356" w:type="dxa"/>
          </w:tcPr>
          <w:p w14:paraId="345D3174" w14:textId="77777777" w:rsidR="0071763F" w:rsidRPr="0071763F" w:rsidRDefault="0071763F" w:rsidP="007176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The IRO is kept updated</w:t>
            </w:r>
          </w:p>
        </w:tc>
        <w:tc>
          <w:tcPr>
            <w:tcW w:w="1276" w:type="dxa"/>
          </w:tcPr>
          <w:p w14:paraId="763F0AB3" w14:textId="77777777" w:rsidR="0071763F" w:rsidRDefault="0071763F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8C6C82" w14:textId="77777777" w:rsidR="00575559" w:rsidRDefault="00575559" w:rsidP="00CC50C7">
      <w:pPr>
        <w:rPr>
          <w:rFonts w:ascii="Arial" w:hAnsi="Arial" w:cs="Arial"/>
          <w:b/>
          <w:sz w:val="24"/>
          <w:szCs w:val="24"/>
        </w:rPr>
      </w:pPr>
      <w:r w:rsidRPr="00332AF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CEDAE7" wp14:editId="6FC58C96">
                <wp:simplePos x="0" y="0"/>
                <wp:positionH relativeFrom="margin">
                  <wp:posOffset>-179705</wp:posOffset>
                </wp:positionH>
                <wp:positionV relativeFrom="paragraph">
                  <wp:posOffset>272415</wp:posOffset>
                </wp:positionV>
                <wp:extent cx="6724650" cy="1404620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C5651" w14:textId="77777777" w:rsidR="00332AF0" w:rsidRPr="00332AF0" w:rsidRDefault="00332AF0" w:rsidP="00332A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 </w:t>
                            </w:r>
                            <w:r w:rsidR="00BE12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FOUR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60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COMMISSIONING</w:t>
                            </w:r>
                            <w:r w:rsidR="00310D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/PLACEMENTS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EDAE7" id="_x0000_s1029" type="#_x0000_t202" style="position:absolute;margin-left:-14.15pt;margin-top:21.45pt;width:529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" fillcolor="#d9d9d9">
                <v:textbox style="mso-fit-shape-to-text:t">
                  <w:txbxContent>
                    <w:p w14:paraId="68AC5651" w14:textId="77777777" w:rsidR="00332AF0" w:rsidRPr="00332AF0" w:rsidRDefault="00332AF0" w:rsidP="00332A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STANDARD </w:t>
                      </w:r>
                      <w:r w:rsidR="00BE122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FOUR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A60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COMMISSIONING</w:t>
                      </w:r>
                      <w:r w:rsidR="00310D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/PLACEMENTS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9356"/>
        <w:gridCol w:w="1276"/>
      </w:tblGrid>
      <w:tr w:rsidR="00575559" w14:paraId="7359DAB0" w14:textId="77777777" w:rsidTr="00CC50C7">
        <w:tc>
          <w:tcPr>
            <w:tcW w:w="9356" w:type="dxa"/>
            <w:shd w:val="clear" w:color="auto" w:fill="F2F2F2" w:themeFill="background1" w:themeFillShade="F2"/>
          </w:tcPr>
          <w:p w14:paraId="367843E2" w14:textId="77777777" w:rsidR="00575559" w:rsidRP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75559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276" w:type="dxa"/>
          </w:tcPr>
          <w:p w14:paraId="3ED10281" w14:textId="77777777" w:rsidR="00575559" w:rsidRP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TICK WHEN COMPLETED</w:t>
            </w:r>
          </w:p>
        </w:tc>
      </w:tr>
      <w:tr w:rsidR="00575559" w14:paraId="285BB112" w14:textId="77777777" w:rsidTr="00CC50C7">
        <w:tc>
          <w:tcPr>
            <w:tcW w:w="9356" w:type="dxa"/>
          </w:tcPr>
          <w:p w14:paraId="59278B3F" w14:textId="0CD5C8AE" w:rsid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A QA visit will be completed by Commissioning</w:t>
            </w:r>
            <w:r w:rsidR="00AC78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within 24</w:t>
            </w:r>
            <w:r w:rsidR="00621DCD">
              <w:rPr>
                <w:rFonts w:ascii="Arial" w:hAnsi="Arial" w:cs="Arial"/>
                <w:b/>
                <w:bCs/>
                <w:sz w:val="24"/>
                <w:szCs w:val="24"/>
              </w:rPr>
              <w:t>-48</w:t>
            </w:r>
            <w:r w:rsidR="00AC78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hours of notification.</w:t>
            </w:r>
          </w:p>
        </w:tc>
        <w:tc>
          <w:tcPr>
            <w:tcW w:w="1276" w:type="dxa"/>
          </w:tcPr>
          <w:p w14:paraId="5D15CCB9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70A97C4E" w14:textId="77777777" w:rsidTr="00CC50C7">
        <w:tc>
          <w:tcPr>
            <w:tcW w:w="9356" w:type="dxa"/>
          </w:tcPr>
          <w:p w14:paraId="60A4CD8A" w14:textId="68362717" w:rsid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 initial report will be provided immediately following the visit and a </w:t>
            </w:r>
            <w:r w:rsidR="00AC78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written </w:t>
            </w: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report within </w:t>
            </w:r>
            <w:r w:rsidR="00AC7848">
              <w:rPr>
                <w:rFonts w:ascii="Arial" w:hAnsi="Arial" w:cs="Arial"/>
                <w:b/>
                <w:bCs/>
                <w:sz w:val="24"/>
                <w:szCs w:val="24"/>
              </w:rPr>
              <w:t>48</w:t>
            </w: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hours of the visit</w:t>
            </w:r>
          </w:p>
        </w:tc>
        <w:tc>
          <w:tcPr>
            <w:tcW w:w="1276" w:type="dxa"/>
          </w:tcPr>
          <w:p w14:paraId="2D6E0458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1772E455" w14:textId="77777777" w:rsidTr="00CC50C7">
        <w:tc>
          <w:tcPr>
            <w:tcW w:w="9356" w:type="dxa"/>
          </w:tcPr>
          <w:p w14:paraId="3112C275" w14:textId="77777777" w:rsid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An Action Plan will be completed following the visit with agreed response times.</w:t>
            </w:r>
            <w:r w:rsidR="000E79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aim being to support the provider to provide care and home conditions as close to that of registered provision as possible</w:t>
            </w:r>
          </w:p>
        </w:tc>
        <w:tc>
          <w:tcPr>
            <w:tcW w:w="1276" w:type="dxa"/>
          </w:tcPr>
          <w:p w14:paraId="37BAE1BD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22C62D1D" w14:textId="77777777" w:rsidTr="00CC50C7">
        <w:tc>
          <w:tcPr>
            <w:tcW w:w="9356" w:type="dxa"/>
          </w:tcPr>
          <w:p w14:paraId="2DAE4E19" w14:textId="77777777" w:rsid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Commissioning will follow up and track progress against the Action Plan. This will be shared within the Care Planning Meetings</w:t>
            </w:r>
          </w:p>
        </w:tc>
        <w:tc>
          <w:tcPr>
            <w:tcW w:w="1276" w:type="dxa"/>
          </w:tcPr>
          <w:p w14:paraId="12F6D7EC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76AC0B16" w14:textId="77777777" w:rsidTr="00CC50C7">
        <w:tc>
          <w:tcPr>
            <w:tcW w:w="9356" w:type="dxa"/>
          </w:tcPr>
          <w:p w14:paraId="27BD63BD" w14:textId="77777777" w:rsid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Any ongoing concerns will be fed back to the Area Team immediately and considered within the Care Planning Meetings.</w:t>
            </w:r>
          </w:p>
        </w:tc>
        <w:tc>
          <w:tcPr>
            <w:tcW w:w="1276" w:type="dxa"/>
          </w:tcPr>
          <w:p w14:paraId="27A817F6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5A231B3E" w14:textId="77777777" w:rsidTr="00CC50C7">
        <w:tc>
          <w:tcPr>
            <w:tcW w:w="9356" w:type="dxa"/>
          </w:tcPr>
          <w:p w14:paraId="41323936" w14:textId="77777777" w:rsid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Commissioning will follow the routine process for all Providers in accordance with the commissioning/framework polic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276" w:type="dxa"/>
          </w:tcPr>
          <w:p w14:paraId="3EC9ADF3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1CE2681F" w14:textId="77777777" w:rsidTr="00CC50C7">
        <w:tc>
          <w:tcPr>
            <w:tcW w:w="9356" w:type="dxa"/>
          </w:tcPr>
          <w:p w14:paraId="0FD8FCCF" w14:textId="77777777" w:rsidR="00575559" w:rsidRDefault="0071763F" w:rsidP="00717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3F">
              <w:rPr>
                <w:rFonts w:ascii="Arial" w:hAnsi="Arial" w:cs="Arial"/>
                <w:b/>
                <w:bCs/>
                <w:sz w:val="24"/>
                <w:szCs w:val="24"/>
              </w:rPr>
              <w:t>Commissioning will provide written guidance around key areas; recording/risk assessment/medication/missing protocol/reporting requirements/family time/key statutory processes</w:t>
            </w:r>
          </w:p>
        </w:tc>
        <w:tc>
          <w:tcPr>
            <w:tcW w:w="1276" w:type="dxa"/>
          </w:tcPr>
          <w:p w14:paraId="1267382A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7918" w14:paraId="04787C51" w14:textId="77777777" w:rsidTr="00CC50C7">
        <w:tc>
          <w:tcPr>
            <w:tcW w:w="9356" w:type="dxa"/>
          </w:tcPr>
          <w:p w14:paraId="34C11DF7" w14:textId="77777777" w:rsidR="000E7918" w:rsidRPr="00CB38B9" w:rsidRDefault="000E7918" w:rsidP="00CB38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025">
              <w:rPr>
                <w:rFonts w:ascii="Arial" w:hAnsi="Arial" w:cs="Arial"/>
                <w:b/>
                <w:bCs/>
                <w:sz w:val="24"/>
                <w:szCs w:val="24"/>
              </w:rPr>
              <w:t>Commissioning will offer support to the Provider to mitigate any gaps to demonstrate any shortfalls are addressed</w:t>
            </w:r>
          </w:p>
        </w:tc>
        <w:tc>
          <w:tcPr>
            <w:tcW w:w="1276" w:type="dxa"/>
          </w:tcPr>
          <w:p w14:paraId="6FA7691D" w14:textId="77777777" w:rsidR="000E7918" w:rsidRDefault="000E7918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763F" w14:paraId="4EE06470" w14:textId="77777777" w:rsidTr="00CC50C7">
        <w:tc>
          <w:tcPr>
            <w:tcW w:w="9356" w:type="dxa"/>
          </w:tcPr>
          <w:p w14:paraId="1D45EFCB" w14:textId="77777777" w:rsidR="0071763F" w:rsidRPr="0071763F" w:rsidRDefault="00CB38B9" w:rsidP="00CB38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Placements will continue with </w:t>
            </w:r>
            <w:r w:rsidR="000E7918">
              <w:rPr>
                <w:rFonts w:ascii="Arial" w:hAnsi="Arial" w:cs="Arial"/>
                <w:b/>
                <w:bCs/>
                <w:sz w:val="24"/>
                <w:szCs w:val="24"/>
              </w:rPr>
              <w:t>a rigorous</w:t>
            </w: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placement search and provide updates at the Care Planning Meeting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0E79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(refer to the Complex Placements PG</w:t>
            </w:r>
          </w:p>
        </w:tc>
        <w:tc>
          <w:tcPr>
            <w:tcW w:w="1276" w:type="dxa"/>
          </w:tcPr>
          <w:p w14:paraId="1F0CF359" w14:textId="77777777" w:rsidR="0071763F" w:rsidRDefault="0071763F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7A04FE" w14:textId="77777777" w:rsidR="00BE122F" w:rsidRDefault="000E7918" w:rsidP="00575559">
      <w:pPr>
        <w:pStyle w:val="ListParagraph"/>
        <w:rPr>
          <w:rFonts w:ascii="Arial" w:hAnsi="Arial" w:cs="Arial"/>
          <w:b/>
          <w:sz w:val="24"/>
          <w:szCs w:val="24"/>
        </w:rPr>
      </w:pPr>
      <w:r w:rsidRPr="00332AF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F2CC72" wp14:editId="1CD5CB1A">
                <wp:simplePos x="0" y="0"/>
                <wp:positionH relativeFrom="page">
                  <wp:posOffset>468630</wp:posOffset>
                </wp:positionH>
                <wp:positionV relativeFrom="paragraph">
                  <wp:posOffset>463550</wp:posOffset>
                </wp:positionV>
                <wp:extent cx="6743700" cy="1404620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5FB5E" w14:textId="77777777" w:rsidR="00332AF0" w:rsidRPr="00332AF0" w:rsidRDefault="00332AF0" w:rsidP="00332A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 </w:t>
                            </w:r>
                            <w:r w:rsidR="000E791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FIVE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RIGHTS OF THE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2CC72" id="_x0000_s1030" type="#_x0000_t202" style="position:absolute;left:0;text-align:left;margin-left:36.9pt;margin-top:36.5pt;width:53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" fillcolor="#d9d9d9">
                <v:textbox style="mso-fit-shape-to-text:t">
                  <w:txbxContent>
                    <w:p w14:paraId="77F5FB5E" w14:textId="77777777" w:rsidR="00332AF0" w:rsidRPr="00332AF0" w:rsidRDefault="00332AF0" w:rsidP="00332A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STANDARD </w:t>
                      </w:r>
                      <w:r w:rsidR="000E791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FIVE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RIGHTS OF THE CHILD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9356"/>
        <w:gridCol w:w="1276"/>
      </w:tblGrid>
      <w:tr w:rsidR="000E7918" w14:paraId="6BD1A93D" w14:textId="77777777" w:rsidTr="006821DD">
        <w:tc>
          <w:tcPr>
            <w:tcW w:w="9356" w:type="dxa"/>
            <w:shd w:val="clear" w:color="auto" w:fill="F2F2F2" w:themeFill="background1" w:themeFillShade="F2"/>
          </w:tcPr>
          <w:p w14:paraId="32B94221" w14:textId="77777777" w:rsidR="000E7918" w:rsidRPr="00575559" w:rsidRDefault="000E7918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75559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276" w:type="dxa"/>
          </w:tcPr>
          <w:p w14:paraId="082AC4EF" w14:textId="77777777" w:rsidR="000E7918" w:rsidRPr="00575559" w:rsidRDefault="000E7918" w:rsidP="006821DD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TICK WHEN COMPLETED</w:t>
            </w:r>
          </w:p>
        </w:tc>
      </w:tr>
      <w:tr w:rsidR="000E7918" w14:paraId="35D0E438" w14:textId="77777777" w:rsidTr="006821DD">
        <w:tc>
          <w:tcPr>
            <w:tcW w:w="9356" w:type="dxa"/>
          </w:tcPr>
          <w:p w14:paraId="65566DA3" w14:textId="77777777" w:rsidR="000E7918" w:rsidRDefault="000E7918" w:rsidP="00682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>Referral to 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</w:t>
            </w: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within 24 hours and visit to take place within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 hours</w:t>
            </w:r>
          </w:p>
        </w:tc>
        <w:tc>
          <w:tcPr>
            <w:tcW w:w="1276" w:type="dxa"/>
          </w:tcPr>
          <w:p w14:paraId="3FB8F662" w14:textId="77777777" w:rsidR="000E7918" w:rsidRDefault="000E7918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7918" w14:paraId="18639017" w14:textId="77777777" w:rsidTr="006821DD">
        <w:tc>
          <w:tcPr>
            <w:tcW w:w="9356" w:type="dxa"/>
          </w:tcPr>
          <w:p w14:paraId="29D01149" w14:textId="77777777" w:rsidR="000E7918" w:rsidRDefault="000E7918" w:rsidP="00682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>Child to be seen on same day of placement and their views considered and recorded</w:t>
            </w:r>
          </w:p>
        </w:tc>
        <w:tc>
          <w:tcPr>
            <w:tcW w:w="1276" w:type="dxa"/>
          </w:tcPr>
          <w:p w14:paraId="2E33E84D" w14:textId="77777777" w:rsidR="000E7918" w:rsidRDefault="000E7918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7918" w14:paraId="467E2BA4" w14:textId="77777777" w:rsidTr="006821DD">
        <w:tc>
          <w:tcPr>
            <w:tcW w:w="9356" w:type="dxa"/>
          </w:tcPr>
          <w:p w14:paraId="3E9B8C16" w14:textId="77777777" w:rsidR="000E7918" w:rsidRDefault="000E7918" w:rsidP="00682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>Every visitor to the child should confirm that the child feels safe and that their basic needs are being 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7059F7A3" w14:textId="77777777" w:rsidR="000E7918" w:rsidRDefault="000E7918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7918" w14:paraId="04C6EA58" w14:textId="77777777" w:rsidTr="006821DD">
        <w:tc>
          <w:tcPr>
            <w:tcW w:w="9356" w:type="dxa"/>
          </w:tcPr>
          <w:p w14:paraId="715CFD21" w14:textId="77777777" w:rsidR="000E7918" w:rsidRDefault="000E7918" w:rsidP="00682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>Family Time arrangements must be agreed at the first care planning meeting</w:t>
            </w:r>
          </w:p>
        </w:tc>
        <w:tc>
          <w:tcPr>
            <w:tcW w:w="1276" w:type="dxa"/>
          </w:tcPr>
          <w:p w14:paraId="1767D0EE" w14:textId="77777777" w:rsidR="000E7918" w:rsidRDefault="000E7918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7918" w14:paraId="1674578F" w14:textId="77777777" w:rsidTr="006821DD">
        <w:tc>
          <w:tcPr>
            <w:tcW w:w="9356" w:type="dxa"/>
          </w:tcPr>
          <w:p w14:paraId="5E18E811" w14:textId="77777777" w:rsidR="000E7918" w:rsidRDefault="000E7918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 has sufficient clothing to meet their immediate needs</w:t>
            </w:r>
          </w:p>
        </w:tc>
        <w:tc>
          <w:tcPr>
            <w:tcW w:w="1276" w:type="dxa"/>
          </w:tcPr>
          <w:p w14:paraId="7C8BB38E" w14:textId="77777777" w:rsidR="000E7918" w:rsidRDefault="000E7918" w:rsidP="006821D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4FBDED" w14:textId="77777777" w:rsidR="000E7918" w:rsidRDefault="000E7918" w:rsidP="000E7918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635F0AE" w14:textId="77777777" w:rsidR="00BE122F" w:rsidRDefault="00BE122F" w:rsidP="0077459C">
      <w:pPr>
        <w:pStyle w:val="ListParagraph"/>
        <w:ind w:firstLine="720"/>
        <w:rPr>
          <w:rFonts w:ascii="Arial" w:hAnsi="Arial" w:cs="Arial"/>
          <w:b/>
          <w:sz w:val="24"/>
          <w:szCs w:val="24"/>
        </w:rPr>
      </w:pPr>
    </w:p>
    <w:p w14:paraId="0E5F3D46" w14:textId="77777777" w:rsidR="00BE122F" w:rsidRDefault="00BE122F" w:rsidP="0057555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6BE55DB" w14:textId="10441DEF" w:rsidR="00BE122F" w:rsidRDefault="00BE122F" w:rsidP="0057555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03D086F" w14:textId="60793D0D" w:rsidR="00DF3C17" w:rsidRDefault="00DF3C17" w:rsidP="0057555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627F471" w14:textId="65D948EC" w:rsidR="00DF3C17" w:rsidRDefault="00DF3C17" w:rsidP="0057555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BCF7693" w14:textId="77777777" w:rsidR="00DF3C17" w:rsidRDefault="00DF3C17" w:rsidP="0057555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EF0B1EF" w14:textId="77777777" w:rsidR="00BE122F" w:rsidRDefault="00BE122F" w:rsidP="0057555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2E715EE" w14:textId="77777777" w:rsidR="00575559" w:rsidRDefault="000E7918" w:rsidP="00575559">
      <w:pPr>
        <w:pStyle w:val="ListParagraph"/>
        <w:rPr>
          <w:rFonts w:ascii="Arial" w:hAnsi="Arial" w:cs="Arial"/>
          <w:b/>
          <w:sz w:val="24"/>
          <w:szCs w:val="24"/>
        </w:rPr>
      </w:pPr>
      <w:r w:rsidRPr="00332AF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B525EB" wp14:editId="7B2C620D">
                <wp:simplePos x="0" y="0"/>
                <wp:positionH relativeFrom="page">
                  <wp:posOffset>469900</wp:posOffset>
                </wp:positionH>
                <wp:positionV relativeFrom="paragraph">
                  <wp:posOffset>1905</wp:posOffset>
                </wp:positionV>
                <wp:extent cx="6781800" cy="1404620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BD9A" w14:textId="77777777" w:rsidR="00332AF0" w:rsidRPr="00332AF0" w:rsidRDefault="00332AF0" w:rsidP="00332A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 </w:t>
                            </w:r>
                            <w:r w:rsidR="0002030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SIX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0D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0D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EXPECTATIONS OF PROVIDER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525EB" id="_x0000_s1031" type="#_x0000_t202" style="position:absolute;left:0;text-align:left;margin-left:37pt;margin-top:.15pt;width:534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" fillcolor="#d9d9d9">
                <v:textbox style="mso-fit-shape-to-text:t">
                  <w:txbxContent>
                    <w:p w14:paraId="4202BD9A" w14:textId="77777777" w:rsidR="00332AF0" w:rsidRPr="00332AF0" w:rsidRDefault="00332AF0" w:rsidP="00332A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STANDARD </w:t>
                      </w:r>
                      <w:r w:rsidR="0002030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SIX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10D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10D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EXPECTATIONS OF PROVIDER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9356"/>
        <w:gridCol w:w="1276"/>
      </w:tblGrid>
      <w:tr w:rsidR="00575559" w14:paraId="3CB3B086" w14:textId="77777777" w:rsidTr="00CC50C7">
        <w:tc>
          <w:tcPr>
            <w:tcW w:w="9356" w:type="dxa"/>
            <w:shd w:val="clear" w:color="auto" w:fill="F2F2F2" w:themeFill="background1" w:themeFillShade="F2"/>
          </w:tcPr>
          <w:p w14:paraId="7E3081A7" w14:textId="77777777" w:rsidR="00575559" w:rsidRP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75559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276" w:type="dxa"/>
          </w:tcPr>
          <w:p w14:paraId="25EAD32A" w14:textId="77777777" w:rsidR="00575559" w:rsidRP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TICK WHEN COMPLETED</w:t>
            </w:r>
          </w:p>
        </w:tc>
      </w:tr>
      <w:tr w:rsidR="00575559" w14:paraId="240B7579" w14:textId="77777777" w:rsidTr="00CC50C7">
        <w:tc>
          <w:tcPr>
            <w:tcW w:w="9356" w:type="dxa"/>
          </w:tcPr>
          <w:p w14:paraId="5487DC58" w14:textId="77777777" w:rsidR="00575559" w:rsidRDefault="00CB38B9" w:rsidP="00CB38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Provider will ensure that the accommodation meets the minimum standards outlined in the </w:t>
            </w:r>
            <w:r w:rsidR="000E79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supporting </w:t>
            </w: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>Guidance</w:t>
            </w:r>
          </w:p>
        </w:tc>
        <w:tc>
          <w:tcPr>
            <w:tcW w:w="1276" w:type="dxa"/>
          </w:tcPr>
          <w:p w14:paraId="7B1D09BC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365F0DD9" w14:textId="77777777" w:rsidTr="00CC50C7">
        <w:tc>
          <w:tcPr>
            <w:tcW w:w="9356" w:type="dxa"/>
          </w:tcPr>
          <w:p w14:paraId="66A66651" w14:textId="77777777" w:rsidR="00575559" w:rsidRDefault="00CB38B9" w:rsidP="000E79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>The Provider will ensure that all safeguarding issues/concerns are reported to the social worker immediately (EDT if out of hours)</w:t>
            </w:r>
          </w:p>
        </w:tc>
        <w:tc>
          <w:tcPr>
            <w:tcW w:w="1276" w:type="dxa"/>
          </w:tcPr>
          <w:p w14:paraId="18B01695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7918" w14:paraId="6FF4E601" w14:textId="77777777" w:rsidTr="00CC50C7">
        <w:tc>
          <w:tcPr>
            <w:tcW w:w="9356" w:type="dxa"/>
          </w:tcPr>
          <w:p w14:paraId="77A30EC0" w14:textId="77777777" w:rsidR="000E7918" w:rsidRPr="00CB38B9" w:rsidRDefault="000E7918" w:rsidP="00CB38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>The Provider will ensure that staffing is maintained at 2:1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nd are recruited and trained as</w:t>
            </w: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stipulated in the contrac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4579E28C" w14:textId="77777777" w:rsidR="000E7918" w:rsidRDefault="000E7918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036C2552" w14:textId="77777777" w:rsidTr="00CC50C7">
        <w:tc>
          <w:tcPr>
            <w:tcW w:w="9356" w:type="dxa"/>
          </w:tcPr>
          <w:p w14:paraId="2128A9B4" w14:textId="77777777" w:rsidR="00575559" w:rsidRDefault="00CB38B9" w:rsidP="00CB38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>The Provider will ensure that the basic needs of the child are met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0032340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559" w14:paraId="0B89648D" w14:textId="77777777" w:rsidTr="00CC50C7">
        <w:tc>
          <w:tcPr>
            <w:tcW w:w="9356" w:type="dxa"/>
          </w:tcPr>
          <w:p w14:paraId="66E070CF" w14:textId="77777777" w:rsidR="00575559" w:rsidRDefault="00CB38B9" w:rsidP="00CB38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Provider will maintain regular, open communication with the Trust </w:t>
            </w:r>
            <w:proofErr w:type="gramStart"/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>with regard to</w:t>
            </w:r>
            <w:proofErr w:type="gramEnd"/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any concerns, issues or challenges</w:t>
            </w:r>
            <w:r w:rsidR="000E79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maintain accurate records</w:t>
            </w:r>
            <w:r w:rsidRPr="00CB38B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B54B3FA" w14:textId="77777777" w:rsidR="00575559" w:rsidRDefault="00575559" w:rsidP="00E23DD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E329D3" w14:textId="77777777" w:rsidR="00575559" w:rsidRDefault="00575559" w:rsidP="0023726F">
      <w:pPr>
        <w:rPr>
          <w:rFonts w:ascii="Arial" w:hAnsi="Arial" w:cs="Arial"/>
          <w:b/>
          <w:bCs/>
          <w:sz w:val="24"/>
          <w:szCs w:val="24"/>
        </w:rPr>
      </w:pPr>
    </w:p>
    <w:p w14:paraId="15C84AC3" w14:textId="00868D27" w:rsidR="000E7918" w:rsidRDefault="000E7918" w:rsidP="0023726F">
      <w:pPr>
        <w:rPr>
          <w:rFonts w:ascii="Arial" w:hAnsi="Arial" w:cs="Arial"/>
          <w:b/>
          <w:bCs/>
          <w:sz w:val="24"/>
          <w:szCs w:val="24"/>
        </w:rPr>
      </w:pPr>
    </w:p>
    <w:p w14:paraId="44E1C4F2" w14:textId="244D3F19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427A7674" w14:textId="6F1F07D8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147CE328" w14:textId="16232869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5DD2046E" w14:textId="5D00EA51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072A1705" w14:textId="74C1DC60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4C304C9B" w14:textId="73F7A85A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7F0280EC" w14:textId="1E18E43C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3BF88712" w14:textId="48629CFF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0A2DCC37" w14:textId="1A000AD6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0EAC77B5" w14:textId="09790491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02B0EFCB" w14:textId="58EBEC4D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6DD53098" w14:textId="26B63A45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37E63711" w14:textId="15DB6464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1CA7024F" w14:textId="4E104A18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61F759CD" w14:textId="693CFA91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6365787F" w14:textId="46CC8896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2FA0C446" w14:textId="45968CD8" w:rsidR="00AC7848" w:rsidRPr="00AC7848" w:rsidRDefault="00AC7848" w:rsidP="00AC7848">
      <w:pPr>
        <w:rPr>
          <w:rFonts w:ascii="Arial" w:hAnsi="Arial" w:cs="Arial"/>
          <w:sz w:val="24"/>
          <w:szCs w:val="24"/>
        </w:rPr>
      </w:pPr>
    </w:p>
    <w:p w14:paraId="3BA60506" w14:textId="77777777" w:rsidR="00AC7848" w:rsidRPr="00AC7848" w:rsidRDefault="00AC7848" w:rsidP="00AC7848">
      <w:pPr>
        <w:ind w:firstLine="720"/>
        <w:rPr>
          <w:rFonts w:ascii="Arial" w:hAnsi="Arial" w:cs="Arial"/>
          <w:sz w:val="24"/>
          <w:szCs w:val="24"/>
        </w:rPr>
      </w:pPr>
    </w:p>
    <w:sectPr w:rsidR="00AC7848" w:rsidRPr="00AC7848" w:rsidSect="00CC50C7">
      <w:footerReference w:type="default" r:id="rId12"/>
      <w:pgSz w:w="11906" w:h="16838"/>
      <w:pgMar w:top="284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58E37" w14:textId="77777777" w:rsidR="00E36D6B" w:rsidRDefault="00E36D6B" w:rsidP="00764842">
      <w:pPr>
        <w:spacing w:after="0" w:line="240" w:lineRule="auto"/>
      </w:pPr>
      <w:r>
        <w:separator/>
      </w:r>
    </w:p>
  </w:endnote>
  <w:endnote w:type="continuationSeparator" w:id="0">
    <w:p w14:paraId="782D94A4" w14:textId="77777777" w:rsidR="00E36D6B" w:rsidRDefault="00E36D6B" w:rsidP="0076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565453"/>
      <w:docPartObj>
        <w:docPartGallery w:val="Page Numbers (Bottom of Page)"/>
        <w:docPartUnique/>
      </w:docPartObj>
    </w:sdtPr>
    <w:sdtEndPr/>
    <w:sdtContent>
      <w:p w14:paraId="4C340251" w14:textId="20775DE0" w:rsidR="00AD1A88" w:rsidRDefault="000F7633" w:rsidP="00806286">
        <w:pPr>
          <w:pStyle w:val="Footer"/>
        </w:pPr>
        <w:r>
          <w:t>21</w:t>
        </w:r>
        <w:r w:rsidR="00AC7848">
          <w:t xml:space="preserve">/12/21 </w:t>
        </w:r>
        <w:r w:rsidR="00AD39F1">
          <w:t>(Revised) v</w:t>
        </w:r>
        <w:r w:rsidR="0077459C">
          <w:t>2</w:t>
        </w:r>
        <w:r w:rsidR="00AD1A88">
          <w:t xml:space="preserve">                                                                                                                                                       </w:t>
        </w:r>
        <w:r w:rsidR="00AD1A88">
          <w:fldChar w:fldCharType="begin"/>
        </w:r>
        <w:r w:rsidR="00AD1A88">
          <w:instrText xml:space="preserve"> PAGE   \* MERGEFORMAT </w:instrText>
        </w:r>
        <w:r w:rsidR="00AD1A88">
          <w:fldChar w:fldCharType="separate"/>
        </w:r>
        <w:r w:rsidR="00AD1A88">
          <w:rPr>
            <w:noProof/>
          </w:rPr>
          <w:t>9</w:t>
        </w:r>
        <w:r w:rsidR="00AD1A88">
          <w:rPr>
            <w:noProof/>
          </w:rPr>
          <w:fldChar w:fldCharType="end"/>
        </w:r>
      </w:p>
    </w:sdtContent>
  </w:sdt>
  <w:p w14:paraId="0249B40C" w14:textId="77777777" w:rsidR="00AD1A88" w:rsidRDefault="00AD1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CE2EF" w14:textId="77777777" w:rsidR="00E36D6B" w:rsidRDefault="00E36D6B" w:rsidP="00764842">
      <w:pPr>
        <w:spacing w:after="0" w:line="240" w:lineRule="auto"/>
      </w:pPr>
      <w:r>
        <w:separator/>
      </w:r>
    </w:p>
  </w:footnote>
  <w:footnote w:type="continuationSeparator" w:id="0">
    <w:p w14:paraId="17EADBF9" w14:textId="77777777" w:rsidR="00E36D6B" w:rsidRDefault="00E36D6B" w:rsidP="00764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7B20"/>
    <w:multiLevelType w:val="hybridMultilevel"/>
    <w:tmpl w:val="89843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0480"/>
    <w:multiLevelType w:val="hybridMultilevel"/>
    <w:tmpl w:val="63E6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5B4B"/>
    <w:multiLevelType w:val="hybridMultilevel"/>
    <w:tmpl w:val="396C5A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270B"/>
    <w:multiLevelType w:val="hybridMultilevel"/>
    <w:tmpl w:val="2B362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46C1"/>
    <w:multiLevelType w:val="hybridMultilevel"/>
    <w:tmpl w:val="E95E7C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C06DB"/>
    <w:multiLevelType w:val="hybridMultilevel"/>
    <w:tmpl w:val="676AA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507E"/>
    <w:multiLevelType w:val="multilevel"/>
    <w:tmpl w:val="84E8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A421E3"/>
    <w:multiLevelType w:val="hybridMultilevel"/>
    <w:tmpl w:val="87569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72029"/>
    <w:multiLevelType w:val="hybridMultilevel"/>
    <w:tmpl w:val="85860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72B6F"/>
    <w:multiLevelType w:val="hybridMultilevel"/>
    <w:tmpl w:val="48A2C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57C5F"/>
    <w:multiLevelType w:val="hybridMultilevel"/>
    <w:tmpl w:val="D6028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15F83"/>
    <w:multiLevelType w:val="multilevel"/>
    <w:tmpl w:val="F78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811854"/>
    <w:multiLevelType w:val="hybridMultilevel"/>
    <w:tmpl w:val="ABCE9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24417"/>
    <w:multiLevelType w:val="hybridMultilevel"/>
    <w:tmpl w:val="B2C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2774"/>
    <w:multiLevelType w:val="hybridMultilevel"/>
    <w:tmpl w:val="AA9E03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6CEC"/>
    <w:multiLevelType w:val="hybridMultilevel"/>
    <w:tmpl w:val="88942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7E3C"/>
    <w:multiLevelType w:val="hybridMultilevel"/>
    <w:tmpl w:val="BE3A4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650E"/>
    <w:multiLevelType w:val="hybridMultilevel"/>
    <w:tmpl w:val="35E8606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4957536B"/>
    <w:multiLevelType w:val="hybridMultilevel"/>
    <w:tmpl w:val="4CD884B8"/>
    <w:lvl w:ilvl="0" w:tplc="3AE61CA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712FC"/>
    <w:multiLevelType w:val="hybridMultilevel"/>
    <w:tmpl w:val="C46CE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0396B"/>
    <w:multiLevelType w:val="hybridMultilevel"/>
    <w:tmpl w:val="F6163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019EF"/>
    <w:multiLevelType w:val="hybridMultilevel"/>
    <w:tmpl w:val="C7A6B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5DC7"/>
    <w:multiLevelType w:val="hybridMultilevel"/>
    <w:tmpl w:val="FF502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A0E46"/>
    <w:multiLevelType w:val="hybridMultilevel"/>
    <w:tmpl w:val="88746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C4561"/>
    <w:multiLevelType w:val="hybridMultilevel"/>
    <w:tmpl w:val="40B81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D40F8"/>
    <w:multiLevelType w:val="hybridMultilevel"/>
    <w:tmpl w:val="9A483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0593E"/>
    <w:multiLevelType w:val="multilevel"/>
    <w:tmpl w:val="DA0A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986F4D"/>
    <w:multiLevelType w:val="hybridMultilevel"/>
    <w:tmpl w:val="85D25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16EB"/>
    <w:multiLevelType w:val="multilevel"/>
    <w:tmpl w:val="EDAA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CD4765"/>
    <w:multiLevelType w:val="hybridMultilevel"/>
    <w:tmpl w:val="FB7A1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97AB3"/>
    <w:multiLevelType w:val="hybridMultilevel"/>
    <w:tmpl w:val="FDBE08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67D42"/>
    <w:multiLevelType w:val="hybridMultilevel"/>
    <w:tmpl w:val="604E0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118E7"/>
    <w:multiLevelType w:val="hybridMultilevel"/>
    <w:tmpl w:val="CBD09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E3438"/>
    <w:multiLevelType w:val="hybridMultilevel"/>
    <w:tmpl w:val="C3F649B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6026D0"/>
    <w:multiLevelType w:val="multilevel"/>
    <w:tmpl w:val="5568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6E6697"/>
    <w:multiLevelType w:val="hybridMultilevel"/>
    <w:tmpl w:val="22043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E5109"/>
    <w:multiLevelType w:val="hybridMultilevel"/>
    <w:tmpl w:val="4BFC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17"/>
  </w:num>
  <w:num w:numId="5">
    <w:abstractNumId w:val="0"/>
  </w:num>
  <w:num w:numId="6">
    <w:abstractNumId w:val="23"/>
  </w:num>
  <w:num w:numId="7">
    <w:abstractNumId w:val="27"/>
  </w:num>
  <w:num w:numId="8">
    <w:abstractNumId w:val="16"/>
  </w:num>
  <w:num w:numId="9">
    <w:abstractNumId w:val="36"/>
  </w:num>
  <w:num w:numId="10">
    <w:abstractNumId w:val="1"/>
  </w:num>
  <w:num w:numId="11">
    <w:abstractNumId w:val="6"/>
  </w:num>
  <w:num w:numId="12">
    <w:abstractNumId w:val="28"/>
  </w:num>
  <w:num w:numId="13">
    <w:abstractNumId w:val="34"/>
  </w:num>
  <w:num w:numId="14">
    <w:abstractNumId w:val="2"/>
  </w:num>
  <w:num w:numId="15">
    <w:abstractNumId w:val="30"/>
  </w:num>
  <w:num w:numId="16">
    <w:abstractNumId w:val="26"/>
  </w:num>
  <w:num w:numId="17">
    <w:abstractNumId w:val="11"/>
  </w:num>
  <w:num w:numId="18">
    <w:abstractNumId w:val="13"/>
  </w:num>
  <w:num w:numId="19">
    <w:abstractNumId w:val="19"/>
  </w:num>
  <w:num w:numId="20">
    <w:abstractNumId w:val="12"/>
  </w:num>
  <w:num w:numId="21">
    <w:abstractNumId w:val="18"/>
  </w:num>
  <w:num w:numId="22">
    <w:abstractNumId w:val="21"/>
  </w:num>
  <w:num w:numId="23">
    <w:abstractNumId w:val="3"/>
  </w:num>
  <w:num w:numId="24">
    <w:abstractNumId w:val="29"/>
  </w:num>
  <w:num w:numId="25">
    <w:abstractNumId w:val="25"/>
  </w:num>
  <w:num w:numId="26">
    <w:abstractNumId w:val="15"/>
  </w:num>
  <w:num w:numId="27">
    <w:abstractNumId w:val="5"/>
  </w:num>
  <w:num w:numId="28">
    <w:abstractNumId w:val="7"/>
  </w:num>
  <w:num w:numId="29">
    <w:abstractNumId w:val="20"/>
  </w:num>
  <w:num w:numId="30">
    <w:abstractNumId w:val="22"/>
  </w:num>
  <w:num w:numId="31">
    <w:abstractNumId w:val="32"/>
  </w:num>
  <w:num w:numId="32">
    <w:abstractNumId w:val="8"/>
  </w:num>
  <w:num w:numId="33">
    <w:abstractNumId w:val="35"/>
  </w:num>
  <w:num w:numId="34">
    <w:abstractNumId w:val="33"/>
  </w:num>
  <w:num w:numId="35">
    <w:abstractNumId w:val="10"/>
  </w:num>
  <w:num w:numId="36">
    <w:abstractNumId w:val="3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44"/>
    <w:rsid w:val="00006A4F"/>
    <w:rsid w:val="0000706D"/>
    <w:rsid w:val="00015EB9"/>
    <w:rsid w:val="00020307"/>
    <w:rsid w:val="0004108D"/>
    <w:rsid w:val="00054B10"/>
    <w:rsid w:val="00064682"/>
    <w:rsid w:val="00070C3C"/>
    <w:rsid w:val="00075B8F"/>
    <w:rsid w:val="000816C4"/>
    <w:rsid w:val="00090937"/>
    <w:rsid w:val="00091CE4"/>
    <w:rsid w:val="000933D3"/>
    <w:rsid w:val="00094AD5"/>
    <w:rsid w:val="000961DF"/>
    <w:rsid w:val="00096615"/>
    <w:rsid w:val="00097908"/>
    <w:rsid w:val="000A37A7"/>
    <w:rsid w:val="000A3DF1"/>
    <w:rsid w:val="000A50BE"/>
    <w:rsid w:val="000B08B4"/>
    <w:rsid w:val="000B165C"/>
    <w:rsid w:val="000C060E"/>
    <w:rsid w:val="000C3642"/>
    <w:rsid w:val="000D14AC"/>
    <w:rsid w:val="000D2260"/>
    <w:rsid w:val="000E7918"/>
    <w:rsid w:val="000F236D"/>
    <w:rsid w:val="000F2673"/>
    <w:rsid w:val="000F2821"/>
    <w:rsid w:val="000F7633"/>
    <w:rsid w:val="001001D1"/>
    <w:rsid w:val="001448FC"/>
    <w:rsid w:val="00145156"/>
    <w:rsid w:val="00145B58"/>
    <w:rsid w:val="00152BE7"/>
    <w:rsid w:val="001615B4"/>
    <w:rsid w:val="001664B8"/>
    <w:rsid w:val="00170218"/>
    <w:rsid w:val="00173ED4"/>
    <w:rsid w:val="0017784E"/>
    <w:rsid w:val="00192510"/>
    <w:rsid w:val="00194FB9"/>
    <w:rsid w:val="00195F31"/>
    <w:rsid w:val="00196172"/>
    <w:rsid w:val="001A558E"/>
    <w:rsid w:val="001B4D55"/>
    <w:rsid w:val="001B575C"/>
    <w:rsid w:val="001C2160"/>
    <w:rsid w:val="001D4B77"/>
    <w:rsid w:val="001E76CC"/>
    <w:rsid w:val="001F7177"/>
    <w:rsid w:val="001F7910"/>
    <w:rsid w:val="0020171A"/>
    <w:rsid w:val="00202158"/>
    <w:rsid w:val="00202E6E"/>
    <w:rsid w:val="002109D1"/>
    <w:rsid w:val="00213A88"/>
    <w:rsid w:val="00225E6D"/>
    <w:rsid w:val="002271E6"/>
    <w:rsid w:val="00231606"/>
    <w:rsid w:val="00234AA9"/>
    <w:rsid w:val="0023726F"/>
    <w:rsid w:val="00243B1D"/>
    <w:rsid w:val="0026269D"/>
    <w:rsid w:val="002717DF"/>
    <w:rsid w:val="002752F5"/>
    <w:rsid w:val="00276060"/>
    <w:rsid w:val="00280C80"/>
    <w:rsid w:val="00283C02"/>
    <w:rsid w:val="002841D2"/>
    <w:rsid w:val="00284AC4"/>
    <w:rsid w:val="0029365C"/>
    <w:rsid w:val="002A1014"/>
    <w:rsid w:val="002D430A"/>
    <w:rsid w:val="002D613B"/>
    <w:rsid w:val="002D79EC"/>
    <w:rsid w:val="002E1B8E"/>
    <w:rsid w:val="002E3069"/>
    <w:rsid w:val="002E5CE9"/>
    <w:rsid w:val="002E6A96"/>
    <w:rsid w:val="002E703F"/>
    <w:rsid w:val="00310C5D"/>
    <w:rsid w:val="00310D72"/>
    <w:rsid w:val="00312BDB"/>
    <w:rsid w:val="00313148"/>
    <w:rsid w:val="003223C9"/>
    <w:rsid w:val="00324F70"/>
    <w:rsid w:val="003262D2"/>
    <w:rsid w:val="00326769"/>
    <w:rsid w:val="00331CFA"/>
    <w:rsid w:val="00332AF0"/>
    <w:rsid w:val="00345531"/>
    <w:rsid w:val="00347A63"/>
    <w:rsid w:val="003610FC"/>
    <w:rsid w:val="00365544"/>
    <w:rsid w:val="0036675F"/>
    <w:rsid w:val="003826E6"/>
    <w:rsid w:val="003901B6"/>
    <w:rsid w:val="003A010F"/>
    <w:rsid w:val="003A69DD"/>
    <w:rsid w:val="003A7742"/>
    <w:rsid w:val="003B3C34"/>
    <w:rsid w:val="003C2AF9"/>
    <w:rsid w:val="003C343F"/>
    <w:rsid w:val="003D7A92"/>
    <w:rsid w:val="003F04AD"/>
    <w:rsid w:val="003F1240"/>
    <w:rsid w:val="003F171C"/>
    <w:rsid w:val="003F7C66"/>
    <w:rsid w:val="004042A3"/>
    <w:rsid w:val="0041187F"/>
    <w:rsid w:val="00413DFA"/>
    <w:rsid w:val="00416642"/>
    <w:rsid w:val="004173C8"/>
    <w:rsid w:val="00422169"/>
    <w:rsid w:val="00442A54"/>
    <w:rsid w:val="004503C2"/>
    <w:rsid w:val="00451A7D"/>
    <w:rsid w:val="00455F91"/>
    <w:rsid w:val="00465A5F"/>
    <w:rsid w:val="0046707C"/>
    <w:rsid w:val="0047250E"/>
    <w:rsid w:val="00472557"/>
    <w:rsid w:val="004741B7"/>
    <w:rsid w:val="00491190"/>
    <w:rsid w:val="0049290A"/>
    <w:rsid w:val="004947B8"/>
    <w:rsid w:val="004B33AE"/>
    <w:rsid w:val="004B381E"/>
    <w:rsid w:val="004D015F"/>
    <w:rsid w:val="004D2B3D"/>
    <w:rsid w:val="004D450D"/>
    <w:rsid w:val="004E2C15"/>
    <w:rsid w:val="004F25FE"/>
    <w:rsid w:val="004F355C"/>
    <w:rsid w:val="004F5FDE"/>
    <w:rsid w:val="00521F1D"/>
    <w:rsid w:val="00526CCB"/>
    <w:rsid w:val="005271EF"/>
    <w:rsid w:val="00532AEE"/>
    <w:rsid w:val="00535805"/>
    <w:rsid w:val="00540127"/>
    <w:rsid w:val="005408EC"/>
    <w:rsid w:val="00547D40"/>
    <w:rsid w:val="00553A3A"/>
    <w:rsid w:val="00554DE6"/>
    <w:rsid w:val="00554FF0"/>
    <w:rsid w:val="00575559"/>
    <w:rsid w:val="005769E4"/>
    <w:rsid w:val="0058374F"/>
    <w:rsid w:val="00583F44"/>
    <w:rsid w:val="00584D7B"/>
    <w:rsid w:val="00587933"/>
    <w:rsid w:val="005A0BBB"/>
    <w:rsid w:val="005A1F06"/>
    <w:rsid w:val="005A3BB0"/>
    <w:rsid w:val="005A5B62"/>
    <w:rsid w:val="005B0179"/>
    <w:rsid w:val="005B61CD"/>
    <w:rsid w:val="005B7A01"/>
    <w:rsid w:val="005B7ABB"/>
    <w:rsid w:val="005C4380"/>
    <w:rsid w:val="005C4F6A"/>
    <w:rsid w:val="005D7CA7"/>
    <w:rsid w:val="005F2AB2"/>
    <w:rsid w:val="005F465C"/>
    <w:rsid w:val="00604253"/>
    <w:rsid w:val="0060729C"/>
    <w:rsid w:val="00607D52"/>
    <w:rsid w:val="00620B31"/>
    <w:rsid w:val="00621DCD"/>
    <w:rsid w:val="00625B75"/>
    <w:rsid w:val="0062740F"/>
    <w:rsid w:val="00644E8B"/>
    <w:rsid w:val="006609E6"/>
    <w:rsid w:val="00666020"/>
    <w:rsid w:val="0066709C"/>
    <w:rsid w:val="00683926"/>
    <w:rsid w:val="00685CED"/>
    <w:rsid w:val="006867F2"/>
    <w:rsid w:val="00686977"/>
    <w:rsid w:val="006870B9"/>
    <w:rsid w:val="00693543"/>
    <w:rsid w:val="006952FB"/>
    <w:rsid w:val="006A1307"/>
    <w:rsid w:val="006A3905"/>
    <w:rsid w:val="006B0EA8"/>
    <w:rsid w:val="006B1091"/>
    <w:rsid w:val="006E017C"/>
    <w:rsid w:val="006E200B"/>
    <w:rsid w:val="006E4390"/>
    <w:rsid w:val="006F1AB2"/>
    <w:rsid w:val="006F20C4"/>
    <w:rsid w:val="006F25B9"/>
    <w:rsid w:val="006F5ACE"/>
    <w:rsid w:val="006F6BC6"/>
    <w:rsid w:val="0070577C"/>
    <w:rsid w:val="0070691E"/>
    <w:rsid w:val="00707464"/>
    <w:rsid w:val="007170FB"/>
    <w:rsid w:val="0071763F"/>
    <w:rsid w:val="007200D2"/>
    <w:rsid w:val="0072502E"/>
    <w:rsid w:val="007379F3"/>
    <w:rsid w:val="00760B2F"/>
    <w:rsid w:val="00764842"/>
    <w:rsid w:val="00771DF7"/>
    <w:rsid w:val="0077459C"/>
    <w:rsid w:val="00780663"/>
    <w:rsid w:val="00781B9A"/>
    <w:rsid w:val="007A4579"/>
    <w:rsid w:val="007A6516"/>
    <w:rsid w:val="007C5E9F"/>
    <w:rsid w:val="007D2228"/>
    <w:rsid w:val="007D7500"/>
    <w:rsid w:val="007E21BB"/>
    <w:rsid w:val="007E5A23"/>
    <w:rsid w:val="007E7F46"/>
    <w:rsid w:val="007F5C09"/>
    <w:rsid w:val="007F5DBC"/>
    <w:rsid w:val="008038F5"/>
    <w:rsid w:val="00806286"/>
    <w:rsid w:val="008125C8"/>
    <w:rsid w:val="0081436B"/>
    <w:rsid w:val="00824621"/>
    <w:rsid w:val="00827DD6"/>
    <w:rsid w:val="0083264E"/>
    <w:rsid w:val="00833325"/>
    <w:rsid w:val="0083482B"/>
    <w:rsid w:val="0083684F"/>
    <w:rsid w:val="0086048E"/>
    <w:rsid w:val="00862549"/>
    <w:rsid w:val="008631A8"/>
    <w:rsid w:val="008661E5"/>
    <w:rsid w:val="00870DD6"/>
    <w:rsid w:val="00871FE5"/>
    <w:rsid w:val="00873DAB"/>
    <w:rsid w:val="00874E89"/>
    <w:rsid w:val="00885BB9"/>
    <w:rsid w:val="00892E74"/>
    <w:rsid w:val="0089417E"/>
    <w:rsid w:val="008962AE"/>
    <w:rsid w:val="00897BC0"/>
    <w:rsid w:val="008A3985"/>
    <w:rsid w:val="008C4978"/>
    <w:rsid w:val="008D2635"/>
    <w:rsid w:val="008D7E23"/>
    <w:rsid w:val="008E7C14"/>
    <w:rsid w:val="008F32BD"/>
    <w:rsid w:val="008F4FDC"/>
    <w:rsid w:val="008F65B8"/>
    <w:rsid w:val="008F65C5"/>
    <w:rsid w:val="00904F73"/>
    <w:rsid w:val="00910A91"/>
    <w:rsid w:val="009502AF"/>
    <w:rsid w:val="00952FB9"/>
    <w:rsid w:val="0095356C"/>
    <w:rsid w:val="00960F39"/>
    <w:rsid w:val="0096473A"/>
    <w:rsid w:val="009658E6"/>
    <w:rsid w:val="009678B1"/>
    <w:rsid w:val="00975550"/>
    <w:rsid w:val="00975F56"/>
    <w:rsid w:val="00986738"/>
    <w:rsid w:val="00990464"/>
    <w:rsid w:val="0099147C"/>
    <w:rsid w:val="009A3573"/>
    <w:rsid w:val="009B047A"/>
    <w:rsid w:val="009B5F05"/>
    <w:rsid w:val="009C2D8B"/>
    <w:rsid w:val="009D3C50"/>
    <w:rsid w:val="009D6CE1"/>
    <w:rsid w:val="009E4C3D"/>
    <w:rsid w:val="009F66AB"/>
    <w:rsid w:val="00A122A4"/>
    <w:rsid w:val="00A1648E"/>
    <w:rsid w:val="00A218C9"/>
    <w:rsid w:val="00A23133"/>
    <w:rsid w:val="00A25F4B"/>
    <w:rsid w:val="00A37912"/>
    <w:rsid w:val="00A41011"/>
    <w:rsid w:val="00A4482F"/>
    <w:rsid w:val="00A45784"/>
    <w:rsid w:val="00A52C61"/>
    <w:rsid w:val="00A549A4"/>
    <w:rsid w:val="00A62310"/>
    <w:rsid w:val="00A77DD9"/>
    <w:rsid w:val="00A8412B"/>
    <w:rsid w:val="00A91DB3"/>
    <w:rsid w:val="00A96694"/>
    <w:rsid w:val="00A9693B"/>
    <w:rsid w:val="00AA2ED3"/>
    <w:rsid w:val="00AA3E44"/>
    <w:rsid w:val="00AA42D9"/>
    <w:rsid w:val="00AB16C7"/>
    <w:rsid w:val="00AB55F9"/>
    <w:rsid w:val="00AC0118"/>
    <w:rsid w:val="00AC44E6"/>
    <w:rsid w:val="00AC69B0"/>
    <w:rsid w:val="00AC7848"/>
    <w:rsid w:val="00AD1A88"/>
    <w:rsid w:val="00AD1FC3"/>
    <w:rsid w:val="00AD39F1"/>
    <w:rsid w:val="00AD6B8E"/>
    <w:rsid w:val="00AE1CDB"/>
    <w:rsid w:val="00AE60C2"/>
    <w:rsid w:val="00AE695E"/>
    <w:rsid w:val="00AF4DF1"/>
    <w:rsid w:val="00B00B70"/>
    <w:rsid w:val="00B104D4"/>
    <w:rsid w:val="00B1728B"/>
    <w:rsid w:val="00B219ED"/>
    <w:rsid w:val="00B4007B"/>
    <w:rsid w:val="00B4392E"/>
    <w:rsid w:val="00B52CF4"/>
    <w:rsid w:val="00B83266"/>
    <w:rsid w:val="00B843C6"/>
    <w:rsid w:val="00B915E5"/>
    <w:rsid w:val="00BA01A5"/>
    <w:rsid w:val="00BA1771"/>
    <w:rsid w:val="00BA23A6"/>
    <w:rsid w:val="00BB7F1B"/>
    <w:rsid w:val="00BC08BD"/>
    <w:rsid w:val="00BC5063"/>
    <w:rsid w:val="00BD0FCC"/>
    <w:rsid w:val="00BD4F6C"/>
    <w:rsid w:val="00BE122F"/>
    <w:rsid w:val="00BE28A8"/>
    <w:rsid w:val="00C070AB"/>
    <w:rsid w:val="00C101DA"/>
    <w:rsid w:val="00C10541"/>
    <w:rsid w:val="00C153E9"/>
    <w:rsid w:val="00C16860"/>
    <w:rsid w:val="00C2157B"/>
    <w:rsid w:val="00C26A5E"/>
    <w:rsid w:val="00C45333"/>
    <w:rsid w:val="00C466BE"/>
    <w:rsid w:val="00C46A84"/>
    <w:rsid w:val="00C5084F"/>
    <w:rsid w:val="00C54196"/>
    <w:rsid w:val="00C60AC3"/>
    <w:rsid w:val="00C621D1"/>
    <w:rsid w:val="00C70724"/>
    <w:rsid w:val="00C732B5"/>
    <w:rsid w:val="00C75442"/>
    <w:rsid w:val="00C81EBC"/>
    <w:rsid w:val="00C92AA7"/>
    <w:rsid w:val="00C93B0F"/>
    <w:rsid w:val="00CB02D2"/>
    <w:rsid w:val="00CB1C8F"/>
    <w:rsid w:val="00CB342B"/>
    <w:rsid w:val="00CB38B9"/>
    <w:rsid w:val="00CB53DD"/>
    <w:rsid w:val="00CB5C5A"/>
    <w:rsid w:val="00CC190D"/>
    <w:rsid w:val="00CC50C7"/>
    <w:rsid w:val="00CD32D3"/>
    <w:rsid w:val="00CE26AE"/>
    <w:rsid w:val="00CE270F"/>
    <w:rsid w:val="00CE7AF1"/>
    <w:rsid w:val="00CF4ABC"/>
    <w:rsid w:val="00D0478F"/>
    <w:rsid w:val="00D122BF"/>
    <w:rsid w:val="00D206EC"/>
    <w:rsid w:val="00D20CE0"/>
    <w:rsid w:val="00D333F5"/>
    <w:rsid w:val="00D4131C"/>
    <w:rsid w:val="00D61D99"/>
    <w:rsid w:val="00D63B00"/>
    <w:rsid w:val="00D81B12"/>
    <w:rsid w:val="00D868B8"/>
    <w:rsid w:val="00DB60AB"/>
    <w:rsid w:val="00DC24D5"/>
    <w:rsid w:val="00DD0CE6"/>
    <w:rsid w:val="00DE01BF"/>
    <w:rsid w:val="00DE407F"/>
    <w:rsid w:val="00DE5FE9"/>
    <w:rsid w:val="00DF3C17"/>
    <w:rsid w:val="00DF74A5"/>
    <w:rsid w:val="00E01207"/>
    <w:rsid w:val="00E06EC1"/>
    <w:rsid w:val="00E07500"/>
    <w:rsid w:val="00E07D2C"/>
    <w:rsid w:val="00E20ACF"/>
    <w:rsid w:val="00E30056"/>
    <w:rsid w:val="00E36D6B"/>
    <w:rsid w:val="00E50086"/>
    <w:rsid w:val="00E5257C"/>
    <w:rsid w:val="00E6190D"/>
    <w:rsid w:val="00E674EC"/>
    <w:rsid w:val="00E701BE"/>
    <w:rsid w:val="00E83E6C"/>
    <w:rsid w:val="00EA16D9"/>
    <w:rsid w:val="00EA2CDA"/>
    <w:rsid w:val="00EB0648"/>
    <w:rsid w:val="00EB3173"/>
    <w:rsid w:val="00EB3D24"/>
    <w:rsid w:val="00EB467B"/>
    <w:rsid w:val="00EB6727"/>
    <w:rsid w:val="00EB6C88"/>
    <w:rsid w:val="00EC2840"/>
    <w:rsid w:val="00EC2FB9"/>
    <w:rsid w:val="00EC4255"/>
    <w:rsid w:val="00EC5689"/>
    <w:rsid w:val="00ED4696"/>
    <w:rsid w:val="00ED57B7"/>
    <w:rsid w:val="00EE6CBC"/>
    <w:rsid w:val="00EF1118"/>
    <w:rsid w:val="00EF1A86"/>
    <w:rsid w:val="00EF5D98"/>
    <w:rsid w:val="00EF71DA"/>
    <w:rsid w:val="00F00C42"/>
    <w:rsid w:val="00F05689"/>
    <w:rsid w:val="00F1468C"/>
    <w:rsid w:val="00F22562"/>
    <w:rsid w:val="00F22DE3"/>
    <w:rsid w:val="00F22F2F"/>
    <w:rsid w:val="00F243DD"/>
    <w:rsid w:val="00F27588"/>
    <w:rsid w:val="00F423FE"/>
    <w:rsid w:val="00F47541"/>
    <w:rsid w:val="00F51BDD"/>
    <w:rsid w:val="00F520B7"/>
    <w:rsid w:val="00F553F5"/>
    <w:rsid w:val="00F714E3"/>
    <w:rsid w:val="00F738BE"/>
    <w:rsid w:val="00F75435"/>
    <w:rsid w:val="00F96984"/>
    <w:rsid w:val="00FA6085"/>
    <w:rsid w:val="00FC286A"/>
    <w:rsid w:val="00FC292A"/>
    <w:rsid w:val="00FD1906"/>
    <w:rsid w:val="00FD482C"/>
    <w:rsid w:val="00FD5D8E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741ADB"/>
  <w15:docId w15:val="{C57B0ED4-8962-4F6A-BBE6-066A57BA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544"/>
    <w:pPr>
      <w:ind w:left="720"/>
      <w:contextualSpacing/>
    </w:pPr>
  </w:style>
  <w:style w:type="table" w:styleId="TableGrid">
    <w:name w:val="Table Grid"/>
    <w:basedOn w:val="TableNormal"/>
    <w:uiPriority w:val="39"/>
    <w:rsid w:val="00FD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D19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8F65C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42"/>
  </w:style>
  <w:style w:type="paragraph" w:styleId="Footer">
    <w:name w:val="footer"/>
    <w:basedOn w:val="Normal"/>
    <w:link w:val="FooterChar"/>
    <w:uiPriority w:val="99"/>
    <w:unhideWhenUsed/>
    <w:rsid w:val="00764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42"/>
  </w:style>
  <w:style w:type="character" w:styleId="CommentReference">
    <w:name w:val="annotation reference"/>
    <w:basedOn w:val="DefaultParagraphFont"/>
    <w:uiPriority w:val="99"/>
    <w:semiHidden/>
    <w:unhideWhenUsed/>
    <w:rsid w:val="002E1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B8E"/>
    <w:rPr>
      <w:b/>
      <w:bCs/>
      <w:sz w:val="20"/>
      <w:szCs w:val="20"/>
    </w:rPr>
  </w:style>
  <w:style w:type="paragraph" w:customStyle="1" w:styleId="Default">
    <w:name w:val="Default"/>
    <w:rsid w:val="005B7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DDB8370E0EE4AAF00DEA55D6EAB02" ma:contentTypeVersion="9" ma:contentTypeDescription="Create a new document." ma:contentTypeScope="" ma:versionID="fbcea89dba18ea43f3381c5455086451">
  <xsd:schema xmlns:xsd="http://www.w3.org/2001/XMLSchema" xmlns:xs="http://www.w3.org/2001/XMLSchema" xmlns:p="http://schemas.microsoft.com/office/2006/metadata/properties" xmlns:ns3="25774087-7466-4e0e-8856-caacc46e49a0" targetNamespace="http://schemas.microsoft.com/office/2006/metadata/properties" ma:root="true" ma:fieldsID="dadefdb7d5cd1275d347abead8f0589a" ns3:_="">
    <xsd:import namespace="25774087-7466-4e0e-8856-caacc46e4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74087-7466-4e0e-8856-caacc46e4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A0660-2DB4-453E-864A-DC2C162828B9}">
  <ds:schemaRefs>
    <ds:schemaRef ds:uri="http://purl.org/dc/terms/"/>
    <ds:schemaRef ds:uri="http://schemas.openxmlformats.org/package/2006/metadata/core-properties"/>
    <ds:schemaRef ds:uri="25774087-7466-4e0e-8856-caacc46e49a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5B56F1-613F-4A72-94C7-482FF12EC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74087-7466-4e0e-8856-caacc46e4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4A013-53D8-4F20-9D56-CF74063F9F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AC4146-5512-40FE-A861-417F90148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Tilly Heigh</cp:lastModifiedBy>
  <cp:revision>2</cp:revision>
  <dcterms:created xsi:type="dcterms:W3CDTF">2022-04-28T12:43:00Z</dcterms:created>
  <dcterms:modified xsi:type="dcterms:W3CDTF">2022-04-28T12:43:00Z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0x01010090BDDB8370E0EE4AAF00DEA55D6EAB02</vt:lpwstr>
  </property>
</Properties>
</file>