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CCFA" w14:textId="77777777" w:rsidR="00D15267" w:rsidRDefault="00D15267">
      <w:pPr>
        <w:rPr>
          <w:rFonts w:ascii="Arial" w:hAnsi="Arial" w:cs="Arial"/>
          <w:b/>
          <w:bCs/>
          <w:sz w:val="28"/>
          <w:szCs w:val="28"/>
        </w:rPr>
      </w:pPr>
      <w:r w:rsidRPr="00C331EB">
        <w:rPr>
          <w:noProof/>
        </w:rPr>
        <w:drawing>
          <wp:inline distT="0" distB="0" distL="0" distR="0" wp14:anchorId="7F90E7D2" wp14:editId="751A62F7">
            <wp:extent cx="2247900" cy="45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11D5AA95" w14:textId="77777777" w:rsidR="00D15267" w:rsidRDefault="00D15267">
      <w:pPr>
        <w:rPr>
          <w:rFonts w:ascii="Arial" w:hAnsi="Arial" w:cs="Arial"/>
          <w:b/>
          <w:bCs/>
          <w:sz w:val="28"/>
          <w:szCs w:val="28"/>
        </w:rPr>
      </w:pPr>
    </w:p>
    <w:p w14:paraId="41E0D1D0" w14:textId="157940AE" w:rsidR="00D15267" w:rsidRDefault="00D15267">
      <w:pPr>
        <w:rPr>
          <w:rFonts w:ascii="Arial" w:hAnsi="Arial" w:cs="Arial"/>
          <w:b/>
          <w:bCs/>
          <w:sz w:val="28"/>
          <w:szCs w:val="28"/>
        </w:rPr>
      </w:pPr>
    </w:p>
    <w:p w14:paraId="67B31778" w14:textId="26DB131C" w:rsidR="00D15267" w:rsidRDefault="00D15267">
      <w:pPr>
        <w:rPr>
          <w:rFonts w:ascii="Arial" w:hAnsi="Arial" w:cs="Arial"/>
          <w:b/>
          <w:bCs/>
          <w:sz w:val="28"/>
          <w:szCs w:val="28"/>
        </w:rPr>
      </w:pPr>
    </w:p>
    <w:p w14:paraId="3D78EC58" w14:textId="630FB745" w:rsidR="00D15267" w:rsidRDefault="00D15267" w:rsidP="00316AC4">
      <w:pPr>
        <w:pStyle w:val="Policyheadings"/>
        <w:numPr>
          <w:ilvl w:val="0"/>
          <w:numId w:val="0"/>
        </w:numPr>
        <w:ind w:left="284"/>
      </w:pPr>
    </w:p>
    <w:p w14:paraId="6CF6C0F5" w14:textId="77777777" w:rsidR="00D15267" w:rsidRDefault="00D15267">
      <w:pPr>
        <w:rPr>
          <w:rFonts w:ascii="Arial" w:hAnsi="Arial" w:cs="Arial"/>
          <w:b/>
          <w:bCs/>
          <w:sz w:val="28"/>
          <w:szCs w:val="28"/>
        </w:rPr>
      </w:pPr>
    </w:p>
    <w:p w14:paraId="263BC47F" w14:textId="77777777" w:rsidR="00D15267" w:rsidRDefault="00D15267">
      <w:pPr>
        <w:rPr>
          <w:rFonts w:ascii="Arial" w:hAnsi="Arial" w:cs="Arial"/>
          <w:b/>
          <w:bCs/>
          <w:sz w:val="28"/>
          <w:szCs w:val="28"/>
        </w:rPr>
      </w:pPr>
    </w:p>
    <w:p w14:paraId="459DD032" w14:textId="5E34E85E" w:rsidR="00D15267" w:rsidRPr="00AE7F96" w:rsidRDefault="00D15267" w:rsidP="00D15267">
      <w:pPr>
        <w:pStyle w:val="Default"/>
        <w:ind w:right="638" w:firstLine="426"/>
        <w:jc w:val="center"/>
        <w:rPr>
          <w:rFonts w:ascii="Calibri" w:hAnsi="Calibri" w:cs="Calibri"/>
          <w:b/>
          <w:bCs/>
          <w:sz w:val="48"/>
          <w:szCs w:val="48"/>
        </w:rPr>
      </w:pPr>
      <w:r w:rsidRPr="00AE7F96">
        <w:rPr>
          <w:rFonts w:ascii="Calibri" w:hAnsi="Calibri" w:cs="Calibri"/>
          <w:b/>
          <w:bCs/>
          <w:sz w:val="48"/>
          <w:szCs w:val="48"/>
        </w:rPr>
        <w:t>POLICY AND PRACTICE GUIDANCE</w:t>
      </w:r>
    </w:p>
    <w:p w14:paraId="5248F1D1" w14:textId="5BF1730F" w:rsidR="00D15267" w:rsidRPr="00AE7F96" w:rsidRDefault="00044228" w:rsidP="00D15267">
      <w:pPr>
        <w:pStyle w:val="Default"/>
        <w:ind w:right="638" w:firstLine="426"/>
        <w:jc w:val="center"/>
        <w:rPr>
          <w:rFonts w:ascii="Calibri" w:hAnsi="Calibri" w:cs="Calibri"/>
          <w:b/>
          <w:bCs/>
          <w:sz w:val="48"/>
          <w:szCs w:val="48"/>
        </w:rPr>
      </w:pPr>
      <w:r>
        <w:rPr>
          <w:rFonts w:ascii="Calibri" w:hAnsi="Calibri" w:cs="Calibri"/>
          <w:b/>
          <w:bCs/>
          <w:sz w:val="48"/>
          <w:szCs w:val="48"/>
        </w:rPr>
        <w:t>GOVERNANCE ARRANGEMENTS</w:t>
      </w:r>
    </w:p>
    <w:p w14:paraId="58416492" w14:textId="5FBC0A75" w:rsidR="00D15267" w:rsidRDefault="00D15267" w:rsidP="00D15267">
      <w:pPr>
        <w:pStyle w:val="Default"/>
        <w:ind w:right="638" w:firstLine="426"/>
        <w:jc w:val="center"/>
        <w:rPr>
          <w:rFonts w:ascii="Calibri" w:hAnsi="Calibri" w:cs="Calibri"/>
          <w:sz w:val="48"/>
          <w:szCs w:val="48"/>
        </w:rPr>
      </w:pPr>
    </w:p>
    <w:p w14:paraId="4BEA070A" w14:textId="6C1CF0FC" w:rsidR="00D15267" w:rsidRDefault="00D15267" w:rsidP="00D15267">
      <w:pPr>
        <w:pStyle w:val="Default"/>
        <w:ind w:right="638" w:firstLine="426"/>
        <w:jc w:val="center"/>
        <w:rPr>
          <w:rFonts w:ascii="Calibri" w:hAnsi="Calibri" w:cs="Calibri"/>
          <w:sz w:val="48"/>
          <w:szCs w:val="48"/>
        </w:rPr>
      </w:pPr>
    </w:p>
    <w:p w14:paraId="2D55D208" w14:textId="506758B1" w:rsidR="00D15267" w:rsidRDefault="00D15267" w:rsidP="00D15267">
      <w:pPr>
        <w:pStyle w:val="Default"/>
        <w:ind w:right="638" w:firstLine="426"/>
        <w:jc w:val="center"/>
        <w:rPr>
          <w:rFonts w:ascii="Calibri" w:hAnsi="Calibri" w:cs="Calibri"/>
          <w:sz w:val="48"/>
          <w:szCs w:val="48"/>
        </w:rPr>
      </w:pPr>
    </w:p>
    <w:p w14:paraId="27C26BB3" w14:textId="68AA6CFE" w:rsidR="00D15267" w:rsidRDefault="00D15267" w:rsidP="00D15267">
      <w:pPr>
        <w:pStyle w:val="Default"/>
        <w:ind w:right="638" w:firstLine="426"/>
        <w:jc w:val="center"/>
        <w:rPr>
          <w:rFonts w:ascii="Calibri" w:hAnsi="Calibri" w:cs="Calibri"/>
          <w:sz w:val="48"/>
          <w:szCs w:val="48"/>
        </w:rPr>
      </w:pPr>
    </w:p>
    <w:p w14:paraId="6D244A9A" w14:textId="244ED93A" w:rsidR="00D15267" w:rsidRDefault="00D15267" w:rsidP="00D15267">
      <w:pPr>
        <w:pStyle w:val="Default"/>
        <w:ind w:right="638" w:firstLine="426"/>
        <w:jc w:val="center"/>
        <w:rPr>
          <w:rFonts w:ascii="Calibri" w:hAnsi="Calibri" w:cs="Calibri"/>
          <w:sz w:val="48"/>
          <w:szCs w:val="48"/>
        </w:rPr>
      </w:pPr>
    </w:p>
    <w:p w14:paraId="142039B6" w14:textId="3352AD3F" w:rsidR="00D15267" w:rsidRDefault="00D15267" w:rsidP="00D15267">
      <w:pPr>
        <w:pStyle w:val="Default"/>
        <w:ind w:right="638" w:firstLine="426"/>
        <w:jc w:val="center"/>
        <w:rPr>
          <w:rFonts w:ascii="Calibri" w:hAnsi="Calibri" w:cs="Calibri"/>
          <w:sz w:val="48"/>
          <w:szCs w:val="48"/>
        </w:rPr>
      </w:pPr>
    </w:p>
    <w:p w14:paraId="05CD1139" w14:textId="5D523E99" w:rsidR="00D15267" w:rsidRDefault="00D15267" w:rsidP="00D15267">
      <w:pPr>
        <w:pStyle w:val="Default"/>
        <w:ind w:right="638" w:firstLine="426"/>
        <w:jc w:val="center"/>
        <w:rPr>
          <w:rFonts w:ascii="Calibri" w:hAnsi="Calibri" w:cs="Calibri"/>
          <w:sz w:val="48"/>
          <w:szCs w:val="48"/>
        </w:rPr>
      </w:pPr>
    </w:p>
    <w:p w14:paraId="37386CBE" w14:textId="0AB083DA" w:rsidR="00F248B3" w:rsidRDefault="00F248B3" w:rsidP="00D15267">
      <w:pPr>
        <w:pStyle w:val="Default"/>
        <w:ind w:right="638" w:firstLine="426"/>
        <w:jc w:val="center"/>
        <w:rPr>
          <w:rFonts w:ascii="Calibri" w:hAnsi="Calibri" w:cs="Calibri"/>
          <w:sz w:val="48"/>
          <w:szCs w:val="48"/>
        </w:rPr>
      </w:pPr>
    </w:p>
    <w:p w14:paraId="30BEF8F8" w14:textId="77777777" w:rsidR="00F248B3" w:rsidRDefault="00F248B3" w:rsidP="00D15267">
      <w:pPr>
        <w:pStyle w:val="Default"/>
        <w:ind w:right="638" w:firstLine="426"/>
        <w:jc w:val="center"/>
        <w:rPr>
          <w:rFonts w:ascii="Calibri" w:hAnsi="Calibri" w:cs="Calibri"/>
          <w:sz w:val="48"/>
          <w:szCs w:val="48"/>
        </w:rPr>
      </w:pPr>
    </w:p>
    <w:p w14:paraId="477DB3AB" w14:textId="3C627951" w:rsidR="00D15267" w:rsidRDefault="00D15267" w:rsidP="00D15267">
      <w:pPr>
        <w:pStyle w:val="Default"/>
        <w:ind w:right="638" w:firstLine="426"/>
        <w:jc w:val="center"/>
        <w:rPr>
          <w:rFonts w:ascii="Calibri" w:hAnsi="Calibri" w:cs="Calibri"/>
          <w:sz w:val="48"/>
          <w:szCs w:val="48"/>
        </w:rPr>
      </w:pPr>
    </w:p>
    <w:p w14:paraId="6EB2BA63" w14:textId="77777777" w:rsidR="00D15267" w:rsidRDefault="00D15267" w:rsidP="00D15267">
      <w:pPr>
        <w:jc w:val="right"/>
        <w:rPr>
          <w:rFonts w:ascii="Calibri" w:eastAsia="Calibri" w:hAnsi="Calibri" w:cs="Times New Roman"/>
          <w:b/>
          <w:bCs/>
          <w:noProof/>
          <w:color w:val="ED7D31"/>
          <w:sz w:val="32"/>
          <w:szCs w:val="32"/>
        </w:rPr>
      </w:pPr>
    </w:p>
    <w:p w14:paraId="3888F794" w14:textId="77777777" w:rsidR="00D15267" w:rsidRDefault="00D15267" w:rsidP="00D15267">
      <w:pPr>
        <w:jc w:val="right"/>
        <w:rPr>
          <w:rFonts w:ascii="Calibri" w:eastAsia="Calibri" w:hAnsi="Calibri" w:cs="Times New Roman"/>
          <w:b/>
          <w:bCs/>
          <w:noProof/>
          <w:color w:val="ED7D31"/>
          <w:sz w:val="32"/>
          <w:szCs w:val="32"/>
        </w:rPr>
      </w:pPr>
    </w:p>
    <w:p w14:paraId="75E9192D" w14:textId="77777777" w:rsidR="00D15267" w:rsidRDefault="00D15267" w:rsidP="00D15267">
      <w:pPr>
        <w:jc w:val="right"/>
        <w:rPr>
          <w:rFonts w:ascii="Calibri" w:eastAsia="Calibri" w:hAnsi="Calibri" w:cs="Times New Roman"/>
          <w:b/>
          <w:bCs/>
          <w:noProof/>
          <w:color w:val="ED7D31"/>
          <w:sz w:val="32"/>
          <w:szCs w:val="32"/>
        </w:rPr>
      </w:pPr>
    </w:p>
    <w:p w14:paraId="2E4704A6" w14:textId="77777777" w:rsidR="00D15267" w:rsidRPr="00AE7F96" w:rsidRDefault="00D15267" w:rsidP="007E5678">
      <w:pPr>
        <w:spacing w:after="0" w:line="240" w:lineRule="auto"/>
        <w:jc w:val="right"/>
        <w:rPr>
          <w:rFonts w:ascii="Calibri" w:eastAsia="Calibri" w:hAnsi="Calibri" w:cs="Times New Roman"/>
          <w:b/>
          <w:bCs/>
          <w:noProof/>
          <w:color w:val="ED7C2F"/>
          <w:sz w:val="32"/>
          <w:szCs w:val="32"/>
        </w:rPr>
      </w:pPr>
      <w:r w:rsidRPr="00AE7F96">
        <w:rPr>
          <w:rFonts w:ascii="Calibri" w:eastAsia="Calibri" w:hAnsi="Calibri" w:cs="Times New Roman"/>
          <w:b/>
          <w:bCs/>
          <w:noProof/>
          <w:color w:val="ED7C2F"/>
          <w:sz w:val="32"/>
          <w:szCs w:val="32"/>
        </w:rPr>
        <w:t xml:space="preserve">SEPTEMBER 2022 </w:t>
      </w:r>
    </w:p>
    <w:p w14:paraId="5E2D6BF6" w14:textId="0C3733D8" w:rsidR="00AB47FC" w:rsidRDefault="00000861" w:rsidP="007E5678">
      <w:pPr>
        <w:spacing w:after="0" w:line="240" w:lineRule="auto"/>
        <w:jc w:val="right"/>
        <w:rPr>
          <w:rFonts w:ascii="Arial" w:hAnsi="Arial" w:cs="Arial"/>
          <w:b/>
          <w:bCs/>
          <w:sz w:val="28"/>
          <w:szCs w:val="28"/>
        </w:rPr>
        <w:sectPr w:rsidR="00AB47FC" w:rsidSect="00156CC9">
          <w:footerReference w:type="default" r:id="rId12"/>
          <w:pgSz w:w="11906" w:h="17338"/>
          <w:pgMar w:top="1440" w:right="1440" w:bottom="1440" w:left="1440" w:header="709" w:footer="720" w:gutter="0"/>
          <w:pgNumType w:start="0"/>
          <w:cols w:space="720"/>
          <w:noEndnote/>
          <w:docGrid w:linePitch="299"/>
        </w:sectPr>
      </w:pPr>
      <w:r>
        <w:rPr>
          <w:rFonts w:ascii="Calibri" w:eastAsia="Calibri" w:hAnsi="Calibri" w:cs="Times New Roman"/>
          <w:b/>
          <w:bCs/>
          <w:noProof/>
          <w:color w:val="ED7D31"/>
          <w:sz w:val="32"/>
          <w:szCs w:val="32"/>
        </w:rPr>
        <w:t>V1.0</w:t>
      </w:r>
      <w:r w:rsidR="007C0A6D">
        <w:rPr>
          <w:rFonts w:ascii="Arial" w:hAnsi="Arial" w:cs="Arial"/>
          <w:b/>
          <w:bCs/>
          <w:sz w:val="28"/>
          <w:szCs w:val="28"/>
        </w:rPr>
        <w:br w:type="page"/>
      </w:r>
    </w:p>
    <w:p w14:paraId="1CB9D3F4" w14:textId="77777777" w:rsidR="00AE7F96" w:rsidRDefault="00AE7F96">
      <w:pPr>
        <w:rPr>
          <w:rFonts w:ascii="Arial" w:hAnsi="Arial" w:cs="Arial"/>
          <w:b/>
          <w:bCs/>
          <w:sz w:val="28"/>
          <w:szCs w:val="28"/>
        </w:rPr>
      </w:pPr>
    </w:p>
    <w:tbl>
      <w:tblPr>
        <w:tblpPr w:leftFromText="180" w:rightFromText="180"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893"/>
        <w:gridCol w:w="1317"/>
      </w:tblGrid>
      <w:tr w:rsidR="00AF0D66" w:rsidRPr="00DC5E03" w14:paraId="7E3AC6C8" w14:textId="77777777" w:rsidTr="000D08F1">
        <w:tc>
          <w:tcPr>
            <w:tcW w:w="806" w:type="dxa"/>
            <w:shd w:val="clear" w:color="auto" w:fill="auto"/>
          </w:tcPr>
          <w:p w14:paraId="43701014" w14:textId="77777777" w:rsidR="00AF0D66" w:rsidRPr="00DC5E03" w:rsidRDefault="00AF0D66" w:rsidP="000D08F1">
            <w:pPr>
              <w:pStyle w:val="NoSpacing"/>
              <w:spacing w:line="360" w:lineRule="auto"/>
              <w:rPr>
                <w:b/>
                <w:color w:val="000000"/>
                <w:sz w:val="24"/>
                <w:szCs w:val="24"/>
              </w:rPr>
            </w:pPr>
          </w:p>
        </w:tc>
        <w:tc>
          <w:tcPr>
            <w:tcW w:w="6893" w:type="dxa"/>
            <w:shd w:val="clear" w:color="auto" w:fill="auto"/>
          </w:tcPr>
          <w:p w14:paraId="3D25982C" w14:textId="77777777" w:rsidR="00AF0D66" w:rsidRPr="00DC5E03" w:rsidRDefault="00AF0D66" w:rsidP="000D08F1">
            <w:pPr>
              <w:pStyle w:val="NoSpacing"/>
              <w:spacing w:line="360" w:lineRule="auto"/>
              <w:rPr>
                <w:b/>
                <w:color w:val="000000"/>
                <w:sz w:val="24"/>
                <w:szCs w:val="24"/>
              </w:rPr>
            </w:pPr>
            <w:r w:rsidRPr="00DC5E03">
              <w:rPr>
                <w:b/>
                <w:color w:val="000000"/>
                <w:sz w:val="24"/>
                <w:szCs w:val="24"/>
              </w:rPr>
              <w:t>CONTENTS</w:t>
            </w:r>
          </w:p>
        </w:tc>
        <w:tc>
          <w:tcPr>
            <w:tcW w:w="1317" w:type="dxa"/>
            <w:shd w:val="clear" w:color="auto" w:fill="auto"/>
          </w:tcPr>
          <w:p w14:paraId="664B9FB5" w14:textId="77777777" w:rsidR="00AF0D66" w:rsidRPr="00DC5E03" w:rsidRDefault="00AF0D66" w:rsidP="000D08F1">
            <w:pPr>
              <w:pStyle w:val="NoSpacing"/>
              <w:spacing w:line="360" w:lineRule="auto"/>
              <w:jc w:val="center"/>
              <w:rPr>
                <w:b/>
                <w:color w:val="000000"/>
                <w:sz w:val="24"/>
                <w:szCs w:val="24"/>
              </w:rPr>
            </w:pPr>
            <w:r w:rsidRPr="00DC5E03">
              <w:rPr>
                <w:b/>
                <w:color w:val="000000"/>
                <w:sz w:val="24"/>
                <w:szCs w:val="24"/>
              </w:rPr>
              <w:t>PAGE</w:t>
            </w:r>
          </w:p>
        </w:tc>
      </w:tr>
      <w:tr w:rsidR="00AF0D66" w:rsidRPr="00DC5E03" w14:paraId="5128ACC1" w14:textId="77777777" w:rsidTr="000D08F1">
        <w:tc>
          <w:tcPr>
            <w:tcW w:w="806" w:type="dxa"/>
            <w:shd w:val="clear" w:color="auto" w:fill="auto"/>
          </w:tcPr>
          <w:p w14:paraId="2FE8D34E" w14:textId="77777777" w:rsidR="00AF0D66" w:rsidRPr="00DC5E03" w:rsidRDefault="00AF0D66" w:rsidP="000D08F1">
            <w:pPr>
              <w:pStyle w:val="NoSpacing"/>
              <w:spacing w:line="360" w:lineRule="auto"/>
              <w:jc w:val="center"/>
              <w:rPr>
                <w:bCs/>
                <w:color w:val="000000"/>
                <w:sz w:val="24"/>
                <w:szCs w:val="24"/>
              </w:rPr>
            </w:pPr>
            <w:r w:rsidRPr="00DC5E03">
              <w:rPr>
                <w:bCs/>
                <w:color w:val="000000"/>
                <w:sz w:val="24"/>
                <w:szCs w:val="24"/>
              </w:rPr>
              <w:t>1.</w:t>
            </w:r>
          </w:p>
        </w:tc>
        <w:tc>
          <w:tcPr>
            <w:tcW w:w="6893" w:type="dxa"/>
            <w:shd w:val="clear" w:color="auto" w:fill="auto"/>
          </w:tcPr>
          <w:p w14:paraId="11FF1980" w14:textId="36C8D19C" w:rsidR="00AF0D66" w:rsidRPr="00DC5E03" w:rsidRDefault="000D08F1" w:rsidP="000D08F1">
            <w:pPr>
              <w:pStyle w:val="NoSpacing"/>
              <w:spacing w:line="360" w:lineRule="auto"/>
              <w:rPr>
                <w:bCs/>
                <w:color w:val="000000"/>
                <w:sz w:val="24"/>
                <w:szCs w:val="24"/>
              </w:rPr>
            </w:pPr>
            <w:r>
              <w:rPr>
                <w:bCs/>
                <w:color w:val="000000"/>
                <w:sz w:val="24"/>
                <w:szCs w:val="24"/>
              </w:rPr>
              <w:t>Introduction</w:t>
            </w:r>
          </w:p>
        </w:tc>
        <w:tc>
          <w:tcPr>
            <w:tcW w:w="1317" w:type="dxa"/>
            <w:shd w:val="clear" w:color="auto" w:fill="auto"/>
          </w:tcPr>
          <w:p w14:paraId="028205E4" w14:textId="35BCCF22" w:rsidR="00AF0D66" w:rsidRPr="00DC5E03" w:rsidRDefault="000D08F1" w:rsidP="000D08F1">
            <w:pPr>
              <w:pStyle w:val="NoSpacing"/>
              <w:spacing w:line="360" w:lineRule="auto"/>
              <w:jc w:val="center"/>
              <w:rPr>
                <w:bCs/>
                <w:color w:val="000000"/>
                <w:sz w:val="24"/>
                <w:szCs w:val="24"/>
              </w:rPr>
            </w:pPr>
            <w:r>
              <w:rPr>
                <w:bCs/>
                <w:color w:val="000000"/>
                <w:sz w:val="24"/>
                <w:szCs w:val="24"/>
              </w:rPr>
              <w:t>2</w:t>
            </w:r>
          </w:p>
        </w:tc>
      </w:tr>
      <w:tr w:rsidR="00AF0D66" w:rsidRPr="00DC5E03" w14:paraId="7EE83143" w14:textId="77777777" w:rsidTr="000D08F1">
        <w:tc>
          <w:tcPr>
            <w:tcW w:w="806" w:type="dxa"/>
            <w:shd w:val="clear" w:color="auto" w:fill="auto"/>
          </w:tcPr>
          <w:p w14:paraId="20785969" w14:textId="77777777" w:rsidR="00AF0D66" w:rsidRPr="00DC5E03" w:rsidRDefault="00AF0D66" w:rsidP="000D08F1">
            <w:pPr>
              <w:pStyle w:val="NoSpacing"/>
              <w:spacing w:line="360" w:lineRule="auto"/>
              <w:jc w:val="center"/>
              <w:rPr>
                <w:bCs/>
                <w:color w:val="000000"/>
                <w:sz w:val="24"/>
                <w:szCs w:val="24"/>
              </w:rPr>
            </w:pPr>
            <w:r w:rsidRPr="00DC5E03">
              <w:rPr>
                <w:bCs/>
                <w:color w:val="000000"/>
                <w:sz w:val="24"/>
                <w:szCs w:val="24"/>
              </w:rPr>
              <w:t>2.</w:t>
            </w:r>
          </w:p>
        </w:tc>
        <w:tc>
          <w:tcPr>
            <w:tcW w:w="6893" w:type="dxa"/>
            <w:shd w:val="clear" w:color="auto" w:fill="auto"/>
          </w:tcPr>
          <w:p w14:paraId="440ACDD6" w14:textId="441A084A" w:rsidR="00AF0D66" w:rsidRPr="00DC5E03" w:rsidRDefault="000D08F1" w:rsidP="000D08F1">
            <w:pPr>
              <w:pStyle w:val="NoSpacing"/>
              <w:spacing w:line="360" w:lineRule="auto"/>
              <w:rPr>
                <w:bCs/>
                <w:color w:val="000000"/>
                <w:sz w:val="24"/>
                <w:szCs w:val="24"/>
              </w:rPr>
            </w:pPr>
            <w:r w:rsidRPr="000D08F1">
              <w:rPr>
                <w:bCs/>
                <w:color w:val="000000"/>
                <w:sz w:val="24"/>
                <w:szCs w:val="24"/>
              </w:rPr>
              <w:t>Policy, procedure, practice standards and practice guidance</w:t>
            </w:r>
          </w:p>
        </w:tc>
        <w:tc>
          <w:tcPr>
            <w:tcW w:w="1317" w:type="dxa"/>
            <w:shd w:val="clear" w:color="auto" w:fill="auto"/>
          </w:tcPr>
          <w:p w14:paraId="6D876986" w14:textId="2763136F" w:rsidR="00AF0D66" w:rsidRPr="00DC5E03" w:rsidRDefault="000D08F1" w:rsidP="000D08F1">
            <w:pPr>
              <w:pStyle w:val="NoSpacing"/>
              <w:spacing w:line="360" w:lineRule="auto"/>
              <w:jc w:val="center"/>
              <w:rPr>
                <w:bCs/>
                <w:color w:val="000000"/>
                <w:sz w:val="24"/>
                <w:szCs w:val="24"/>
              </w:rPr>
            </w:pPr>
            <w:r>
              <w:rPr>
                <w:bCs/>
                <w:color w:val="000000"/>
                <w:sz w:val="24"/>
                <w:szCs w:val="24"/>
              </w:rPr>
              <w:t>2</w:t>
            </w:r>
          </w:p>
        </w:tc>
      </w:tr>
      <w:tr w:rsidR="00AF0D66" w:rsidRPr="00DC5E03" w14:paraId="7C7B28CF" w14:textId="77777777" w:rsidTr="000D08F1">
        <w:tc>
          <w:tcPr>
            <w:tcW w:w="806" w:type="dxa"/>
            <w:shd w:val="clear" w:color="auto" w:fill="auto"/>
          </w:tcPr>
          <w:p w14:paraId="2CB6D3A6" w14:textId="77777777" w:rsidR="00AF0D66" w:rsidRPr="00DC5E03" w:rsidRDefault="00AF0D66" w:rsidP="000D08F1">
            <w:pPr>
              <w:pStyle w:val="NoSpacing"/>
              <w:spacing w:line="360" w:lineRule="auto"/>
              <w:jc w:val="center"/>
              <w:rPr>
                <w:bCs/>
                <w:color w:val="000000"/>
                <w:sz w:val="24"/>
                <w:szCs w:val="24"/>
              </w:rPr>
            </w:pPr>
            <w:r w:rsidRPr="00DC5E03">
              <w:rPr>
                <w:bCs/>
                <w:color w:val="000000"/>
                <w:sz w:val="24"/>
                <w:szCs w:val="24"/>
              </w:rPr>
              <w:t>3.</w:t>
            </w:r>
          </w:p>
        </w:tc>
        <w:tc>
          <w:tcPr>
            <w:tcW w:w="6893" w:type="dxa"/>
            <w:shd w:val="clear" w:color="auto" w:fill="auto"/>
          </w:tcPr>
          <w:p w14:paraId="7CE247F7" w14:textId="48903AC0" w:rsidR="00AF0D66" w:rsidRPr="00DC5E03" w:rsidRDefault="000D08F1" w:rsidP="000D08F1">
            <w:pPr>
              <w:pStyle w:val="NoSpacing"/>
              <w:spacing w:line="360" w:lineRule="auto"/>
              <w:rPr>
                <w:bCs/>
                <w:color w:val="000000"/>
                <w:sz w:val="24"/>
                <w:szCs w:val="24"/>
              </w:rPr>
            </w:pPr>
            <w:r>
              <w:rPr>
                <w:bCs/>
                <w:color w:val="000000"/>
                <w:sz w:val="24"/>
                <w:szCs w:val="24"/>
              </w:rPr>
              <w:t>Policy Process</w:t>
            </w:r>
          </w:p>
        </w:tc>
        <w:tc>
          <w:tcPr>
            <w:tcW w:w="1317" w:type="dxa"/>
            <w:shd w:val="clear" w:color="auto" w:fill="auto"/>
          </w:tcPr>
          <w:p w14:paraId="0FEFC592" w14:textId="3BE2D228" w:rsidR="00AF0D66" w:rsidRPr="00DC5E03" w:rsidRDefault="000D08F1" w:rsidP="000D08F1">
            <w:pPr>
              <w:pStyle w:val="NoSpacing"/>
              <w:spacing w:line="360" w:lineRule="auto"/>
              <w:jc w:val="center"/>
              <w:rPr>
                <w:bCs/>
                <w:color w:val="000000"/>
                <w:sz w:val="24"/>
                <w:szCs w:val="24"/>
              </w:rPr>
            </w:pPr>
            <w:r>
              <w:rPr>
                <w:bCs/>
                <w:color w:val="000000"/>
                <w:sz w:val="24"/>
                <w:szCs w:val="24"/>
              </w:rPr>
              <w:t>3</w:t>
            </w:r>
          </w:p>
        </w:tc>
      </w:tr>
      <w:tr w:rsidR="00AF0D66" w:rsidRPr="00DC5E03" w14:paraId="1FA7E37C" w14:textId="77777777" w:rsidTr="000D08F1">
        <w:tc>
          <w:tcPr>
            <w:tcW w:w="806" w:type="dxa"/>
            <w:shd w:val="clear" w:color="auto" w:fill="auto"/>
          </w:tcPr>
          <w:p w14:paraId="1BD984F0" w14:textId="77777777" w:rsidR="00AF0D66" w:rsidRPr="00DC5E03" w:rsidRDefault="00AF0D66" w:rsidP="000D08F1">
            <w:pPr>
              <w:pStyle w:val="NoSpacing"/>
              <w:spacing w:line="360" w:lineRule="auto"/>
              <w:jc w:val="center"/>
              <w:rPr>
                <w:bCs/>
                <w:color w:val="000000"/>
                <w:sz w:val="24"/>
                <w:szCs w:val="24"/>
              </w:rPr>
            </w:pPr>
            <w:r w:rsidRPr="00DC5E03">
              <w:rPr>
                <w:bCs/>
                <w:color w:val="000000"/>
                <w:sz w:val="24"/>
                <w:szCs w:val="24"/>
              </w:rPr>
              <w:t>4.</w:t>
            </w:r>
          </w:p>
        </w:tc>
        <w:tc>
          <w:tcPr>
            <w:tcW w:w="6893" w:type="dxa"/>
            <w:shd w:val="clear" w:color="auto" w:fill="auto"/>
          </w:tcPr>
          <w:p w14:paraId="02CDA8DC" w14:textId="297A70BE" w:rsidR="00AF0D66" w:rsidRPr="00DC5E03" w:rsidRDefault="000D08F1" w:rsidP="000D08F1">
            <w:pPr>
              <w:pStyle w:val="NoSpacing"/>
              <w:spacing w:line="360" w:lineRule="auto"/>
              <w:rPr>
                <w:bCs/>
                <w:color w:val="000000"/>
                <w:sz w:val="24"/>
                <w:szCs w:val="24"/>
              </w:rPr>
            </w:pPr>
            <w:r>
              <w:rPr>
                <w:bCs/>
                <w:color w:val="000000"/>
                <w:sz w:val="24"/>
                <w:szCs w:val="24"/>
              </w:rPr>
              <w:t>Responsibilities within the policy process</w:t>
            </w:r>
          </w:p>
        </w:tc>
        <w:tc>
          <w:tcPr>
            <w:tcW w:w="1317" w:type="dxa"/>
            <w:shd w:val="clear" w:color="auto" w:fill="auto"/>
          </w:tcPr>
          <w:p w14:paraId="26D39FD8" w14:textId="07A523B9" w:rsidR="00AF0D66" w:rsidRPr="00DC5E03" w:rsidRDefault="000D08F1" w:rsidP="000D08F1">
            <w:pPr>
              <w:pStyle w:val="NoSpacing"/>
              <w:spacing w:line="360" w:lineRule="auto"/>
              <w:jc w:val="center"/>
              <w:rPr>
                <w:bCs/>
                <w:color w:val="000000"/>
                <w:sz w:val="24"/>
                <w:szCs w:val="24"/>
              </w:rPr>
            </w:pPr>
            <w:r>
              <w:rPr>
                <w:bCs/>
                <w:color w:val="000000"/>
                <w:sz w:val="24"/>
                <w:szCs w:val="24"/>
              </w:rPr>
              <w:t>4</w:t>
            </w:r>
          </w:p>
        </w:tc>
      </w:tr>
      <w:tr w:rsidR="00AF0D66" w:rsidRPr="00DC5E03" w14:paraId="40ADEA1A" w14:textId="77777777" w:rsidTr="000D08F1">
        <w:tc>
          <w:tcPr>
            <w:tcW w:w="806" w:type="dxa"/>
            <w:shd w:val="clear" w:color="auto" w:fill="auto"/>
          </w:tcPr>
          <w:p w14:paraId="06CED781" w14:textId="77777777" w:rsidR="00AF0D66" w:rsidRPr="00DC5E03" w:rsidRDefault="00AF0D66" w:rsidP="000D08F1">
            <w:pPr>
              <w:pStyle w:val="NoSpacing"/>
              <w:spacing w:line="360" w:lineRule="auto"/>
              <w:jc w:val="center"/>
              <w:rPr>
                <w:bCs/>
                <w:color w:val="000000"/>
                <w:sz w:val="24"/>
                <w:szCs w:val="24"/>
              </w:rPr>
            </w:pPr>
            <w:r w:rsidRPr="00DC5E03">
              <w:rPr>
                <w:bCs/>
                <w:color w:val="000000"/>
                <w:sz w:val="24"/>
                <w:szCs w:val="24"/>
              </w:rPr>
              <w:t>5.</w:t>
            </w:r>
          </w:p>
        </w:tc>
        <w:tc>
          <w:tcPr>
            <w:tcW w:w="6893" w:type="dxa"/>
            <w:shd w:val="clear" w:color="auto" w:fill="auto"/>
          </w:tcPr>
          <w:p w14:paraId="482E1FF8" w14:textId="02417015" w:rsidR="00AF0D66" w:rsidRPr="00DC5E03" w:rsidRDefault="000D08F1" w:rsidP="000D08F1">
            <w:pPr>
              <w:pStyle w:val="NoSpacing"/>
              <w:rPr>
                <w:bCs/>
                <w:color w:val="000000"/>
                <w:sz w:val="24"/>
                <w:szCs w:val="24"/>
              </w:rPr>
            </w:pPr>
            <w:r w:rsidRPr="000D08F1">
              <w:rPr>
                <w:bCs/>
                <w:color w:val="000000"/>
                <w:sz w:val="24"/>
                <w:szCs w:val="24"/>
              </w:rPr>
              <w:t>Reviewing policies, procedures, practice standards and practice guidance</w:t>
            </w:r>
          </w:p>
        </w:tc>
        <w:tc>
          <w:tcPr>
            <w:tcW w:w="1317" w:type="dxa"/>
            <w:shd w:val="clear" w:color="auto" w:fill="auto"/>
          </w:tcPr>
          <w:p w14:paraId="2C8D3819" w14:textId="655825DB" w:rsidR="00AF0D66" w:rsidRPr="00DC5E03" w:rsidRDefault="000D08F1" w:rsidP="000D08F1">
            <w:pPr>
              <w:pStyle w:val="NoSpacing"/>
              <w:spacing w:line="360" w:lineRule="auto"/>
              <w:jc w:val="center"/>
              <w:rPr>
                <w:bCs/>
                <w:color w:val="000000"/>
                <w:sz w:val="24"/>
                <w:szCs w:val="24"/>
              </w:rPr>
            </w:pPr>
            <w:r>
              <w:rPr>
                <w:bCs/>
                <w:color w:val="000000"/>
                <w:sz w:val="24"/>
                <w:szCs w:val="24"/>
              </w:rPr>
              <w:t>5</w:t>
            </w:r>
          </w:p>
        </w:tc>
      </w:tr>
    </w:tbl>
    <w:p w14:paraId="0A28FCD0" w14:textId="30025DA6" w:rsidR="00AF0D66" w:rsidRDefault="00AF0D66" w:rsidP="0036618A">
      <w:pPr>
        <w:pStyle w:val="Default"/>
        <w:spacing w:after="204"/>
        <w:ind w:right="638"/>
        <w:rPr>
          <w:rFonts w:ascii="Arial" w:hAnsi="Arial" w:cs="Arial"/>
          <w:b/>
          <w:bCs/>
          <w:color w:val="auto"/>
          <w:sz w:val="28"/>
          <w:szCs w:val="28"/>
        </w:rPr>
      </w:pPr>
    </w:p>
    <w:p w14:paraId="65CF82B1" w14:textId="77777777" w:rsidR="00AF0D66" w:rsidRDefault="00AF0D66">
      <w:pPr>
        <w:rPr>
          <w:rFonts w:ascii="Arial" w:hAnsi="Arial" w:cs="Arial"/>
          <w:b/>
          <w:bCs/>
          <w:sz w:val="28"/>
          <w:szCs w:val="28"/>
        </w:rPr>
      </w:pPr>
      <w:r>
        <w:rPr>
          <w:rFonts w:ascii="Arial" w:hAnsi="Arial" w:cs="Arial"/>
          <w:b/>
          <w:bCs/>
          <w:sz w:val="28"/>
          <w:szCs w:val="28"/>
        </w:rPr>
        <w:br w:type="page"/>
      </w:r>
    </w:p>
    <w:p w14:paraId="4AE8CA7A" w14:textId="4BBABE2B" w:rsidR="00C57208" w:rsidRPr="00AE7F96" w:rsidRDefault="00CF2C2E" w:rsidP="009F40E5">
      <w:pPr>
        <w:pStyle w:val="Policyheadings"/>
        <w:spacing w:line="240" w:lineRule="auto"/>
        <w:ind w:left="284" w:hanging="284"/>
      </w:pPr>
      <w:r>
        <w:lastRenderedPageBreak/>
        <w:t>Introduction</w:t>
      </w:r>
    </w:p>
    <w:p w14:paraId="6C576AA9" w14:textId="4BE56CF5" w:rsidR="005640A4" w:rsidRPr="005640A4" w:rsidRDefault="005640A4" w:rsidP="009F40E5">
      <w:pPr>
        <w:pStyle w:val="Default"/>
        <w:spacing w:after="200"/>
        <w:ind w:right="-45"/>
        <w:jc w:val="both"/>
        <w:rPr>
          <w:rFonts w:asciiTheme="minorHAnsi" w:hAnsiTheme="minorHAnsi" w:cstheme="minorHAnsi"/>
          <w:color w:val="auto"/>
        </w:rPr>
      </w:pPr>
      <w:r w:rsidRPr="005640A4">
        <w:rPr>
          <w:rFonts w:asciiTheme="minorHAnsi" w:hAnsiTheme="minorHAnsi" w:cstheme="minorHAnsi"/>
          <w:color w:val="auto"/>
        </w:rPr>
        <w:t xml:space="preserve">This </w:t>
      </w:r>
      <w:r w:rsidR="00C6159D">
        <w:rPr>
          <w:rFonts w:asciiTheme="minorHAnsi" w:hAnsiTheme="minorHAnsi" w:cstheme="minorHAnsi"/>
          <w:color w:val="auto"/>
        </w:rPr>
        <w:t>policy provides</w:t>
      </w:r>
      <w:r w:rsidRPr="005640A4">
        <w:rPr>
          <w:rFonts w:asciiTheme="minorHAnsi" w:hAnsiTheme="minorHAnsi" w:cstheme="minorHAnsi"/>
          <w:color w:val="auto"/>
        </w:rPr>
        <w:t xml:space="preserve"> a framework and structure for developing, reviewing and authorising Trust policies, procedures, practice standards and practice guidance. </w:t>
      </w:r>
    </w:p>
    <w:p w14:paraId="23ECF57F" w14:textId="4334A3C7" w:rsidR="00090478" w:rsidRPr="005640A4" w:rsidRDefault="005640A4" w:rsidP="0058138B">
      <w:pPr>
        <w:pStyle w:val="Default"/>
        <w:spacing w:after="200"/>
        <w:ind w:right="-45"/>
        <w:jc w:val="both"/>
        <w:rPr>
          <w:rFonts w:asciiTheme="minorHAnsi" w:hAnsiTheme="minorHAnsi" w:cstheme="minorHAnsi"/>
          <w:color w:val="auto"/>
        </w:rPr>
      </w:pPr>
      <w:r w:rsidRPr="005640A4">
        <w:rPr>
          <w:rFonts w:asciiTheme="minorHAnsi" w:hAnsiTheme="minorHAnsi" w:cstheme="minorHAnsi"/>
          <w:color w:val="auto"/>
        </w:rPr>
        <w:t xml:space="preserve">It provides an overview of the various types of documents, </w:t>
      </w:r>
      <w:r w:rsidR="00585118">
        <w:rPr>
          <w:rFonts w:asciiTheme="minorHAnsi" w:hAnsiTheme="minorHAnsi" w:cstheme="minorHAnsi"/>
          <w:color w:val="auto"/>
        </w:rPr>
        <w:t>details of the</w:t>
      </w:r>
      <w:r w:rsidRPr="005640A4">
        <w:rPr>
          <w:rFonts w:asciiTheme="minorHAnsi" w:hAnsiTheme="minorHAnsi" w:cstheme="minorHAnsi"/>
          <w:color w:val="auto"/>
        </w:rPr>
        <w:t xml:space="preserve"> policy process and responsibilities for drafting, reviewing and sign</w:t>
      </w:r>
      <w:r w:rsidR="007F7B93">
        <w:rPr>
          <w:rFonts w:asciiTheme="minorHAnsi" w:hAnsiTheme="minorHAnsi" w:cstheme="minorHAnsi"/>
          <w:color w:val="auto"/>
        </w:rPr>
        <w:t>ing</w:t>
      </w:r>
      <w:r w:rsidRPr="005640A4">
        <w:rPr>
          <w:rFonts w:asciiTheme="minorHAnsi" w:hAnsiTheme="minorHAnsi" w:cstheme="minorHAnsi"/>
          <w:color w:val="auto"/>
        </w:rPr>
        <w:t xml:space="preserve"> off</w:t>
      </w:r>
      <w:r w:rsidR="007F7B93">
        <w:rPr>
          <w:rFonts w:asciiTheme="minorHAnsi" w:hAnsiTheme="minorHAnsi" w:cstheme="minorHAnsi"/>
          <w:color w:val="auto"/>
        </w:rPr>
        <w:t xml:space="preserve"> </w:t>
      </w:r>
      <w:r w:rsidR="000A4D5B">
        <w:rPr>
          <w:rFonts w:asciiTheme="minorHAnsi" w:hAnsiTheme="minorHAnsi" w:cstheme="minorHAnsi"/>
          <w:color w:val="auto"/>
        </w:rPr>
        <w:t>policies and procedures</w:t>
      </w:r>
      <w:r w:rsidRPr="005640A4">
        <w:rPr>
          <w:rFonts w:asciiTheme="minorHAnsi" w:hAnsiTheme="minorHAnsi" w:cstheme="minorHAnsi"/>
          <w:color w:val="auto"/>
        </w:rPr>
        <w:t>.</w:t>
      </w:r>
      <w:r>
        <w:rPr>
          <w:rFonts w:asciiTheme="minorHAnsi" w:hAnsiTheme="minorHAnsi" w:cstheme="minorHAnsi"/>
          <w:color w:val="auto"/>
        </w:rPr>
        <w:t xml:space="preserve"> </w:t>
      </w:r>
    </w:p>
    <w:p w14:paraId="1EEF6BB5" w14:textId="692BC742" w:rsidR="0058138B" w:rsidRDefault="0058138B" w:rsidP="009F40E5">
      <w:pPr>
        <w:pStyle w:val="Policyheadings"/>
        <w:spacing w:line="240" w:lineRule="auto"/>
        <w:ind w:left="284" w:hanging="284"/>
      </w:pPr>
      <w:r w:rsidRPr="0058138B">
        <w:t>Policy, procedure, practice standards and practice guidance</w:t>
      </w:r>
    </w:p>
    <w:p w14:paraId="4F8819F9" w14:textId="77777777" w:rsidR="009F40E5" w:rsidRPr="009F40E5" w:rsidRDefault="009F40E5" w:rsidP="009F40E5">
      <w:pPr>
        <w:pStyle w:val="Policyheadings"/>
        <w:numPr>
          <w:ilvl w:val="0"/>
          <w:numId w:val="0"/>
        </w:numPr>
        <w:spacing w:line="240" w:lineRule="auto"/>
        <w:rPr>
          <w:sz w:val="24"/>
          <w:szCs w:val="24"/>
        </w:rPr>
      </w:pPr>
    </w:p>
    <w:p w14:paraId="78148943" w14:textId="69D1A7CA" w:rsidR="0058138B" w:rsidRDefault="0058138B" w:rsidP="009F40E5">
      <w:pPr>
        <w:pStyle w:val="Policyheadings"/>
        <w:numPr>
          <w:ilvl w:val="0"/>
          <w:numId w:val="0"/>
        </w:numPr>
        <w:spacing w:line="240" w:lineRule="auto"/>
        <w:rPr>
          <w:b w:val="0"/>
          <w:bCs/>
          <w:color w:val="auto"/>
          <w:sz w:val="24"/>
          <w:szCs w:val="24"/>
        </w:rPr>
      </w:pPr>
      <w:r>
        <w:rPr>
          <w:b w:val="0"/>
          <w:bCs/>
          <w:color w:val="auto"/>
          <w:sz w:val="24"/>
          <w:szCs w:val="24"/>
        </w:rPr>
        <w:t>The terms Policy, Procedure, Practice Standards and Practice Guidance are often used interchangeably but it is important to understand the difference between them a</w:t>
      </w:r>
      <w:r w:rsidR="00F455E9">
        <w:rPr>
          <w:b w:val="0"/>
          <w:bCs/>
          <w:color w:val="auto"/>
          <w:sz w:val="24"/>
          <w:szCs w:val="24"/>
        </w:rPr>
        <w:t xml:space="preserve">s there is a specific authorisation arrangement for each of the document types. </w:t>
      </w:r>
    </w:p>
    <w:p w14:paraId="2B1EDA68" w14:textId="77777777" w:rsidR="00F455E9" w:rsidRDefault="00F455E9" w:rsidP="009F40E5">
      <w:pPr>
        <w:pStyle w:val="Policyheadings"/>
        <w:numPr>
          <w:ilvl w:val="0"/>
          <w:numId w:val="0"/>
        </w:numPr>
        <w:spacing w:line="240" w:lineRule="auto"/>
        <w:rPr>
          <w:b w:val="0"/>
          <w:bCs/>
          <w:color w:val="auto"/>
          <w:sz w:val="24"/>
          <w:szCs w:val="24"/>
        </w:rPr>
      </w:pPr>
    </w:p>
    <w:p w14:paraId="090337E4" w14:textId="42971109" w:rsidR="0058138B" w:rsidRDefault="0058138B" w:rsidP="009F40E5">
      <w:pPr>
        <w:pStyle w:val="Policyheadings"/>
        <w:numPr>
          <w:ilvl w:val="0"/>
          <w:numId w:val="0"/>
        </w:numPr>
        <w:spacing w:line="240" w:lineRule="auto"/>
        <w:rPr>
          <w:b w:val="0"/>
          <w:bCs/>
          <w:color w:val="auto"/>
          <w:sz w:val="24"/>
          <w:szCs w:val="24"/>
        </w:rPr>
      </w:pPr>
      <w:r w:rsidRPr="0058138B">
        <w:rPr>
          <w:b w:val="0"/>
          <w:bCs/>
          <w:color w:val="auto"/>
          <w:sz w:val="24"/>
          <w:szCs w:val="24"/>
        </w:rPr>
        <w:t xml:space="preserve">The following table </w:t>
      </w:r>
      <w:r>
        <w:rPr>
          <w:b w:val="0"/>
          <w:bCs/>
          <w:color w:val="auto"/>
          <w:sz w:val="24"/>
          <w:szCs w:val="24"/>
        </w:rPr>
        <w:t>contains the Trust’s definitions of each type of document.</w:t>
      </w:r>
    </w:p>
    <w:tbl>
      <w:tblPr>
        <w:tblStyle w:val="TableGrid"/>
        <w:tblpPr w:leftFromText="180" w:rightFromText="180" w:vertAnchor="page" w:horzAnchor="margin" w:tblpY="5960"/>
        <w:tblW w:w="9209" w:type="dxa"/>
        <w:tblLook w:val="04A0" w:firstRow="1" w:lastRow="0" w:firstColumn="1" w:lastColumn="0" w:noHBand="0" w:noVBand="1"/>
      </w:tblPr>
      <w:tblGrid>
        <w:gridCol w:w="2254"/>
        <w:gridCol w:w="6955"/>
      </w:tblGrid>
      <w:tr w:rsidR="001F54CA" w:rsidRPr="00F254C3" w14:paraId="7B6E29BD" w14:textId="77777777" w:rsidTr="00352340">
        <w:tc>
          <w:tcPr>
            <w:tcW w:w="2254" w:type="dxa"/>
          </w:tcPr>
          <w:p w14:paraId="5A82D241" w14:textId="77777777" w:rsidR="001F54CA" w:rsidRPr="001F54CA" w:rsidRDefault="001F54CA" w:rsidP="00352340">
            <w:pPr>
              <w:rPr>
                <w:rFonts w:ascii="Calibri" w:hAnsi="Calibri" w:cs="Calibri"/>
                <w:b/>
                <w:bCs/>
                <w:sz w:val="24"/>
                <w:szCs w:val="24"/>
              </w:rPr>
            </w:pPr>
            <w:r w:rsidRPr="001F54CA">
              <w:rPr>
                <w:rFonts w:ascii="Calibri" w:hAnsi="Calibri" w:cs="Calibri"/>
                <w:b/>
                <w:bCs/>
                <w:sz w:val="24"/>
                <w:szCs w:val="24"/>
              </w:rPr>
              <w:t>Policy</w:t>
            </w:r>
          </w:p>
        </w:tc>
        <w:tc>
          <w:tcPr>
            <w:tcW w:w="6955" w:type="dxa"/>
          </w:tcPr>
          <w:p w14:paraId="67C8DE14"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 xml:space="preserve">Policy provides the position and values of the Trust on specific areas of practice with children and young people and their families. It sets the Trust’s expectations of behaviour and the way we approach our work, and provides the ‘why’ behind procedures, practice standards and practice guidance. </w:t>
            </w:r>
          </w:p>
          <w:p w14:paraId="1FFC96A2"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Policy is mandatory, in that it must be followed by everyone in the Trust. Should dispute arise, or a complaint be made about the service, practice will be measured against the Trust Policy.</w:t>
            </w:r>
          </w:p>
          <w:p w14:paraId="382B97DF" w14:textId="77777777" w:rsidR="001F54CA" w:rsidRPr="001F54CA" w:rsidRDefault="001F54CA" w:rsidP="00352340">
            <w:pPr>
              <w:rPr>
                <w:rFonts w:ascii="Calibri" w:hAnsi="Calibri" w:cs="Calibri"/>
                <w:sz w:val="24"/>
                <w:szCs w:val="24"/>
              </w:rPr>
            </w:pPr>
          </w:p>
        </w:tc>
      </w:tr>
      <w:tr w:rsidR="001F54CA" w:rsidRPr="00F254C3" w14:paraId="0894B918" w14:textId="77777777" w:rsidTr="00352340">
        <w:tc>
          <w:tcPr>
            <w:tcW w:w="2254" w:type="dxa"/>
          </w:tcPr>
          <w:p w14:paraId="4C442ECC" w14:textId="77777777" w:rsidR="001F54CA" w:rsidRPr="001F54CA" w:rsidRDefault="001F54CA" w:rsidP="00352340">
            <w:pPr>
              <w:rPr>
                <w:rFonts w:ascii="Calibri" w:hAnsi="Calibri" w:cs="Calibri"/>
                <w:b/>
                <w:bCs/>
                <w:sz w:val="24"/>
                <w:szCs w:val="24"/>
              </w:rPr>
            </w:pPr>
            <w:r w:rsidRPr="001F54CA">
              <w:rPr>
                <w:rFonts w:ascii="Calibri" w:hAnsi="Calibri" w:cs="Calibri"/>
                <w:b/>
                <w:bCs/>
                <w:sz w:val="24"/>
                <w:szCs w:val="24"/>
              </w:rPr>
              <w:t>Procedure</w:t>
            </w:r>
          </w:p>
        </w:tc>
        <w:tc>
          <w:tcPr>
            <w:tcW w:w="6955" w:type="dxa"/>
          </w:tcPr>
          <w:p w14:paraId="6EC41AC1"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Procedures provide detail of the actions required to comply with the Trust policy, the ‘how’.</w:t>
            </w:r>
          </w:p>
          <w:p w14:paraId="7443455D"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Procedures can be found in various forms:</w:t>
            </w:r>
          </w:p>
          <w:p w14:paraId="53C8E650" w14:textId="77777777" w:rsidR="001F54CA" w:rsidRPr="001F54CA" w:rsidRDefault="001F54CA" w:rsidP="001F54CA">
            <w:pPr>
              <w:pStyle w:val="ListParagraph"/>
              <w:numPr>
                <w:ilvl w:val="0"/>
                <w:numId w:val="43"/>
              </w:numPr>
              <w:rPr>
                <w:rFonts w:ascii="Calibri" w:hAnsi="Calibri" w:cs="Calibri"/>
                <w:sz w:val="24"/>
                <w:szCs w:val="24"/>
              </w:rPr>
            </w:pPr>
            <w:r w:rsidRPr="001F54CA">
              <w:rPr>
                <w:rFonts w:ascii="Calibri" w:hAnsi="Calibri" w:cs="Calibri"/>
                <w:sz w:val="24"/>
                <w:szCs w:val="24"/>
              </w:rPr>
              <w:t>In detailed step by step instructions and flowcharts accompanying policy statements in policy and procedures documents.</w:t>
            </w:r>
          </w:p>
          <w:p w14:paraId="5D3869B2" w14:textId="77777777" w:rsidR="001F54CA" w:rsidRPr="001F54CA" w:rsidRDefault="001F54CA" w:rsidP="001F54CA">
            <w:pPr>
              <w:pStyle w:val="ListParagraph"/>
              <w:numPr>
                <w:ilvl w:val="0"/>
                <w:numId w:val="43"/>
              </w:numPr>
              <w:rPr>
                <w:rFonts w:ascii="Calibri" w:hAnsi="Calibri" w:cs="Calibri"/>
                <w:sz w:val="24"/>
                <w:szCs w:val="24"/>
              </w:rPr>
            </w:pPr>
            <w:r w:rsidRPr="001F54CA">
              <w:rPr>
                <w:rFonts w:ascii="Calibri" w:hAnsi="Calibri" w:cs="Calibri"/>
                <w:sz w:val="24"/>
                <w:szCs w:val="24"/>
              </w:rPr>
              <w:t>In our electronic Children’s Trust Policies and Practice Guidance Manual (</w:t>
            </w:r>
            <w:proofErr w:type="spellStart"/>
            <w:r w:rsidRPr="001F54CA">
              <w:rPr>
                <w:rFonts w:ascii="Calibri" w:hAnsi="Calibri" w:cs="Calibri"/>
                <w:sz w:val="24"/>
                <w:szCs w:val="24"/>
              </w:rPr>
              <w:t>Trix</w:t>
            </w:r>
            <w:proofErr w:type="spellEnd"/>
            <w:r w:rsidRPr="001F54CA">
              <w:rPr>
                <w:rFonts w:ascii="Calibri" w:hAnsi="Calibri" w:cs="Calibri"/>
                <w:sz w:val="24"/>
                <w:szCs w:val="24"/>
              </w:rPr>
              <w:t>)</w:t>
            </w:r>
          </w:p>
          <w:p w14:paraId="583BBB50"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Everyone in the Trust is required to follow the Trust’s procedures in order that you comply with the Trust policy</w:t>
            </w:r>
          </w:p>
          <w:p w14:paraId="068DCA40" w14:textId="77777777" w:rsidR="001F54CA" w:rsidRPr="001F54CA" w:rsidRDefault="001F54CA" w:rsidP="00352340">
            <w:pPr>
              <w:rPr>
                <w:rFonts w:ascii="Calibri" w:hAnsi="Calibri" w:cs="Calibri"/>
                <w:sz w:val="24"/>
                <w:szCs w:val="24"/>
              </w:rPr>
            </w:pPr>
          </w:p>
        </w:tc>
      </w:tr>
      <w:tr w:rsidR="001F54CA" w:rsidRPr="00F254C3" w14:paraId="482D94C3" w14:textId="77777777" w:rsidTr="00352340">
        <w:tc>
          <w:tcPr>
            <w:tcW w:w="2254" w:type="dxa"/>
          </w:tcPr>
          <w:p w14:paraId="4C8D77E7" w14:textId="77777777" w:rsidR="001F54CA" w:rsidRPr="001F54CA" w:rsidRDefault="001F54CA" w:rsidP="00352340">
            <w:pPr>
              <w:rPr>
                <w:rFonts w:ascii="Calibri" w:hAnsi="Calibri" w:cs="Calibri"/>
                <w:b/>
                <w:bCs/>
                <w:sz w:val="24"/>
                <w:szCs w:val="24"/>
              </w:rPr>
            </w:pPr>
            <w:r w:rsidRPr="001F54CA">
              <w:rPr>
                <w:rFonts w:ascii="Calibri" w:hAnsi="Calibri" w:cs="Calibri"/>
                <w:b/>
                <w:bCs/>
                <w:sz w:val="24"/>
                <w:szCs w:val="24"/>
              </w:rPr>
              <w:t>Practice Standards</w:t>
            </w:r>
          </w:p>
        </w:tc>
        <w:tc>
          <w:tcPr>
            <w:tcW w:w="6955" w:type="dxa"/>
          </w:tcPr>
          <w:p w14:paraId="6A3DBCDF"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 xml:space="preserve">Practice standards detail how we work with children and young people and their families, and what good practice looks like. </w:t>
            </w:r>
          </w:p>
          <w:p w14:paraId="5D839CB0"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 xml:space="preserve">Practice standards cover all areas of activity and set the standards which we </w:t>
            </w:r>
            <w:r w:rsidRPr="001F54CA">
              <w:rPr>
                <w:rFonts w:ascii="Calibri" w:hAnsi="Calibri" w:cs="Calibri"/>
                <w:b/>
                <w:sz w:val="24"/>
                <w:szCs w:val="24"/>
              </w:rPr>
              <w:t>should</w:t>
            </w:r>
            <w:r w:rsidRPr="001F54CA">
              <w:rPr>
                <w:rFonts w:ascii="Calibri" w:hAnsi="Calibri" w:cs="Calibri"/>
                <w:sz w:val="24"/>
                <w:szCs w:val="24"/>
              </w:rPr>
              <w:t xml:space="preserve"> work towards and the ‘bottom lines’ which we </w:t>
            </w:r>
            <w:r w:rsidRPr="001F54CA">
              <w:rPr>
                <w:rFonts w:ascii="Calibri" w:hAnsi="Calibri" w:cs="Calibri"/>
                <w:b/>
                <w:sz w:val="24"/>
                <w:szCs w:val="24"/>
              </w:rPr>
              <w:t>must</w:t>
            </w:r>
            <w:r w:rsidRPr="001F54CA">
              <w:rPr>
                <w:rFonts w:ascii="Calibri" w:hAnsi="Calibri" w:cs="Calibri"/>
                <w:sz w:val="24"/>
                <w:szCs w:val="24"/>
              </w:rPr>
              <w:t xml:space="preserve"> work to. </w:t>
            </w:r>
          </w:p>
          <w:p w14:paraId="1D1EF870" w14:textId="77777777" w:rsidR="001F54CA" w:rsidRPr="001F54CA" w:rsidRDefault="001F54CA" w:rsidP="00352340">
            <w:pPr>
              <w:rPr>
                <w:rFonts w:ascii="Calibri" w:hAnsi="Calibri" w:cs="Calibri"/>
                <w:sz w:val="24"/>
                <w:szCs w:val="24"/>
              </w:rPr>
            </w:pPr>
          </w:p>
        </w:tc>
      </w:tr>
      <w:tr w:rsidR="001F54CA" w:rsidRPr="00F254C3" w14:paraId="236DE5F1" w14:textId="77777777" w:rsidTr="00352340">
        <w:tc>
          <w:tcPr>
            <w:tcW w:w="2254" w:type="dxa"/>
          </w:tcPr>
          <w:p w14:paraId="17B0DFE6" w14:textId="77777777" w:rsidR="001F54CA" w:rsidRPr="001F54CA" w:rsidRDefault="001F54CA" w:rsidP="00352340">
            <w:pPr>
              <w:rPr>
                <w:rFonts w:ascii="Calibri" w:hAnsi="Calibri" w:cs="Calibri"/>
                <w:b/>
                <w:bCs/>
                <w:sz w:val="24"/>
                <w:szCs w:val="24"/>
              </w:rPr>
            </w:pPr>
            <w:r w:rsidRPr="001F54CA">
              <w:rPr>
                <w:rFonts w:ascii="Calibri" w:hAnsi="Calibri" w:cs="Calibri"/>
                <w:b/>
                <w:bCs/>
                <w:sz w:val="24"/>
                <w:szCs w:val="24"/>
              </w:rPr>
              <w:t>Practice Guidance</w:t>
            </w:r>
          </w:p>
        </w:tc>
        <w:tc>
          <w:tcPr>
            <w:tcW w:w="6955" w:type="dxa"/>
          </w:tcPr>
          <w:p w14:paraId="778A32F9"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Practice guidance supports the Trust’s policy, procedure and practice standards by providing general guidance for practitioners and managers across specific areas of practice. Practice guidance is not mandatory, it aims to support and achieve best practice.</w:t>
            </w:r>
          </w:p>
          <w:p w14:paraId="0BD2720C" w14:textId="77777777" w:rsidR="001F54CA" w:rsidRPr="001F54CA" w:rsidRDefault="001F54CA" w:rsidP="00352340">
            <w:pPr>
              <w:rPr>
                <w:rFonts w:ascii="Calibri" w:hAnsi="Calibri" w:cs="Calibri"/>
                <w:sz w:val="24"/>
                <w:szCs w:val="24"/>
              </w:rPr>
            </w:pPr>
            <w:r w:rsidRPr="001F54CA">
              <w:rPr>
                <w:rFonts w:ascii="Calibri" w:hAnsi="Calibri" w:cs="Calibri"/>
                <w:sz w:val="24"/>
                <w:szCs w:val="24"/>
              </w:rPr>
              <w:t xml:space="preserve"> </w:t>
            </w:r>
          </w:p>
        </w:tc>
      </w:tr>
    </w:tbl>
    <w:p w14:paraId="38755CD0" w14:textId="0976698A" w:rsidR="001F54CA" w:rsidRDefault="001F54CA" w:rsidP="0058138B">
      <w:pPr>
        <w:pStyle w:val="Policyheadings"/>
        <w:numPr>
          <w:ilvl w:val="0"/>
          <w:numId w:val="0"/>
        </w:numPr>
        <w:spacing w:line="240" w:lineRule="auto"/>
        <w:rPr>
          <w:b w:val="0"/>
          <w:bCs/>
          <w:color w:val="auto"/>
          <w:sz w:val="24"/>
          <w:szCs w:val="24"/>
        </w:rPr>
      </w:pPr>
    </w:p>
    <w:p w14:paraId="1EBB7BAC" w14:textId="28F68D2E" w:rsidR="001F54CA" w:rsidRDefault="001F54CA" w:rsidP="0058138B">
      <w:pPr>
        <w:pStyle w:val="Policyheadings"/>
        <w:numPr>
          <w:ilvl w:val="0"/>
          <w:numId w:val="0"/>
        </w:numPr>
        <w:spacing w:line="240" w:lineRule="auto"/>
        <w:rPr>
          <w:b w:val="0"/>
          <w:bCs/>
          <w:color w:val="auto"/>
          <w:sz w:val="24"/>
          <w:szCs w:val="24"/>
        </w:rPr>
      </w:pPr>
    </w:p>
    <w:p w14:paraId="1592E964" w14:textId="77777777" w:rsidR="00E267D5" w:rsidRDefault="00E267D5" w:rsidP="0058138B">
      <w:pPr>
        <w:pStyle w:val="Policyheadings"/>
        <w:numPr>
          <w:ilvl w:val="0"/>
          <w:numId w:val="0"/>
        </w:numPr>
        <w:spacing w:line="240" w:lineRule="auto"/>
        <w:rPr>
          <w:b w:val="0"/>
          <w:bCs/>
          <w:color w:val="auto"/>
          <w:sz w:val="24"/>
          <w:szCs w:val="24"/>
        </w:rPr>
      </w:pPr>
    </w:p>
    <w:p w14:paraId="245B2456" w14:textId="40106656" w:rsidR="001F54CA" w:rsidRDefault="001F54CA" w:rsidP="00965CC0">
      <w:pPr>
        <w:pStyle w:val="Policyheadings"/>
        <w:ind w:left="284" w:hanging="284"/>
      </w:pPr>
      <w:r>
        <w:t>Policy Process</w:t>
      </w:r>
    </w:p>
    <w:p w14:paraId="5032D63F" w14:textId="77777777" w:rsidR="00E267D5" w:rsidRPr="00E267D5" w:rsidRDefault="00E267D5" w:rsidP="00E267D5">
      <w:pPr>
        <w:pStyle w:val="Policyheadings"/>
        <w:numPr>
          <w:ilvl w:val="0"/>
          <w:numId w:val="0"/>
        </w:numPr>
        <w:ind w:left="284"/>
        <w:rPr>
          <w:sz w:val="24"/>
          <w:szCs w:val="24"/>
        </w:rPr>
      </w:pPr>
    </w:p>
    <w:p w14:paraId="4BFFC43C" w14:textId="77777777" w:rsidR="001F54CA" w:rsidRPr="001F54CA" w:rsidRDefault="001F54CA" w:rsidP="00E267D5">
      <w:pPr>
        <w:pStyle w:val="Policyheadings"/>
        <w:numPr>
          <w:ilvl w:val="0"/>
          <w:numId w:val="0"/>
        </w:numPr>
        <w:spacing w:line="240" w:lineRule="auto"/>
        <w:rPr>
          <w:b w:val="0"/>
          <w:bCs/>
          <w:color w:val="auto"/>
          <w:sz w:val="24"/>
          <w:szCs w:val="24"/>
        </w:rPr>
      </w:pPr>
      <w:r w:rsidRPr="001F54CA">
        <w:rPr>
          <w:b w:val="0"/>
          <w:bCs/>
          <w:color w:val="auto"/>
          <w:sz w:val="24"/>
          <w:szCs w:val="24"/>
        </w:rPr>
        <w:t xml:space="preserve">All requests for support with developing or refreshing policies, procedures, practice standards or practice guidance should be emailed to the Policy Service within the Practice Hub: </w:t>
      </w:r>
    </w:p>
    <w:p w14:paraId="2E180AD0" w14:textId="77777777" w:rsidR="001F54CA" w:rsidRPr="001F54CA" w:rsidRDefault="001F54CA" w:rsidP="00E267D5">
      <w:pPr>
        <w:pStyle w:val="Policyheadings"/>
        <w:numPr>
          <w:ilvl w:val="0"/>
          <w:numId w:val="0"/>
        </w:numPr>
        <w:spacing w:line="240" w:lineRule="auto"/>
      </w:pPr>
      <w:hyperlink r:id="rId13" w:history="1">
        <w:r w:rsidRPr="001F54CA">
          <w:rPr>
            <w:rStyle w:val="Hyperlink"/>
            <w:b w:val="0"/>
            <w:bCs/>
            <w:color w:val="auto"/>
            <w:sz w:val="24"/>
            <w:szCs w:val="24"/>
          </w:rPr>
          <w:t>Policy@birminghamchildrenstrust.co.uk</w:t>
        </w:r>
      </w:hyperlink>
    </w:p>
    <w:p w14:paraId="2D6543A3" w14:textId="72C77F3C" w:rsidR="001F54CA" w:rsidRPr="00E267D5" w:rsidRDefault="001F54CA" w:rsidP="00E267D5">
      <w:pPr>
        <w:pStyle w:val="Policyheadings"/>
        <w:numPr>
          <w:ilvl w:val="0"/>
          <w:numId w:val="0"/>
        </w:numPr>
        <w:spacing w:line="240" w:lineRule="auto"/>
        <w:ind w:left="284" w:hanging="284"/>
        <w:rPr>
          <w:sz w:val="24"/>
          <w:szCs w:val="24"/>
        </w:rPr>
      </w:pPr>
    </w:p>
    <w:p w14:paraId="6A6920EC" w14:textId="34079022" w:rsidR="00965CC0" w:rsidRDefault="00965CC0" w:rsidP="00E267D5">
      <w:pPr>
        <w:pStyle w:val="Policyheadings"/>
        <w:numPr>
          <w:ilvl w:val="0"/>
          <w:numId w:val="0"/>
        </w:numPr>
        <w:spacing w:line="240" w:lineRule="auto"/>
        <w:rPr>
          <w:b w:val="0"/>
          <w:bCs/>
          <w:color w:val="auto"/>
          <w:sz w:val="24"/>
          <w:szCs w:val="24"/>
        </w:rPr>
      </w:pPr>
      <w:r w:rsidRPr="00965CC0">
        <w:rPr>
          <w:b w:val="0"/>
          <w:bCs/>
          <w:color w:val="auto"/>
          <w:sz w:val="24"/>
          <w:szCs w:val="24"/>
        </w:rPr>
        <w:t xml:space="preserve">The following </w:t>
      </w:r>
      <w:r>
        <w:rPr>
          <w:b w:val="0"/>
          <w:bCs/>
          <w:color w:val="auto"/>
          <w:sz w:val="24"/>
          <w:szCs w:val="24"/>
        </w:rPr>
        <w:t xml:space="preserve">diagram illustrates the </w:t>
      </w:r>
      <w:r w:rsidRPr="00965CC0">
        <w:rPr>
          <w:b w:val="0"/>
          <w:bCs/>
          <w:color w:val="auto"/>
          <w:sz w:val="24"/>
          <w:szCs w:val="24"/>
        </w:rPr>
        <w:t xml:space="preserve">process </w:t>
      </w:r>
      <w:r>
        <w:rPr>
          <w:b w:val="0"/>
          <w:bCs/>
          <w:color w:val="auto"/>
          <w:sz w:val="24"/>
          <w:szCs w:val="24"/>
        </w:rPr>
        <w:t>which should be followed once there is an identified need for policy development or review:</w:t>
      </w:r>
    </w:p>
    <w:p w14:paraId="5B40467C" w14:textId="21312F03" w:rsidR="00E267D5" w:rsidRDefault="00E267D5" w:rsidP="00E267D5">
      <w:pPr>
        <w:pStyle w:val="Policyheadings"/>
        <w:numPr>
          <w:ilvl w:val="0"/>
          <w:numId w:val="0"/>
        </w:numPr>
        <w:spacing w:line="240" w:lineRule="auto"/>
        <w:rPr>
          <w:b w:val="0"/>
          <w:bCs/>
          <w:color w:val="auto"/>
          <w:sz w:val="24"/>
          <w:szCs w:val="24"/>
        </w:rPr>
      </w:pPr>
      <w:r>
        <w:rPr>
          <w:noProof/>
        </w:rPr>
        <w:drawing>
          <wp:anchor distT="0" distB="0" distL="114300" distR="114300" simplePos="0" relativeHeight="251662336" behindDoc="0" locked="0" layoutInCell="1" allowOverlap="1" wp14:anchorId="147A524F" wp14:editId="0EE762F5">
            <wp:simplePos x="0" y="0"/>
            <wp:positionH relativeFrom="column">
              <wp:posOffset>0</wp:posOffset>
            </wp:positionH>
            <wp:positionV relativeFrom="paragraph">
              <wp:posOffset>115570</wp:posOffset>
            </wp:positionV>
            <wp:extent cx="5731510" cy="3133725"/>
            <wp:effectExtent l="0" t="0" r="2540" b="0"/>
            <wp:wrapNone/>
            <wp:docPr id="4" name="Picture 4"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10;&#10;Description automatically generated"/>
                    <pic:cNvPicPr/>
                  </pic:nvPicPr>
                  <pic:blipFill rotWithShape="1">
                    <a:blip r:embed="rId14" cstate="print">
                      <a:extLst>
                        <a:ext uri="{28A0092B-C50C-407E-A947-70E740481C1C}">
                          <a14:useLocalDpi xmlns:a14="http://schemas.microsoft.com/office/drawing/2010/main" val="0"/>
                        </a:ext>
                      </a:extLst>
                    </a:blip>
                    <a:srcRect t="6635" b="6050"/>
                    <a:stretch/>
                  </pic:blipFill>
                  <pic:spPr bwMode="auto">
                    <a:xfrm>
                      <a:off x="0" y="0"/>
                      <a:ext cx="5731510" cy="3133725"/>
                    </a:xfrm>
                    <a:prstGeom prst="rect">
                      <a:avLst/>
                    </a:prstGeom>
                    <a:ln>
                      <a:noFill/>
                    </a:ln>
                    <a:extLst>
                      <a:ext uri="{53640926-AAD7-44D8-BBD7-CCE9431645EC}">
                        <a14:shadowObscured xmlns:a14="http://schemas.microsoft.com/office/drawing/2010/main"/>
                      </a:ext>
                    </a:extLst>
                  </pic:spPr>
                </pic:pic>
              </a:graphicData>
            </a:graphic>
          </wp:anchor>
        </w:drawing>
      </w:r>
    </w:p>
    <w:p w14:paraId="72FEA30A" w14:textId="77777777" w:rsidR="00E267D5" w:rsidRPr="00965CC0" w:rsidRDefault="00E267D5" w:rsidP="00E267D5">
      <w:pPr>
        <w:pStyle w:val="Policyheadings"/>
        <w:numPr>
          <w:ilvl w:val="0"/>
          <w:numId w:val="0"/>
        </w:numPr>
        <w:spacing w:line="240" w:lineRule="auto"/>
        <w:rPr>
          <w:b w:val="0"/>
          <w:bCs/>
          <w:color w:val="auto"/>
          <w:sz w:val="24"/>
          <w:szCs w:val="24"/>
        </w:rPr>
      </w:pPr>
    </w:p>
    <w:p w14:paraId="79763A48" w14:textId="2C109CB1" w:rsidR="00965CC0" w:rsidRDefault="00965CC0" w:rsidP="001F54CA">
      <w:pPr>
        <w:pStyle w:val="Policyheadings"/>
        <w:numPr>
          <w:ilvl w:val="0"/>
          <w:numId w:val="0"/>
        </w:numPr>
        <w:rPr>
          <w:noProof/>
        </w:rPr>
      </w:pPr>
    </w:p>
    <w:p w14:paraId="1B2AF035" w14:textId="7D2A54E8" w:rsidR="001F54CA" w:rsidRDefault="001F54CA" w:rsidP="001F54CA">
      <w:pPr>
        <w:pStyle w:val="Policyheadings"/>
        <w:numPr>
          <w:ilvl w:val="0"/>
          <w:numId w:val="0"/>
        </w:numPr>
      </w:pPr>
    </w:p>
    <w:p w14:paraId="73452AB5" w14:textId="1B66051D" w:rsidR="001F54CA" w:rsidRDefault="001F54CA" w:rsidP="0058138B">
      <w:pPr>
        <w:pStyle w:val="Policyheadings"/>
        <w:numPr>
          <w:ilvl w:val="0"/>
          <w:numId w:val="0"/>
        </w:numPr>
        <w:spacing w:line="240" w:lineRule="auto"/>
        <w:rPr>
          <w:b w:val="0"/>
          <w:bCs/>
          <w:color w:val="auto"/>
          <w:sz w:val="24"/>
          <w:szCs w:val="24"/>
        </w:rPr>
      </w:pPr>
    </w:p>
    <w:p w14:paraId="33DEDEBC" w14:textId="0813AACA" w:rsidR="001F54CA" w:rsidRDefault="001F54CA" w:rsidP="0058138B">
      <w:pPr>
        <w:pStyle w:val="Policyheadings"/>
        <w:numPr>
          <w:ilvl w:val="0"/>
          <w:numId w:val="0"/>
        </w:numPr>
        <w:spacing w:line="240" w:lineRule="auto"/>
        <w:rPr>
          <w:b w:val="0"/>
          <w:bCs/>
          <w:color w:val="auto"/>
          <w:sz w:val="24"/>
          <w:szCs w:val="24"/>
        </w:rPr>
      </w:pPr>
    </w:p>
    <w:p w14:paraId="758BCEB6" w14:textId="0F861953" w:rsidR="001F54CA" w:rsidRDefault="001F54CA" w:rsidP="0058138B">
      <w:pPr>
        <w:pStyle w:val="Policyheadings"/>
        <w:numPr>
          <w:ilvl w:val="0"/>
          <w:numId w:val="0"/>
        </w:numPr>
        <w:spacing w:line="240" w:lineRule="auto"/>
        <w:rPr>
          <w:b w:val="0"/>
          <w:bCs/>
          <w:color w:val="auto"/>
          <w:sz w:val="24"/>
          <w:szCs w:val="24"/>
        </w:rPr>
      </w:pPr>
    </w:p>
    <w:p w14:paraId="26864CB6" w14:textId="0939A781" w:rsidR="001F54CA" w:rsidRDefault="001F54CA" w:rsidP="0058138B">
      <w:pPr>
        <w:pStyle w:val="Policyheadings"/>
        <w:numPr>
          <w:ilvl w:val="0"/>
          <w:numId w:val="0"/>
        </w:numPr>
        <w:spacing w:line="240" w:lineRule="auto"/>
        <w:rPr>
          <w:b w:val="0"/>
          <w:bCs/>
          <w:color w:val="auto"/>
          <w:sz w:val="24"/>
          <w:szCs w:val="24"/>
        </w:rPr>
      </w:pPr>
    </w:p>
    <w:p w14:paraId="03DBBAFC" w14:textId="1FA11517" w:rsidR="001F54CA" w:rsidRDefault="001F54CA" w:rsidP="0058138B">
      <w:pPr>
        <w:pStyle w:val="Policyheadings"/>
        <w:numPr>
          <w:ilvl w:val="0"/>
          <w:numId w:val="0"/>
        </w:numPr>
        <w:spacing w:line="240" w:lineRule="auto"/>
        <w:rPr>
          <w:b w:val="0"/>
          <w:bCs/>
          <w:color w:val="auto"/>
          <w:sz w:val="24"/>
          <w:szCs w:val="24"/>
        </w:rPr>
      </w:pPr>
    </w:p>
    <w:p w14:paraId="01B2C809" w14:textId="42B0A8FB" w:rsidR="001F54CA" w:rsidRDefault="001F54CA" w:rsidP="0058138B">
      <w:pPr>
        <w:pStyle w:val="Policyheadings"/>
        <w:numPr>
          <w:ilvl w:val="0"/>
          <w:numId w:val="0"/>
        </w:numPr>
        <w:spacing w:line="240" w:lineRule="auto"/>
        <w:rPr>
          <w:b w:val="0"/>
          <w:bCs/>
          <w:color w:val="auto"/>
          <w:sz w:val="24"/>
          <w:szCs w:val="24"/>
        </w:rPr>
      </w:pPr>
    </w:p>
    <w:p w14:paraId="0E4F895E" w14:textId="1C55A003" w:rsidR="001F54CA" w:rsidRDefault="001F54CA" w:rsidP="0058138B">
      <w:pPr>
        <w:pStyle w:val="Policyheadings"/>
        <w:numPr>
          <w:ilvl w:val="0"/>
          <w:numId w:val="0"/>
        </w:numPr>
        <w:spacing w:line="240" w:lineRule="auto"/>
        <w:rPr>
          <w:b w:val="0"/>
          <w:bCs/>
          <w:color w:val="auto"/>
          <w:sz w:val="24"/>
          <w:szCs w:val="24"/>
        </w:rPr>
      </w:pPr>
    </w:p>
    <w:p w14:paraId="1BE843CC" w14:textId="387D9F22" w:rsidR="001F54CA" w:rsidRDefault="001F54CA" w:rsidP="0058138B">
      <w:pPr>
        <w:pStyle w:val="Policyheadings"/>
        <w:numPr>
          <w:ilvl w:val="0"/>
          <w:numId w:val="0"/>
        </w:numPr>
        <w:spacing w:line="240" w:lineRule="auto"/>
        <w:rPr>
          <w:b w:val="0"/>
          <w:bCs/>
          <w:color w:val="auto"/>
          <w:sz w:val="24"/>
          <w:szCs w:val="24"/>
        </w:rPr>
      </w:pPr>
    </w:p>
    <w:p w14:paraId="464EB3C4" w14:textId="54534CEE" w:rsidR="001F54CA" w:rsidRDefault="001F54CA" w:rsidP="0058138B">
      <w:pPr>
        <w:pStyle w:val="Policyheadings"/>
        <w:numPr>
          <w:ilvl w:val="0"/>
          <w:numId w:val="0"/>
        </w:numPr>
        <w:spacing w:line="240" w:lineRule="auto"/>
        <w:rPr>
          <w:b w:val="0"/>
          <w:bCs/>
          <w:color w:val="auto"/>
          <w:sz w:val="24"/>
          <w:szCs w:val="24"/>
        </w:rPr>
      </w:pPr>
    </w:p>
    <w:p w14:paraId="1ABB216D" w14:textId="17FE19B5" w:rsidR="001F54CA" w:rsidRDefault="001F54CA" w:rsidP="0058138B">
      <w:pPr>
        <w:pStyle w:val="Policyheadings"/>
        <w:numPr>
          <w:ilvl w:val="0"/>
          <w:numId w:val="0"/>
        </w:numPr>
        <w:spacing w:line="240" w:lineRule="auto"/>
        <w:rPr>
          <w:b w:val="0"/>
          <w:bCs/>
          <w:color w:val="auto"/>
          <w:sz w:val="24"/>
          <w:szCs w:val="24"/>
        </w:rPr>
      </w:pPr>
    </w:p>
    <w:p w14:paraId="0A2CF6B2" w14:textId="7A00B824" w:rsidR="001F54CA" w:rsidRDefault="001F54CA" w:rsidP="0058138B">
      <w:pPr>
        <w:pStyle w:val="Policyheadings"/>
        <w:numPr>
          <w:ilvl w:val="0"/>
          <w:numId w:val="0"/>
        </w:numPr>
        <w:spacing w:line="240" w:lineRule="auto"/>
        <w:rPr>
          <w:b w:val="0"/>
          <w:bCs/>
          <w:color w:val="auto"/>
          <w:sz w:val="24"/>
          <w:szCs w:val="24"/>
        </w:rPr>
      </w:pPr>
    </w:p>
    <w:p w14:paraId="08A5471A" w14:textId="47A55409" w:rsidR="001F54CA" w:rsidRDefault="001F54CA" w:rsidP="0058138B">
      <w:pPr>
        <w:pStyle w:val="Policyheadings"/>
        <w:numPr>
          <w:ilvl w:val="0"/>
          <w:numId w:val="0"/>
        </w:numPr>
        <w:spacing w:line="240" w:lineRule="auto"/>
        <w:rPr>
          <w:b w:val="0"/>
          <w:bCs/>
          <w:color w:val="auto"/>
          <w:sz w:val="24"/>
          <w:szCs w:val="24"/>
        </w:rPr>
      </w:pPr>
    </w:p>
    <w:p w14:paraId="2C95C1D3" w14:textId="08398C5B" w:rsidR="001F54CA" w:rsidRDefault="001F54CA" w:rsidP="0058138B">
      <w:pPr>
        <w:pStyle w:val="Policyheadings"/>
        <w:numPr>
          <w:ilvl w:val="0"/>
          <w:numId w:val="0"/>
        </w:numPr>
        <w:spacing w:line="240" w:lineRule="auto"/>
        <w:rPr>
          <w:b w:val="0"/>
          <w:bCs/>
          <w:color w:val="auto"/>
          <w:sz w:val="24"/>
          <w:szCs w:val="24"/>
        </w:rPr>
      </w:pPr>
    </w:p>
    <w:p w14:paraId="6213603C" w14:textId="56965614" w:rsidR="00965CC0" w:rsidRDefault="00965CC0" w:rsidP="00965CC0">
      <w:pPr>
        <w:pStyle w:val="Policyheadings"/>
        <w:numPr>
          <w:ilvl w:val="0"/>
          <w:numId w:val="0"/>
        </w:numPr>
        <w:spacing w:line="240" w:lineRule="auto"/>
        <w:rPr>
          <w:b w:val="0"/>
          <w:bCs/>
          <w:color w:val="auto"/>
          <w:sz w:val="24"/>
          <w:szCs w:val="24"/>
        </w:rPr>
      </w:pPr>
      <w:r w:rsidRPr="00965CC0">
        <w:rPr>
          <w:b w:val="0"/>
          <w:bCs/>
          <w:color w:val="auto"/>
          <w:sz w:val="24"/>
          <w:szCs w:val="24"/>
        </w:rPr>
        <w:t xml:space="preserve">First drafts will be agreed by the responsible person within the relevant service area, who will be responsible for consulting within their service area if they need to. </w:t>
      </w:r>
    </w:p>
    <w:p w14:paraId="60713274" w14:textId="77777777" w:rsidR="00965CC0" w:rsidRPr="00965CC0" w:rsidRDefault="00965CC0" w:rsidP="00965CC0">
      <w:pPr>
        <w:pStyle w:val="Policyheadings"/>
        <w:numPr>
          <w:ilvl w:val="0"/>
          <w:numId w:val="0"/>
        </w:numPr>
        <w:spacing w:line="240" w:lineRule="auto"/>
        <w:rPr>
          <w:b w:val="0"/>
          <w:bCs/>
          <w:color w:val="auto"/>
          <w:sz w:val="24"/>
          <w:szCs w:val="24"/>
        </w:rPr>
      </w:pPr>
    </w:p>
    <w:p w14:paraId="1C5FBFA8" w14:textId="71A96946" w:rsidR="00965CC0" w:rsidRDefault="00965CC0" w:rsidP="00965CC0">
      <w:pPr>
        <w:pStyle w:val="Policyheadings"/>
        <w:numPr>
          <w:ilvl w:val="0"/>
          <w:numId w:val="0"/>
        </w:numPr>
        <w:spacing w:line="240" w:lineRule="auto"/>
        <w:rPr>
          <w:b w:val="0"/>
          <w:bCs/>
          <w:color w:val="auto"/>
          <w:sz w:val="24"/>
          <w:szCs w:val="24"/>
        </w:rPr>
      </w:pPr>
      <w:r w:rsidRPr="00965CC0">
        <w:rPr>
          <w:b w:val="0"/>
          <w:bCs/>
          <w:color w:val="auto"/>
          <w:sz w:val="24"/>
          <w:szCs w:val="24"/>
        </w:rPr>
        <w:t>Once first drafts have been signed off, the Practice Hub will arrange for the document to go on the forward plan and send document out to meeting attendees for consultation. The deadline for responses will be three days prior to the meeting</w:t>
      </w:r>
      <w:r>
        <w:rPr>
          <w:b w:val="0"/>
          <w:bCs/>
          <w:color w:val="auto"/>
          <w:sz w:val="24"/>
          <w:szCs w:val="24"/>
        </w:rPr>
        <w:t>.</w:t>
      </w:r>
    </w:p>
    <w:p w14:paraId="0B389A2B" w14:textId="77777777" w:rsidR="00965CC0" w:rsidRPr="00965CC0" w:rsidRDefault="00965CC0" w:rsidP="00965CC0">
      <w:pPr>
        <w:pStyle w:val="Policyheadings"/>
        <w:numPr>
          <w:ilvl w:val="0"/>
          <w:numId w:val="0"/>
        </w:numPr>
        <w:spacing w:line="240" w:lineRule="auto"/>
        <w:rPr>
          <w:b w:val="0"/>
          <w:bCs/>
          <w:color w:val="auto"/>
          <w:sz w:val="24"/>
          <w:szCs w:val="24"/>
        </w:rPr>
      </w:pPr>
    </w:p>
    <w:p w14:paraId="109A5529" w14:textId="74A80B97" w:rsidR="00965CC0" w:rsidRDefault="00965CC0" w:rsidP="00965CC0">
      <w:pPr>
        <w:pStyle w:val="Policyheadings"/>
        <w:numPr>
          <w:ilvl w:val="0"/>
          <w:numId w:val="0"/>
        </w:numPr>
        <w:spacing w:line="240" w:lineRule="auto"/>
        <w:rPr>
          <w:b w:val="0"/>
          <w:bCs/>
          <w:color w:val="auto"/>
          <w:sz w:val="24"/>
          <w:szCs w:val="24"/>
        </w:rPr>
      </w:pPr>
      <w:r w:rsidRPr="00965CC0">
        <w:rPr>
          <w:b w:val="0"/>
          <w:bCs/>
          <w:color w:val="auto"/>
          <w:sz w:val="24"/>
          <w:szCs w:val="24"/>
        </w:rPr>
        <w:t>Second drafts will incorporate comments/ amendments received during the consultation period, plus questions for consideration at the meeting. They will be sent out with agendas, assuming agendas for all meetings are sent out one or two days in advance of the meeting. They will be presented at the meeting by the person responsible for signing off the consultation draft.</w:t>
      </w:r>
      <w:r>
        <w:rPr>
          <w:b w:val="0"/>
          <w:bCs/>
          <w:color w:val="auto"/>
          <w:sz w:val="24"/>
          <w:szCs w:val="24"/>
        </w:rPr>
        <w:t xml:space="preserve"> </w:t>
      </w:r>
      <w:r w:rsidRPr="00965CC0">
        <w:rPr>
          <w:b w:val="0"/>
          <w:bCs/>
          <w:color w:val="auto"/>
          <w:sz w:val="24"/>
          <w:szCs w:val="24"/>
        </w:rPr>
        <w:t>Lack of response by the consultation deadline will be taken as agreement with the content of the document.</w:t>
      </w:r>
    </w:p>
    <w:p w14:paraId="01D9D2AB" w14:textId="77777777" w:rsidR="00965CC0" w:rsidRPr="00965CC0" w:rsidRDefault="00965CC0" w:rsidP="00965CC0">
      <w:pPr>
        <w:pStyle w:val="Policyheadings"/>
        <w:numPr>
          <w:ilvl w:val="0"/>
          <w:numId w:val="0"/>
        </w:numPr>
        <w:spacing w:line="240" w:lineRule="auto"/>
        <w:rPr>
          <w:b w:val="0"/>
          <w:bCs/>
          <w:color w:val="auto"/>
          <w:sz w:val="24"/>
          <w:szCs w:val="24"/>
        </w:rPr>
      </w:pPr>
    </w:p>
    <w:p w14:paraId="0BC1AF7C" w14:textId="6F0CEBE9" w:rsidR="00965CC0" w:rsidRPr="00965CC0" w:rsidRDefault="00965CC0" w:rsidP="00965CC0">
      <w:pPr>
        <w:pStyle w:val="Policyheadings"/>
        <w:numPr>
          <w:ilvl w:val="0"/>
          <w:numId w:val="0"/>
        </w:numPr>
        <w:spacing w:line="240" w:lineRule="auto"/>
        <w:rPr>
          <w:b w:val="0"/>
          <w:bCs/>
          <w:color w:val="auto"/>
          <w:sz w:val="24"/>
          <w:szCs w:val="24"/>
        </w:rPr>
      </w:pPr>
      <w:r w:rsidRPr="00965CC0">
        <w:rPr>
          <w:b w:val="0"/>
          <w:bCs/>
          <w:color w:val="auto"/>
          <w:sz w:val="24"/>
          <w:szCs w:val="24"/>
        </w:rPr>
        <w:t>If it is agreed at a meeting that the document needs to be considered by a higher body, the Chair will be responsible for arranging for it to go on the forward plan</w:t>
      </w:r>
      <w:r>
        <w:rPr>
          <w:b w:val="0"/>
          <w:bCs/>
          <w:color w:val="auto"/>
          <w:sz w:val="24"/>
          <w:szCs w:val="24"/>
        </w:rPr>
        <w:t>;</w:t>
      </w:r>
      <w:r w:rsidRPr="00965CC0">
        <w:rPr>
          <w:b w:val="0"/>
          <w:bCs/>
          <w:color w:val="auto"/>
          <w:sz w:val="24"/>
          <w:szCs w:val="24"/>
        </w:rPr>
        <w:t xml:space="preserve"> </w:t>
      </w:r>
      <w:r>
        <w:rPr>
          <w:b w:val="0"/>
          <w:bCs/>
          <w:color w:val="auto"/>
          <w:sz w:val="24"/>
          <w:szCs w:val="24"/>
        </w:rPr>
        <w:t>T</w:t>
      </w:r>
      <w:r w:rsidRPr="00965CC0">
        <w:rPr>
          <w:b w:val="0"/>
          <w:bCs/>
          <w:color w:val="auto"/>
          <w:sz w:val="24"/>
          <w:szCs w:val="24"/>
        </w:rPr>
        <w:t xml:space="preserve">he Practice Hub can help with this on request. Otherwise, any decisions made at this meeting will be considered final and the document taken as agreed, subject to any amendments agreed at the meeting. </w:t>
      </w:r>
    </w:p>
    <w:p w14:paraId="5B96465A" w14:textId="77777777" w:rsidR="00E267D5" w:rsidRDefault="00E267D5" w:rsidP="00965CC0">
      <w:pPr>
        <w:pStyle w:val="Policyheadings"/>
        <w:numPr>
          <w:ilvl w:val="0"/>
          <w:numId w:val="0"/>
        </w:numPr>
        <w:spacing w:line="240" w:lineRule="auto"/>
        <w:rPr>
          <w:b w:val="0"/>
          <w:bCs/>
          <w:color w:val="auto"/>
          <w:sz w:val="24"/>
          <w:szCs w:val="24"/>
        </w:rPr>
      </w:pPr>
    </w:p>
    <w:p w14:paraId="71DF5078" w14:textId="6434E085" w:rsidR="001F54CA" w:rsidRPr="00965CC0" w:rsidRDefault="00965CC0" w:rsidP="00965CC0">
      <w:pPr>
        <w:pStyle w:val="Policyheadings"/>
        <w:numPr>
          <w:ilvl w:val="0"/>
          <w:numId w:val="0"/>
        </w:numPr>
        <w:spacing w:line="240" w:lineRule="auto"/>
        <w:rPr>
          <w:b w:val="0"/>
          <w:bCs/>
          <w:color w:val="auto"/>
          <w:sz w:val="24"/>
          <w:szCs w:val="24"/>
        </w:rPr>
      </w:pPr>
      <w:r w:rsidRPr="00965CC0">
        <w:rPr>
          <w:b w:val="0"/>
          <w:bCs/>
          <w:color w:val="auto"/>
          <w:sz w:val="24"/>
          <w:szCs w:val="24"/>
        </w:rPr>
        <w:t xml:space="preserve">Once finally signed off, documents will be given version numbers, dated and uploaded onto </w:t>
      </w:r>
      <w:proofErr w:type="spellStart"/>
      <w:r w:rsidRPr="00965CC0">
        <w:rPr>
          <w:b w:val="0"/>
          <w:bCs/>
          <w:color w:val="auto"/>
          <w:sz w:val="24"/>
          <w:szCs w:val="24"/>
        </w:rPr>
        <w:t>Trix</w:t>
      </w:r>
      <w:proofErr w:type="spellEnd"/>
      <w:r w:rsidRPr="00965CC0">
        <w:rPr>
          <w:b w:val="0"/>
          <w:bCs/>
          <w:color w:val="auto"/>
          <w:sz w:val="24"/>
          <w:szCs w:val="24"/>
        </w:rPr>
        <w:t xml:space="preserve">/ intranet by the Practice Hub. Unless a specific launch is planned, updates will be communicated via the ‘news’ section of </w:t>
      </w:r>
      <w:proofErr w:type="spellStart"/>
      <w:r w:rsidRPr="00965CC0">
        <w:rPr>
          <w:b w:val="0"/>
          <w:bCs/>
          <w:color w:val="auto"/>
          <w:sz w:val="24"/>
          <w:szCs w:val="24"/>
        </w:rPr>
        <w:t>Trix</w:t>
      </w:r>
      <w:proofErr w:type="spellEnd"/>
      <w:r w:rsidRPr="00965CC0">
        <w:rPr>
          <w:b w:val="0"/>
          <w:bCs/>
          <w:color w:val="auto"/>
          <w:sz w:val="24"/>
          <w:szCs w:val="24"/>
        </w:rPr>
        <w:t xml:space="preserve"> and the weekly email communication.</w:t>
      </w:r>
    </w:p>
    <w:tbl>
      <w:tblPr>
        <w:tblStyle w:val="TableGrid1"/>
        <w:tblpPr w:leftFromText="180" w:rightFromText="180" w:horzAnchor="margin" w:tblpY="660"/>
        <w:tblW w:w="9209" w:type="dxa"/>
        <w:tblLook w:val="04A0" w:firstRow="1" w:lastRow="0" w:firstColumn="1" w:lastColumn="0" w:noHBand="0" w:noVBand="1"/>
      </w:tblPr>
      <w:tblGrid>
        <w:gridCol w:w="2263"/>
        <w:gridCol w:w="2127"/>
        <w:gridCol w:w="2551"/>
        <w:gridCol w:w="2268"/>
      </w:tblGrid>
      <w:tr w:rsidR="00F455E9" w:rsidRPr="003B14FE" w14:paraId="6EF995C0" w14:textId="77777777" w:rsidTr="00D055B8">
        <w:tc>
          <w:tcPr>
            <w:tcW w:w="2263" w:type="dxa"/>
          </w:tcPr>
          <w:p w14:paraId="103BDFE0" w14:textId="77777777" w:rsidR="00F455E9" w:rsidRPr="003B14FE" w:rsidRDefault="00F455E9" w:rsidP="00D055B8">
            <w:pPr>
              <w:rPr>
                <w:rFonts w:ascii="Arial" w:hAnsi="Arial" w:cs="Arial"/>
              </w:rPr>
            </w:pPr>
          </w:p>
        </w:tc>
        <w:tc>
          <w:tcPr>
            <w:tcW w:w="2127" w:type="dxa"/>
          </w:tcPr>
          <w:p w14:paraId="64085AA8"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Responsibility for drafting and reviewing</w:t>
            </w:r>
          </w:p>
        </w:tc>
        <w:tc>
          <w:tcPr>
            <w:tcW w:w="2551" w:type="dxa"/>
          </w:tcPr>
          <w:p w14:paraId="2F8AC768"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 xml:space="preserve">Consultation arrangements and timescales </w:t>
            </w:r>
          </w:p>
        </w:tc>
        <w:tc>
          <w:tcPr>
            <w:tcW w:w="2268" w:type="dxa"/>
          </w:tcPr>
          <w:p w14:paraId="7A10BB97"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Responsibility for sign-off</w:t>
            </w:r>
          </w:p>
        </w:tc>
      </w:tr>
      <w:tr w:rsidR="00F455E9" w:rsidRPr="003B14FE" w14:paraId="3A3D0B4A" w14:textId="77777777" w:rsidTr="00D055B8">
        <w:tc>
          <w:tcPr>
            <w:tcW w:w="9209" w:type="dxa"/>
            <w:gridSpan w:val="4"/>
            <w:shd w:val="clear" w:color="auto" w:fill="D9D9D9" w:themeFill="background1" w:themeFillShade="D9"/>
          </w:tcPr>
          <w:p w14:paraId="77F2D75D"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POLICY</w:t>
            </w:r>
          </w:p>
        </w:tc>
      </w:tr>
      <w:tr w:rsidR="00F455E9" w:rsidRPr="003B14FE" w14:paraId="7923B017" w14:textId="77777777" w:rsidTr="00D055B8">
        <w:tc>
          <w:tcPr>
            <w:tcW w:w="2263" w:type="dxa"/>
          </w:tcPr>
          <w:p w14:paraId="52E6DD24"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Overarching Trust policy (</w:t>
            </w:r>
            <w:proofErr w:type="gramStart"/>
            <w:r w:rsidRPr="00F455E9">
              <w:rPr>
                <w:rFonts w:ascii="Calibri" w:hAnsi="Calibri" w:cs="Calibri"/>
                <w:b/>
                <w:bCs/>
                <w:sz w:val="24"/>
                <w:szCs w:val="24"/>
              </w:rPr>
              <w:t>e.g.</w:t>
            </w:r>
            <w:proofErr w:type="gramEnd"/>
            <w:r w:rsidRPr="00F455E9">
              <w:rPr>
                <w:rFonts w:ascii="Calibri" w:hAnsi="Calibri" w:cs="Calibri"/>
                <w:b/>
                <w:bCs/>
                <w:sz w:val="24"/>
                <w:szCs w:val="24"/>
              </w:rPr>
              <w:t xml:space="preserve"> practice model, HR policies, Information sharing protocols, multi-agency protocols)</w:t>
            </w:r>
          </w:p>
        </w:tc>
        <w:tc>
          <w:tcPr>
            <w:tcW w:w="2127" w:type="dxa"/>
          </w:tcPr>
          <w:p w14:paraId="7DBE7DF3" w14:textId="752D27F7" w:rsidR="00F455E9" w:rsidRPr="00F455E9" w:rsidRDefault="00F455E9" w:rsidP="00D055B8">
            <w:pPr>
              <w:rPr>
                <w:rFonts w:ascii="Calibri" w:hAnsi="Calibri" w:cs="Calibri"/>
                <w:sz w:val="24"/>
                <w:szCs w:val="24"/>
              </w:rPr>
            </w:pPr>
            <w:r w:rsidRPr="00F455E9">
              <w:rPr>
                <w:rFonts w:ascii="Calibri" w:hAnsi="Calibri" w:cs="Calibri"/>
                <w:sz w:val="24"/>
                <w:szCs w:val="24"/>
              </w:rPr>
              <w:t>AD</w:t>
            </w:r>
            <w:r w:rsidR="00D055B8">
              <w:rPr>
                <w:rStyle w:val="FootnoteReference"/>
                <w:rFonts w:ascii="Calibri" w:hAnsi="Calibri" w:cs="Calibri"/>
                <w:sz w:val="24"/>
                <w:szCs w:val="24"/>
              </w:rPr>
              <w:footnoteReference w:id="2"/>
            </w:r>
            <w:r w:rsidRPr="00F455E9">
              <w:rPr>
                <w:rFonts w:ascii="Calibri" w:hAnsi="Calibri" w:cs="Calibri"/>
                <w:sz w:val="24"/>
                <w:szCs w:val="24"/>
              </w:rPr>
              <w:t xml:space="preserve"> identified by Executive Team, supported by Practice Hub</w:t>
            </w:r>
          </w:p>
        </w:tc>
        <w:tc>
          <w:tcPr>
            <w:tcW w:w="2551" w:type="dxa"/>
          </w:tcPr>
          <w:p w14:paraId="0FF2C53F" w14:textId="5A27DB3D"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Directors /AD’s group </w:t>
            </w:r>
            <w:r>
              <w:rPr>
                <w:rFonts w:ascii="Calibri" w:hAnsi="Calibri" w:cs="Calibri"/>
                <w:sz w:val="24"/>
                <w:szCs w:val="24"/>
              </w:rPr>
              <w:t xml:space="preserve">- </w:t>
            </w:r>
            <w:r w:rsidRPr="00F455E9">
              <w:rPr>
                <w:rFonts w:ascii="Calibri" w:hAnsi="Calibri" w:cs="Calibri"/>
                <w:sz w:val="24"/>
                <w:szCs w:val="24"/>
              </w:rPr>
              <w:t>to be shared two weeks prior to meeting to seek comments</w:t>
            </w:r>
          </w:p>
        </w:tc>
        <w:tc>
          <w:tcPr>
            <w:tcW w:w="2268" w:type="dxa"/>
          </w:tcPr>
          <w:p w14:paraId="6F85C000" w14:textId="46129A1D" w:rsidR="00F455E9" w:rsidRPr="00F455E9" w:rsidRDefault="00F455E9" w:rsidP="00D055B8">
            <w:pPr>
              <w:rPr>
                <w:rFonts w:ascii="Calibri" w:hAnsi="Calibri" w:cs="Calibri"/>
                <w:sz w:val="24"/>
                <w:szCs w:val="24"/>
              </w:rPr>
            </w:pPr>
            <w:r w:rsidRPr="00F455E9">
              <w:rPr>
                <w:rFonts w:ascii="Calibri" w:hAnsi="Calibri" w:cs="Calibri"/>
                <w:sz w:val="24"/>
                <w:szCs w:val="24"/>
              </w:rPr>
              <w:t>Executive Team meeting (or Trust Board as appropriate)</w:t>
            </w:r>
          </w:p>
        </w:tc>
      </w:tr>
      <w:tr w:rsidR="00F455E9" w:rsidRPr="003B14FE" w14:paraId="515D3476" w14:textId="77777777" w:rsidTr="00D055B8">
        <w:tc>
          <w:tcPr>
            <w:tcW w:w="2263" w:type="dxa"/>
          </w:tcPr>
          <w:p w14:paraId="6927585E"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Policy regarding specific area of practice (</w:t>
            </w:r>
            <w:proofErr w:type="gramStart"/>
            <w:r w:rsidRPr="00F455E9">
              <w:rPr>
                <w:rFonts w:ascii="Calibri" w:hAnsi="Calibri" w:cs="Calibri"/>
                <w:b/>
                <w:bCs/>
                <w:sz w:val="24"/>
                <w:szCs w:val="24"/>
              </w:rPr>
              <w:t>e.g.</w:t>
            </w:r>
            <w:proofErr w:type="gramEnd"/>
            <w:r w:rsidRPr="00F455E9">
              <w:rPr>
                <w:rFonts w:ascii="Calibri" w:hAnsi="Calibri" w:cs="Calibri"/>
                <w:b/>
                <w:bCs/>
                <w:sz w:val="24"/>
                <w:szCs w:val="24"/>
              </w:rPr>
              <w:t xml:space="preserve"> </w:t>
            </w:r>
            <w:proofErr w:type="spellStart"/>
            <w:r w:rsidRPr="00F455E9">
              <w:rPr>
                <w:rFonts w:ascii="Calibri" w:hAnsi="Calibri" w:cs="Calibri"/>
                <w:b/>
                <w:bCs/>
                <w:sz w:val="24"/>
                <w:szCs w:val="24"/>
              </w:rPr>
              <w:t>CiN</w:t>
            </w:r>
            <w:proofErr w:type="spellEnd"/>
            <w:r w:rsidRPr="00F455E9">
              <w:rPr>
                <w:rFonts w:ascii="Calibri" w:hAnsi="Calibri" w:cs="Calibri"/>
                <w:b/>
                <w:bCs/>
                <w:sz w:val="24"/>
                <w:szCs w:val="24"/>
              </w:rPr>
              <w:t>, Short Breaks for children with disabilities, Voice of the Child)</w:t>
            </w:r>
          </w:p>
        </w:tc>
        <w:tc>
          <w:tcPr>
            <w:tcW w:w="2127" w:type="dxa"/>
          </w:tcPr>
          <w:p w14:paraId="2575EB49" w14:textId="6F2485F6"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AD/ </w:t>
            </w:r>
            <w:proofErr w:type="spellStart"/>
            <w:r w:rsidRPr="00F455E9">
              <w:rPr>
                <w:rFonts w:ascii="Calibri" w:hAnsi="Calibri" w:cs="Calibri"/>
                <w:sz w:val="24"/>
                <w:szCs w:val="24"/>
              </w:rPr>
              <w:t>HoS</w:t>
            </w:r>
            <w:proofErr w:type="spellEnd"/>
            <w:r w:rsidR="00D055B8">
              <w:rPr>
                <w:rStyle w:val="FootnoteReference"/>
                <w:rFonts w:ascii="Calibri" w:hAnsi="Calibri" w:cs="Calibri"/>
                <w:sz w:val="24"/>
                <w:szCs w:val="24"/>
              </w:rPr>
              <w:footnoteReference w:id="3"/>
            </w:r>
            <w:r w:rsidRPr="00F455E9">
              <w:rPr>
                <w:rFonts w:ascii="Calibri" w:hAnsi="Calibri" w:cs="Calibri"/>
                <w:sz w:val="24"/>
                <w:szCs w:val="24"/>
              </w:rPr>
              <w:t xml:space="preserve"> identified by Director Leadership Group, supported by Practice Hub</w:t>
            </w:r>
          </w:p>
        </w:tc>
        <w:tc>
          <w:tcPr>
            <w:tcW w:w="2551" w:type="dxa"/>
          </w:tcPr>
          <w:p w14:paraId="37D020E4" w14:textId="21A0A4BE"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Directors /AD’s group </w:t>
            </w:r>
            <w:r>
              <w:rPr>
                <w:rFonts w:ascii="Calibri" w:hAnsi="Calibri" w:cs="Calibri"/>
                <w:sz w:val="24"/>
                <w:szCs w:val="24"/>
              </w:rPr>
              <w:t xml:space="preserve">- </w:t>
            </w:r>
            <w:r w:rsidRPr="00F455E9">
              <w:rPr>
                <w:rFonts w:ascii="Calibri" w:hAnsi="Calibri" w:cs="Calibri"/>
                <w:sz w:val="24"/>
                <w:szCs w:val="24"/>
              </w:rPr>
              <w:t>to be shared two weeks prior to meeting to seek comments</w:t>
            </w:r>
          </w:p>
        </w:tc>
        <w:tc>
          <w:tcPr>
            <w:tcW w:w="2268" w:type="dxa"/>
          </w:tcPr>
          <w:p w14:paraId="468AAEB5"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Director Leadership Group</w:t>
            </w:r>
          </w:p>
        </w:tc>
      </w:tr>
      <w:tr w:rsidR="00F455E9" w:rsidRPr="003B14FE" w14:paraId="7E6B061B" w14:textId="77777777" w:rsidTr="00D055B8">
        <w:tc>
          <w:tcPr>
            <w:tcW w:w="9209" w:type="dxa"/>
            <w:gridSpan w:val="4"/>
            <w:shd w:val="clear" w:color="auto" w:fill="D9D9D9" w:themeFill="background1" w:themeFillShade="D9"/>
          </w:tcPr>
          <w:p w14:paraId="7FB2837B"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PROCEDURE</w:t>
            </w:r>
          </w:p>
        </w:tc>
      </w:tr>
      <w:tr w:rsidR="00F455E9" w:rsidRPr="003B14FE" w14:paraId="7A144DB4" w14:textId="77777777" w:rsidTr="00D055B8">
        <w:tc>
          <w:tcPr>
            <w:tcW w:w="2263" w:type="dxa"/>
          </w:tcPr>
          <w:p w14:paraId="6AD646E5"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Procedure accompanying policy for specific area of practice (</w:t>
            </w:r>
            <w:proofErr w:type="gramStart"/>
            <w:r w:rsidRPr="00F455E9">
              <w:rPr>
                <w:rFonts w:ascii="Calibri" w:hAnsi="Calibri" w:cs="Calibri"/>
                <w:b/>
                <w:bCs/>
                <w:sz w:val="24"/>
                <w:szCs w:val="24"/>
              </w:rPr>
              <w:t>e.g.</w:t>
            </w:r>
            <w:proofErr w:type="gramEnd"/>
            <w:r w:rsidRPr="00F455E9">
              <w:rPr>
                <w:rFonts w:ascii="Calibri" w:hAnsi="Calibri" w:cs="Calibri"/>
                <w:b/>
                <w:bCs/>
                <w:sz w:val="24"/>
                <w:szCs w:val="24"/>
              </w:rPr>
              <w:t xml:space="preserve"> </w:t>
            </w:r>
            <w:proofErr w:type="spellStart"/>
            <w:r w:rsidRPr="00F455E9">
              <w:rPr>
                <w:rFonts w:ascii="Calibri" w:hAnsi="Calibri" w:cs="Calibri"/>
                <w:b/>
                <w:bCs/>
                <w:sz w:val="24"/>
                <w:szCs w:val="24"/>
              </w:rPr>
              <w:t>CiN</w:t>
            </w:r>
            <w:proofErr w:type="spellEnd"/>
            <w:r w:rsidRPr="00F455E9">
              <w:rPr>
                <w:rFonts w:ascii="Calibri" w:hAnsi="Calibri" w:cs="Calibri"/>
                <w:b/>
                <w:bCs/>
                <w:sz w:val="24"/>
                <w:szCs w:val="24"/>
              </w:rPr>
              <w:t>, Short Breaks for children with disabilities, Voice of the Child)</w:t>
            </w:r>
          </w:p>
        </w:tc>
        <w:tc>
          <w:tcPr>
            <w:tcW w:w="2127" w:type="dxa"/>
          </w:tcPr>
          <w:p w14:paraId="396AC098"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AD/ </w:t>
            </w:r>
            <w:proofErr w:type="spellStart"/>
            <w:r w:rsidRPr="00F455E9">
              <w:rPr>
                <w:rFonts w:ascii="Calibri" w:hAnsi="Calibri" w:cs="Calibri"/>
                <w:sz w:val="24"/>
                <w:szCs w:val="24"/>
              </w:rPr>
              <w:t>HoS</w:t>
            </w:r>
            <w:proofErr w:type="spellEnd"/>
            <w:r w:rsidRPr="00F455E9">
              <w:rPr>
                <w:rFonts w:ascii="Calibri" w:hAnsi="Calibri" w:cs="Calibri"/>
                <w:sz w:val="24"/>
                <w:szCs w:val="24"/>
              </w:rPr>
              <w:t xml:space="preserve"> identified by Director Leadership Group, supported by Practice Hub</w:t>
            </w:r>
          </w:p>
        </w:tc>
        <w:tc>
          <w:tcPr>
            <w:tcW w:w="2551" w:type="dxa"/>
          </w:tcPr>
          <w:p w14:paraId="4F6B555E" w14:textId="7427A545"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Directors /AD’s group </w:t>
            </w:r>
            <w:r>
              <w:rPr>
                <w:rFonts w:ascii="Calibri" w:hAnsi="Calibri" w:cs="Calibri"/>
                <w:sz w:val="24"/>
                <w:szCs w:val="24"/>
              </w:rPr>
              <w:t xml:space="preserve">- </w:t>
            </w:r>
            <w:r w:rsidRPr="00F455E9">
              <w:rPr>
                <w:rFonts w:ascii="Calibri" w:hAnsi="Calibri" w:cs="Calibri"/>
                <w:sz w:val="24"/>
                <w:szCs w:val="24"/>
              </w:rPr>
              <w:t>to be shared two weeks prior to meeting to seek comments</w:t>
            </w:r>
          </w:p>
        </w:tc>
        <w:tc>
          <w:tcPr>
            <w:tcW w:w="2268" w:type="dxa"/>
          </w:tcPr>
          <w:p w14:paraId="63B6E24B"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Director Leadership Group</w:t>
            </w:r>
          </w:p>
        </w:tc>
      </w:tr>
      <w:tr w:rsidR="00F455E9" w:rsidRPr="003B14FE" w14:paraId="345EBE9A" w14:textId="77777777" w:rsidTr="00D055B8">
        <w:tc>
          <w:tcPr>
            <w:tcW w:w="2263" w:type="dxa"/>
          </w:tcPr>
          <w:p w14:paraId="77F5F942"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 xml:space="preserve">Twice yearly review of </w:t>
            </w:r>
            <w:proofErr w:type="spellStart"/>
            <w:r w:rsidRPr="00F455E9">
              <w:rPr>
                <w:rFonts w:ascii="Calibri" w:hAnsi="Calibri" w:cs="Calibri"/>
                <w:b/>
                <w:bCs/>
                <w:sz w:val="24"/>
                <w:szCs w:val="24"/>
              </w:rPr>
              <w:t>Trix</w:t>
            </w:r>
            <w:proofErr w:type="spellEnd"/>
            <w:r w:rsidRPr="00F455E9">
              <w:rPr>
                <w:rFonts w:ascii="Calibri" w:hAnsi="Calibri" w:cs="Calibri"/>
                <w:b/>
                <w:bCs/>
                <w:sz w:val="24"/>
                <w:szCs w:val="24"/>
              </w:rPr>
              <w:t xml:space="preserve"> main chapters</w:t>
            </w:r>
          </w:p>
        </w:tc>
        <w:tc>
          <w:tcPr>
            <w:tcW w:w="2127" w:type="dxa"/>
          </w:tcPr>
          <w:p w14:paraId="32685762"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Developed by Practice Hub supported by relevant </w:t>
            </w:r>
            <w:proofErr w:type="spellStart"/>
            <w:r w:rsidRPr="00F455E9">
              <w:rPr>
                <w:rFonts w:ascii="Calibri" w:hAnsi="Calibri" w:cs="Calibri"/>
                <w:sz w:val="24"/>
                <w:szCs w:val="24"/>
              </w:rPr>
              <w:t>HoS</w:t>
            </w:r>
            <w:proofErr w:type="spellEnd"/>
          </w:p>
        </w:tc>
        <w:tc>
          <w:tcPr>
            <w:tcW w:w="2551" w:type="dxa"/>
          </w:tcPr>
          <w:p w14:paraId="67ED0E8F"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AD/</w:t>
            </w:r>
            <w:proofErr w:type="spellStart"/>
            <w:r w:rsidRPr="00F455E9">
              <w:rPr>
                <w:rFonts w:ascii="Calibri" w:hAnsi="Calibri" w:cs="Calibri"/>
                <w:sz w:val="24"/>
                <w:szCs w:val="24"/>
              </w:rPr>
              <w:t>HoS</w:t>
            </w:r>
            <w:proofErr w:type="spellEnd"/>
            <w:r w:rsidRPr="00F455E9">
              <w:rPr>
                <w:rFonts w:ascii="Calibri" w:hAnsi="Calibri" w:cs="Calibri"/>
                <w:sz w:val="24"/>
                <w:szCs w:val="24"/>
              </w:rPr>
              <w:t xml:space="preserve"> group for specific area of practice, via email with timescale for response (</w:t>
            </w:r>
            <w:proofErr w:type="spellStart"/>
            <w:r w:rsidRPr="00F455E9">
              <w:rPr>
                <w:rFonts w:ascii="Calibri" w:hAnsi="Calibri" w:cs="Calibri"/>
                <w:sz w:val="24"/>
                <w:szCs w:val="24"/>
              </w:rPr>
              <w:t>Trix</w:t>
            </w:r>
            <w:proofErr w:type="spellEnd"/>
            <w:r w:rsidRPr="00F455E9">
              <w:rPr>
                <w:rFonts w:ascii="Calibri" w:hAnsi="Calibri" w:cs="Calibri"/>
                <w:sz w:val="24"/>
                <w:szCs w:val="24"/>
              </w:rPr>
              <w:t xml:space="preserve"> have tight timescales for twice-yearly reviews)</w:t>
            </w:r>
          </w:p>
        </w:tc>
        <w:tc>
          <w:tcPr>
            <w:tcW w:w="2268" w:type="dxa"/>
          </w:tcPr>
          <w:p w14:paraId="0C547A7D"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AD of relevant practice area</w:t>
            </w:r>
          </w:p>
          <w:p w14:paraId="1FEBCE86" w14:textId="019270F0" w:rsidR="00F455E9" w:rsidRPr="00F455E9" w:rsidRDefault="00F455E9" w:rsidP="00D055B8">
            <w:pPr>
              <w:rPr>
                <w:rFonts w:ascii="Calibri" w:hAnsi="Calibri" w:cs="Calibri"/>
                <w:sz w:val="24"/>
                <w:szCs w:val="24"/>
              </w:rPr>
            </w:pPr>
            <w:r w:rsidRPr="00F455E9">
              <w:rPr>
                <w:rFonts w:ascii="Calibri" w:hAnsi="Calibri" w:cs="Calibri"/>
                <w:sz w:val="24"/>
                <w:szCs w:val="24"/>
              </w:rPr>
              <w:t>(Shared with Director Leadership Group)</w:t>
            </w:r>
          </w:p>
        </w:tc>
      </w:tr>
      <w:tr w:rsidR="00F455E9" w:rsidRPr="003B14FE" w14:paraId="6271FD08" w14:textId="77777777" w:rsidTr="00D055B8">
        <w:tc>
          <w:tcPr>
            <w:tcW w:w="2263" w:type="dxa"/>
          </w:tcPr>
          <w:p w14:paraId="31C2DE35"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Procedure for single service area/ activity</w:t>
            </w:r>
          </w:p>
        </w:tc>
        <w:tc>
          <w:tcPr>
            <w:tcW w:w="2127" w:type="dxa"/>
          </w:tcPr>
          <w:p w14:paraId="1BD35CF1"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Developed by </w:t>
            </w:r>
            <w:proofErr w:type="spellStart"/>
            <w:r w:rsidRPr="00F455E9">
              <w:rPr>
                <w:rFonts w:ascii="Calibri" w:hAnsi="Calibri" w:cs="Calibri"/>
                <w:sz w:val="24"/>
                <w:szCs w:val="24"/>
              </w:rPr>
              <w:t>HoS</w:t>
            </w:r>
            <w:proofErr w:type="spellEnd"/>
            <w:r w:rsidRPr="00F455E9">
              <w:rPr>
                <w:rFonts w:ascii="Calibri" w:hAnsi="Calibri" w:cs="Calibri"/>
                <w:sz w:val="24"/>
                <w:szCs w:val="24"/>
              </w:rPr>
              <w:t xml:space="preserve"> with support from Practice Hub</w:t>
            </w:r>
          </w:p>
        </w:tc>
        <w:tc>
          <w:tcPr>
            <w:tcW w:w="2551" w:type="dxa"/>
          </w:tcPr>
          <w:p w14:paraId="16A13A2F" w14:textId="46086344" w:rsidR="00F455E9" w:rsidRPr="00F455E9" w:rsidRDefault="00F455E9" w:rsidP="00D055B8">
            <w:pPr>
              <w:rPr>
                <w:rFonts w:ascii="Calibri" w:hAnsi="Calibri" w:cs="Calibri"/>
                <w:sz w:val="24"/>
                <w:szCs w:val="24"/>
              </w:rPr>
            </w:pPr>
            <w:r w:rsidRPr="00F455E9">
              <w:rPr>
                <w:rFonts w:ascii="Calibri" w:hAnsi="Calibri" w:cs="Calibri"/>
                <w:sz w:val="24"/>
                <w:szCs w:val="24"/>
              </w:rPr>
              <w:t>AD/</w:t>
            </w:r>
            <w:proofErr w:type="spellStart"/>
            <w:r w:rsidRPr="00F455E9">
              <w:rPr>
                <w:rFonts w:ascii="Calibri" w:hAnsi="Calibri" w:cs="Calibri"/>
                <w:sz w:val="24"/>
                <w:szCs w:val="24"/>
              </w:rPr>
              <w:t>HoS</w:t>
            </w:r>
            <w:proofErr w:type="spellEnd"/>
            <w:r w:rsidRPr="00F455E9">
              <w:rPr>
                <w:rFonts w:ascii="Calibri" w:hAnsi="Calibri" w:cs="Calibri"/>
                <w:sz w:val="24"/>
                <w:szCs w:val="24"/>
              </w:rPr>
              <w:t xml:space="preserve"> group for specific area </w:t>
            </w:r>
            <w:r w:rsidR="001F54CA">
              <w:rPr>
                <w:rFonts w:ascii="Calibri" w:hAnsi="Calibri" w:cs="Calibri"/>
                <w:sz w:val="24"/>
                <w:szCs w:val="24"/>
              </w:rPr>
              <w:t xml:space="preserve">- </w:t>
            </w:r>
            <w:r w:rsidRPr="00F455E9">
              <w:rPr>
                <w:rFonts w:ascii="Calibri" w:hAnsi="Calibri" w:cs="Calibri"/>
                <w:sz w:val="24"/>
                <w:szCs w:val="24"/>
              </w:rPr>
              <w:t>to be shared two weeks prior to meeting to seek comments</w:t>
            </w:r>
          </w:p>
        </w:tc>
        <w:tc>
          <w:tcPr>
            <w:tcW w:w="2268" w:type="dxa"/>
          </w:tcPr>
          <w:p w14:paraId="4241CC21"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AD of relevant practice area</w:t>
            </w:r>
          </w:p>
          <w:p w14:paraId="7140EA86" w14:textId="6A036932" w:rsidR="00F455E9" w:rsidRPr="00F455E9" w:rsidRDefault="00F455E9" w:rsidP="00D055B8">
            <w:pPr>
              <w:rPr>
                <w:rFonts w:ascii="Calibri" w:hAnsi="Calibri" w:cs="Calibri"/>
                <w:sz w:val="24"/>
                <w:szCs w:val="24"/>
              </w:rPr>
            </w:pPr>
            <w:r w:rsidRPr="00F455E9">
              <w:rPr>
                <w:rFonts w:ascii="Calibri" w:hAnsi="Calibri" w:cs="Calibri"/>
                <w:sz w:val="24"/>
                <w:szCs w:val="24"/>
              </w:rPr>
              <w:t>(Shared with Director Leadership Group)</w:t>
            </w:r>
          </w:p>
        </w:tc>
      </w:tr>
      <w:tr w:rsidR="00F455E9" w:rsidRPr="003B14FE" w14:paraId="3C0C69C8" w14:textId="77777777" w:rsidTr="00D055B8">
        <w:tc>
          <w:tcPr>
            <w:tcW w:w="9209" w:type="dxa"/>
            <w:gridSpan w:val="4"/>
            <w:shd w:val="clear" w:color="auto" w:fill="D9D9D9" w:themeFill="background1" w:themeFillShade="D9"/>
          </w:tcPr>
          <w:p w14:paraId="4A04FA8A" w14:textId="77777777" w:rsidR="00F455E9" w:rsidRPr="00F455E9" w:rsidRDefault="00F455E9" w:rsidP="00D055B8">
            <w:pPr>
              <w:jc w:val="center"/>
              <w:rPr>
                <w:rFonts w:ascii="Calibri" w:hAnsi="Calibri" w:cs="Calibri"/>
                <w:b/>
                <w:bCs/>
                <w:sz w:val="24"/>
                <w:szCs w:val="24"/>
              </w:rPr>
            </w:pPr>
            <w:r w:rsidRPr="00F455E9">
              <w:rPr>
                <w:rFonts w:ascii="Calibri" w:hAnsi="Calibri" w:cs="Calibri"/>
                <w:b/>
                <w:bCs/>
                <w:sz w:val="24"/>
                <w:szCs w:val="24"/>
              </w:rPr>
              <w:t>PRACTICE STANDARDS</w:t>
            </w:r>
          </w:p>
        </w:tc>
      </w:tr>
      <w:tr w:rsidR="00F455E9" w:rsidRPr="003B14FE" w14:paraId="136821A8" w14:textId="77777777" w:rsidTr="00D055B8">
        <w:tc>
          <w:tcPr>
            <w:tcW w:w="2263" w:type="dxa"/>
          </w:tcPr>
          <w:p w14:paraId="4342FBD7" w14:textId="77777777" w:rsidR="00F455E9" w:rsidRPr="00F455E9" w:rsidRDefault="00F455E9" w:rsidP="00D055B8">
            <w:pPr>
              <w:rPr>
                <w:rFonts w:ascii="Calibri" w:hAnsi="Calibri" w:cs="Calibri"/>
                <w:b/>
                <w:bCs/>
                <w:sz w:val="24"/>
                <w:szCs w:val="24"/>
              </w:rPr>
            </w:pPr>
            <w:r w:rsidRPr="00F455E9">
              <w:rPr>
                <w:rFonts w:ascii="Calibri" w:hAnsi="Calibri" w:cs="Calibri"/>
                <w:b/>
                <w:bCs/>
                <w:sz w:val="24"/>
                <w:szCs w:val="24"/>
              </w:rPr>
              <w:t>Trust Practice Standards</w:t>
            </w:r>
          </w:p>
        </w:tc>
        <w:tc>
          <w:tcPr>
            <w:tcW w:w="2127" w:type="dxa"/>
          </w:tcPr>
          <w:p w14:paraId="7BC44D4E"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Developed by Practice Hub supported by relevant </w:t>
            </w:r>
            <w:proofErr w:type="spellStart"/>
            <w:r w:rsidRPr="00F455E9">
              <w:rPr>
                <w:rFonts w:ascii="Calibri" w:hAnsi="Calibri" w:cs="Calibri"/>
                <w:sz w:val="24"/>
                <w:szCs w:val="24"/>
              </w:rPr>
              <w:t>HoS</w:t>
            </w:r>
            <w:proofErr w:type="spellEnd"/>
          </w:p>
        </w:tc>
        <w:tc>
          <w:tcPr>
            <w:tcW w:w="2551" w:type="dxa"/>
          </w:tcPr>
          <w:p w14:paraId="34D6A040" w14:textId="4AD5098F" w:rsidR="00F455E9" w:rsidRPr="00F455E9" w:rsidRDefault="00F455E9" w:rsidP="00D055B8">
            <w:pPr>
              <w:rPr>
                <w:rFonts w:ascii="Calibri" w:hAnsi="Calibri" w:cs="Calibri"/>
                <w:sz w:val="24"/>
                <w:szCs w:val="24"/>
              </w:rPr>
            </w:pPr>
            <w:r w:rsidRPr="00F455E9">
              <w:rPr>
                <w:rFonts w:ascii="Calibri" w:hAnsi="Calibri" w:cs="Calibri"/>
                <w:sz w:val="24"/>
                <w:szCs w:val="24"/>
              </w:rPr>
              <w:t xml:space="preserve">Directors /AD’s group </w:t>
            </w:r>
            <w:r w:rsidR="001F54CA">
              <w:rPr>
                <w:rFonts w:ascii="Calibri" w:hAnsi="Calibri" w:cs="Calibri"/>
                <w:sz w:val="24"/>
                <w:szCs w:val="24"/>
              </w:rPr>
              <w:t>-</w:t>
            </w:r>
            <w:r w:rsidRPr="00F455E9">
              <w:rPr>
                <w:rFonts w:ascii="Calibri" w:hAnsi="Calibri" w:cs="Calibri"/>
                <w:sz w:val="24"/>
                <w:szCs w:val="24"/>
              </w:rPr>
              <w:t>to be shared two weeks prior to meeting to seek comments</w:t>
            </w:r>
          </w:p>
        </w:tc>
        <w:tc>
          <w:tcPr>
            <w:tcW w:w="2268" w:type="dxa"/>
          </w:tcPr>
          <w:p w14:paraId="28CE74EB" w14:textId="77777777" w:rsidR="00F455E9" w:rsidRPr="00F455E9" w:rsidRDefault="00F455E9" w:rsidP="00D055B8">
            <w:pPr>
              <w:rPr>
                <w:rFonts w:ascii="Calibri" w:hAnsi="Calibri" w:cs="Calibri"/>
                <w:sz w:val="24"/>
                <w:szCs w:val="24"/>
              </w:rPr>
            </w:pPr>
            <w:r w:rsidRPr="00F455E9">
              <w:rPr>
                <w:rFonts w:ascii="Calibri" w:hAnsi="Calibri" w:cs="Calibri"/>
                <w:sz w:val="24"/>
                <w:szCs w:val="24"/>
              </w:rPr>
              <w:t>Director Leadership Group</w:t>
            </w:r>
          </w:p>
        </w:tc>
      </w:tr>
    </w:tbl>
    <w:p w14:paraId="6E44C4F1" w14:textId="24057CD3" w:rsidR="00D055B8" w:rsidRPr="00D055B8" w:rsidRDefault="00D055B8" w:rsidP="00D055B8">
      <w:pPr>
        <w:pStyle w:val="Policyheadings"/>
        <w:ind w:left="284" w:hanging="284"/>
      </w:pPr>
      <w:r w:rsidRPr="00D055B8">
        <w:t>Responsibilities</w:t>
      </w:r>
      <w:r>
        <w:t xml:space="preserve"> within the policy process</w:t>
      </w:r>
    </w:p>
    <w:p w14:paraId="432849E9" w14:textId="299AE046" w:rsidR="001F54CA" w:rsidRPr="001F54CA" w:rsidRDefault="001F54CA" w:rsidP="00D055B8">
      <w:pPr>
        <w:pStyle w:val="Policyheadings"/>
        <w:ind w:left="284" w:hanging="284"/>
        <w:rPr>
          <w:sz w:val="24"/>
          <w:szCs w:val="24"/>
        </w:rPr>
      </w:pPr>
      <w:r w:rsidRPr="001F54CA">
        <w:lastRenderedPageBreak/>
        <w:t xml:space="preserve">Reviewing policies, procedures, practice standards and practice guidance </w:t>
      </w:r>
    </w:p>
    <w:p w14:paraId="2B90C97D" w14:textId="77777777" w:rsidR="00D055B8" w:rsidRDefault="00D055B8" w:rsidP="009F40E5">
      <w:pPr>
        <w:spacing w:line="240" w:lineRule="auto"/>
        <w:rPr>
          <w:rFonts w:cstheme="minorHAnsi"/>
          <w:sz w:val="24"/>
          <w:szCs w:val="24"/>
        </w:rPr>
      </w:pPr>
      <w:r w:rsidRPr="00D055B8">
        <w:rPr>
          <w:rFonts w:cstheme="minorHAnsi"/>
          <w:sz w:val="24"/>
          <w:szCs w:val="24"/>
        </w:rPr>
        <w:t xml:space="preserve">Although the majority of the main guidance is written by </w:t>
      </w:r>
      <w:proofErr w:type="spellStart"/>
      <w:r w:rsidRPr="00D055B8">
        <w:rPr>
          <w:rFonts w:cstheme="minorHAnsi"/>
          <w:sz w:val="24"/>
          <w:szCs w:val="24"/>
        </w:rPr>
        <w:t>Trix</w:t>
      </w:r>
      <w:proofErr w:type="spellEnd"/>
      <w:r w:rsidRPr="00D055B8">
        <w:rPr>
          <w:rFonts w:cstheme="minorHAnsi"/>
          <w:sz w:val="24"/>
          <w:szCs w:val="24"/>
        </w:rPr>
        <w:t xml:space="preserve"> and reviewed and updated by them every six months, some chapters are </w:t>
      </w:r>
      <w:proofErr w:type="gramStart"/>
      <w:r w:rsidRPr="00D055B8">
        <w:rPr>
          <w:rFonts w:cstheme="minorHAnsi"/>
          <w:sz w:val="24"/>
          <w:szCs w:val="24"/>
        </w:rPr>
        <w:t>bespoke</w:t>
      </w:r>
      <w:proofErr w:type="gramEnd"/>
      <w:r w:rsidRPr="00D055B8">
        <w:rPr>
          <w:rFonts w:cstheme="minorHAnsi"/>
          <w:sz w:val="24"/>
          <w:szCs w:val="24"/>
        </w:rPr>
        <w:t xml:space="preserve"> to the Trust and these need to be updated six monthly in line with the </w:t>
      </w:r>
      <w:proofErr w:type="spellStart"/>
      <w:r w:rsidRPr="00D055B8">
        <w:rPr>
          <w:rFonts w:cstheme="minorHAnsi"/>
          <w:sz w:val="24"/>
          <w:szCs w:val="24"/>
        </w:rPr>
        <w:t>Trix</w:t>
      </w:r>
      <w:proofErr w:type="spellEnd"/>
      <w:r w:rsidRPr="00D055B8">
        <w:rPr>
          <w:rFonts w:cstheme="minorHAnsi"/>
          <w:sz w:val="24"/>
          <w:szCs w:val="24"/>
        </w:rPr>
        <w:t xml:space="preserve"> reviewing schedule. </w:t>
      </w:r>
    </w:p>
    <w:p w14:paraId="086D795A" w14:textId="55E728FB" w:rsidR="00D055B8" w:rsidRPr="00D055B8" w:rsidRDefault="00D055B8" w:rsidP="009F40E5">
      <w:pPr>
        <w:spacing w:line="240" w:lineRule="auto"/>
        <w:rPr>
          <w:rFonts w:cstheme="minorHAnsi"/>
          <w:sz w:val="24"/>
          <w:szCs w:val="24"/>
        </w:rPr>
      </w:pPr>
      <w:r w:rsidRPr="00D055B8">
        <w:rPr>
          <w:rFonts w:cstheme="minorHAnsi"/>
          <w:sz w:val="24"/>
          <w:szCs w:val="24"/>
        </w:rPr>
        <w:t xml:space="preserve">Trust Practice Guidance documents held on </w:t>
      </w:r>
      <w:proofErr w:type="spellStart"/>
      <w:r w:rsidRPr="00D055B8">
        <w:rPr>
          <w:rFonts w:cstheme="minorHAnsi"/>
          <w:sz w:val="24"/>
          <w:szCs w:val="24"/>
        </w:rPr>
        <w:t>Trix</w:t>
      </w:r>
      <w:proofErr w:type="spellEnd"/>
      <w:r w:rsidRPr="00D055B8">
        <w:rPr>
          <w:rFonts w:cstheme="minorHAnsi"/>
          <w:sz w:val="24"/>
          <w:szCs w:val="24"/>
        </w:rPr>
        <w:t xml:space="preserve"> will be reviewed annually, on a rolling program supported by the Practice Hub in partnership with the appropriate A</w:t>
      </w:r>
      <w:r>
        <w:rPr>
          <w:rFonts w:cstheme="minorHAnsi"/>
          <w:sz w:val="24"/>
          <w:szCs w:val="24"/>
        </w:rPr>
        <w:t xml:space="preserve">ssistant </w:t>
      </w:r>
      <w:r w:rsidRPr="00D055B8">
        <w:rPr>
          <w:rFonts w:cstheme="minorHAnsi"/>
          <w:sz w:val="24"/>
          <w:szCs w:val="24"/>
        </w:rPr>
        <w:t>D</w:t>
      </w:r>
      <w:r>
        <w:rPr>
          <w:rFonts w:cstheme="minorHAnsi"/>
          <w:sz w:val="24"/>
          <w:szCs w:val="24"/>
        </w:rPr>
        <w:t>irector</w:t>
      </w:r>
      <w:r w:rsidRPr="00D055B8">
        <w:rPr>
          <w:rFonts w:cstheme="minorHAnsi"/>
          <w:sz w:val="24"/>
          <w:szCs w:val="24"/>
        </w:rPr>
        <w:t>/ Heads of Service.</w:t>
      </w:r>
    </w:p>
    <w:p w14:paraId="0E1F793D" w14:textId="77777777" w:rsidR="00D055B8" w:rsidRPr="00D055B8" w:rsidRDefault="00D055B8" w:rsidP="009F40E5">
      <w:pPr>
        <w:spacing w:line="240" w:lineRule="auto"/>
        <w:rPr>
          <w:rFonts w:cstheme="minorHAnsi"/>
          <w:sz w:val="24"/>
          <w:szCs w:val="24"/>
        </w:rPr>
      </w:pPr>
      <w:r w:rsidRPr="00D055B8">
        <w:rPr>
          <w:rFonts w:cstheme="minorHAnsi"/>
          <w:sz w:val="24"/>
          <w:szCs w:val="24"/>
        </w:rPr>
        <w:t>Outside of the regular reviewing cycle, once a policy or procedure is signed off it should only be amended in the following circumstances:</w:t>
      </w:r>
    </w:p>
    <w:p w14:paraId="687AC54A" w14:textId="77777777" w:rsidR="00D055B8" w:rsidRPr="00D055B8" w:rsidRDefault="00D055B8" w:rsidP="009F40E5">
      <w:pPr>
        <w:pStyle w:val="Policyheadings"/>
        <w:numPr>
          <w:ilvl w:val="0"/>
          <w:numId w:val="46"/>
        </w:numPr>
        <w:spacing w:line="240" w:lineRule="auto"/>
        <w:rPr>
          <w:rFonts w:asciiTheme="minorHAnsi" w:hAnsiTheme="minorHAnsi" w:cstheme="minorHAnsi"/>
          <w:b w:val="0"/>
          <w:color w:val="auto"/>
          <w:sz w:val="24"/>
          <w:szCs w:val="24"/>
        </w:rPr>
      </w:pPr>
      <w:r w:rsidRPr="00D055B8">
        <w:rPr>
          <w:rFonts w:asciiTheme="minorHAnsi" w:hAnsiTheme="minorHAnsi" w:cstheme="minorHAnsi"/>
          <w:b w:val="0"/>
          <w:color w:val="auto"/>
          <w:sz w:val="24"/>
          <w:szCs w:val="24"/>
        </w:rPr>
        <w:t>If there is a change in Trust policy</w:t>
      </w:r>
    </w:p>
    <w:p w14:paraId="48EFA78F" w14:textId="77777777" w:rsidR="00D055B8" w:rsidRPr="00D055B8" w:rsidRDefault="00D055B8" w:rsidP="009F40E5">
      <w:pPr>
        <w:pStyle w:val="Policyheadings"/>
        <w:numPr>
          <w:ilvl w:val="0"/>
          <w:numId w:val="46"/>
        </w:numPr>
        <w:spacing w:line="240" w:lineRule="auto"/>
        <w:rPr>
          <w:rFonts w:asciiTheme="minorHAnsi" w:hAnsiTheme="minorHAnsi" w:cstheme="minorHAnsi"/>
          <w:b w:val="0"/>
          <w:color w:val="auto"/>
          <w:sz w:val="24"/>
          <w:szCs w:val="24"/>
        </w:rPr>
      </w:pPr>
      <w:r w:rsidRPr="00D055B8">
        <w:rPr>
          <w:rFonts w:asciiTheme="minorHAnsi" w:hAnsiTheme="minorHAnsi" w:cstheme="minorHAnsi"/>
          <w:b w:val="0"/>
          <w:color w:val="auto"/>
          <w:sz w:val="24"/>
          <w:szCs w:val="24"/>
        </w:rPr>
        <w:t xml:space="preserve">If there is a change in working practices, </w:t>
      </w:r>
      <w:proofErr w:type="gramStart"/>
      <w:r w:rsidRPr="00D055B8">
        <w:rPr>
          <w:rFonts w:asciiTheme="minorHAnsi" w:hAnsiTheme="minorHAnsi" w:cstheme="minorHAnsi"/>
          <w:b w:val="0"/>
          <w:color w:val="auto"/>
          <w:sz w:val="24"/>
          <w:szCs w:val="24"/>
        </w:rPr>
        <w:t>e.g.</w:t>
      </w:r>
      <w:proofErr w:type="gramEnd"/>
      <w:r w:rsidRPr="00D055B8">
        <w:rPr>
          <w:rFonts w:asciiTheme="minorHAnsi" w:hAnsiTheme="minorHAnsi" w:cstheme="minorHAnsi"/>
          <w:b w:val="0"/>
          <w:color w:val="auto"/>
          <w:sz w:val="24"/>
          <w:szCs w:val="24"/>
        </w:rPr>
        <w:t xml:space="preserve"> in line changes in the practice model or structural changes</w:t>
      </w:r>
    </w:p>
    <w:p w14:paraId="2CFC0692" w14:textId="77777777" w:rsidR="00D055B8" w:rsidRPr="00D055B8" w:rsidRDefault="00D055B8" w:rsidP="009F40E5">
      <w:pPr>
        <w:pStyle w:val="Policyheadings"/>
        <w:numPr>
          <w:ilvl w:val="0"/>
          <w:numId w:val="46"/>
        </w:numPr>
        <w:spacing w:line="240" w:lineRule="auto"/>
        <w:rPr>
          <w:rFonts w:asciiTheme="minorHAnsi" w:hAnsiTheme="minorHAnsi" w:cstheme="minorHAnsi"/>
          <w:b w:val="0"/>
          <w:color w:val="auto"/>
          <w:sz w:val="24"/>
          <w:szCs w:val="24"/>
        </w:rPr>
      </w:pPr>
      <w:r w:rsidRPr="00D055B8">
        <w:rPr>
          <w:rFonts w:asciiTheme="minorHAnsi" w:hAnsiTheme="minorHAnsi" w:cstheme="minorHAnsi"/>
          <w:b w:val="0"/>
          <w:color w:val="auto"/>
          <w:sz w:val="24"/>
          <w:szCs w:val="24"/>
        </w:rPr>
        <w:t>If there is a change in national guidance or legislation</w:t>
      </w:r>
    </w:p>
    <w:p w14:paraId="5B94DEE9" w14:textId="77777777" w:rsidR="00D055B8" w:rsidRPr="00D055B8" w:rsidRDefault="00D055B8" w:rsidP="009F40E5">
      <w:pPr>
        <w:pStyle w:val="Policyheadings"/>
        <w:numPr>
          <w:ilvl w:val="0"/>
          <w:numId w:val="46"/>
        </w:numPr>
        <w:spacing w:line="240" w:lineRule="auto"/>
        <w:rPr>
          <w:rFonts w:asciiTheme="minorHAnsi" w:hAnsiTheme="minorHAnsi" w:cstheme="minorHAnsi"/>
          <w:b w:val="0"/>
          <w:color w:val="auto"/>
          <w:sz w:val="24"/>
          <w:szCs w:val="24"/>
        </w:rPr>
      </w:pPr>
      <w:r w:rsidRPr="00D055B8">
        <w:rPr>
          <w:rFonts w:asciiTheme="minorHAnsi" w:hAnsiTheme="minorHAnsi" w:cstheme="minorHAnsi"/>
          <w:b w:val="0"/>
          <w:color w:val="auto"/>
          <w:sz w:val="24"/>
          <w:szCs w:val="24"/>
        </w:rPr>
        <w:t xml:space="preserve">In response to learning from </w:t>
      </w:r>
      <w:proofErr w:type="gramStart"/>
      <w:r w:rsidRPr="00D055B8">
        <w:rPr>
          <w:rFonts w:asciiTheme="minorHAnsi" w:hAnsiTheme="minorHAnsi" w:cstheme="minorHAnsi"/>
          <w:b w:val="0"/>
          <w:color w:val="auto"/>
          <w:sz w:val="24"/>
          <w:szCs w:val="24"/>
        </w:rPr>
        <w:t>e.g.</w:t>
      </w:r>
      <w:proofErr w:type="gramEnd"/>
      <w:r w:rsidRPr="00D055B8">
        <w:rPr>
          <w:rFonts w:asciiTheme="minorHAnsi" w:hAnsiTheme="minorHAnsi" w:cstheme="minorHAnsi"/>
          <w:b w:val="0"/>
          <w:color w:val="auto"/>
          <w:sz w:val="24"/>
          <w:szCs w:val="24"/>
        </w:rPr>
        <w:t xml:space="preserve"> a Safeguarding Practice Review or an internal review following a significant incident</w:t>
      </w:r>
    </w:p>
    <w:p w14:paraId="7938829B" w14:textId="77777777" w:rsidR="00D055B8" w:rsidRPr="00D055B8" w:rsidRDefault="00D055B8" w:rsidP="009F40E5">
      <w:pPr>
        <w:pStyle w:val="Policyheadings"/>
        <w:numPr>
          <w:ilvl w:val="0"/>
          <w:numId w:val="46"/>
        </w:numPr>
        <w:spacing w:line="240" w:lineRule="auto"/>
        <w:rPr>
          <w:rFonts w:asciiTheme="minorHAnsi" w:hAnsiTheme="minorHAnsi" w:cstheme="minorHAnsi"/>
          <w:b w:val="0"/>
          <w:color w:val="auto"/>
          <w:sz w:val="24"/>
          <w:szCs w:val="24"/>
        </w:rPr>
      </w:pPr>
      <w:r w:rsidRPr="00D055B8">
        <w:rPr>
          <w:rFonts w:asciiTheme="minorHAnsi" w:hAnsiTheme="minorHAnsi" w:cstheme="minorHAnsi"/>
          <w:b w:val="0"/>
          <w:color w:val="auto"/>
          <w:sz w:val="24"/>
          <w:szCs w:val="24"/>
        </w:rPr>
        <w:t xml:space="preserve">Other circumstances, </w:t>
      </w:r>
      <w:proofErr w:type="spellStart"/>
      <w:r w:rsidRPr="00D055B8">
        <w:rPr>
          <w:rFonts w:asciiTheme="minorHAnsi" w:hAnsiTheme="minorHAnsi" w:cstheme="minorHAnsi"/>
          <w:b w:val="0"/>
          <w:color w:val="auto"/>
          <w:sz w:val="24"/>
          <w:szCs w:val="24"/>
        </w:rPr>
        <w:t>e.g</w:t>
      </w:r>
      <w:proofErr w:type="spellEnd"/>
      <w:r w:rsidRPr="00D055B8">
        <w:rPr>
          <w:rFonts w:asciiTheme="minorHAnsi" w:hAnsiTheme="minorHAnsi" w:cstheme="minorHAnsi"/>
          <w:b w:val="0"/>
          <w:color w:val="auto"/>
          <w:sz w:val="24"/>
          <w:szCs w:val="24"/>
        </w:rPr>
        <w:t xml:space="preserve"> on advice from Ofsted or as part of a service improvement initiative</w:t>
      </w:r>
    </w:p>
    <w:sectPr w:rsidR="00D055B8" w:rsidRPr="00D055B8" w:rsidSect="00D055B8">
      <w:headerReference w:type="default" r:id="rId15"/>
      <w:footerReference w:type="default" r:id="rId16"/>
      <w:pgSz w:w="11906" w:h="17338"/>
      <w:pgMar w:top="1440" w:right="1440" w:bottom="1440" w:left="1440" w:header="709"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D585" w14:textId="77777777" w:rsidR="0032665C" w:rsidRDefault="0032665C" w:rsidP="00DB0C4F">
      <w:pPr>
        <w:spacing w:after="0" w:line="240" w:lineRule="auto"/>
      </w:pPr>
      <w:r>
        <w:separator/>
      </w:r>
    </w:p>
  </w:endnote>
  <w:endnote w:type="continuationSeparator" w:id="0">
    <w:p w14:paraId="35F6CAEE" w14:textId="77777777" w:rsidR="0032665C" w:rsidRDefault="0032665C" w:rsidP="00DB0C4F">
      <w:pPr>
        <w:spacing w:after="0" w:line="240" w:lineRule="auto"/>
      </w:pPr>
      <w:r>
        <w:continuationSeparator/>
      </w:r>
    </w:p>
  </w:endnote>
  <w:endnote w:type="continuationNotice" w:id="1">
    <w:p w14:paraId="776ABE51" w14:textId="77777777" w:rsidR="0032665C" w:rsidRDefault="0032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440424"/>
      <w:docPartObj>
        <w:docPartGallery w:val="Page Numbers (Bottom of Page)"/>
        <w:docPartUnique/>
      </w:docPartObj>
    </w:sdtPr>
    <w:sdtEndPr>
      <w:rPr>
        <w:noProof/>
      </w:rPr>
    </w:sdtEndPr>
    <w:sdtContent>
      <w:p w14:paraId="42B4F004" w14:textId="120D7C9C" w:rsidR="00156CC9" w:rsidRDefault="00000861">
        <w:pPr>
          <w:pStyle w:val="Footer"/>
          <w:jc w:val="center"/>
        </w:pPr>
      </w:p>
    </w:sdtContent>
  </w:sdt>
  <w:p w14:paraId="1CC2A7AA" w14:textId="1C12BF86" w:rsidR="005A5F65" w:rsidRPr="0036618A" w:rsidRDefault="005A5F65" w:rsidP="0036618A">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87449"/>
      <w:docPartObj>
        <w:docPartGallery w:val="Page Numbers (Bottom of Page)"/>
        <w:docPartUnique/>
      </w:docPartObj>
    </w:sdtPr>
    <w:sdtEndPr>
      <w:rPr>
        <w:noProof/>
      </w:rPr>
    </w:sdtEndPr>
    <w:sdtContent>
      <w:p w14:paraId="795F6A31" w14:textId="573052B9" w:rsidR="00156CC9" w:rsidRDefault="00156CC9">
        <w:pPr>
          <w:pStyle w:val="Footer"/>
          <w:jc w:val="center"/>
        </w:pPr>
        <w:r>
          <w:t>__________________________________________________________________________________</w:t>
        </w:r>
      </w:p>
      <w:p w14:paraId="392DA80D" w14:textId="1436120E" w:rsidR="00156CC9" w:rsidRDefault="00156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94C9C6" w14:textId="77777777" w:rsidR="00156CC9" w:rsidRPr="0036618A" w:rsidRDefault="00156CC9" w:rsidP="0036618A">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1D92" w14:textId="77777777" w:rsidR="0032665C" w:rsidRDefault="0032665C" w:rsidP="00DB0C4F">
      <w:pPr>
        <w:spacing w:after="0" w:line="240" w:lineRule="auto"/>
      </w:pPr>
      <w:r>
        <w:separator/>
      </w:r>
    </w:p>
  </w:footnote>
  <w:footnote w:type="continuationSeparator" w:id="0">
    <w:p w14:paraId="095A660C" w14:textId="77777777" w:rsidR="0032665C" w:rsidRDefault="0032665C" w:rsidP="00DB0C4F">
      <w:pPr>
        <w:spacing w:after="0" w:line="240" w:lineRule="auto"/>
      </w:pPr>
      <w:r>
        <w:continuationSeparator/>
      </w:r>
    </w:p>
  </w:footnote>
  <w:footnote w:type="continuationNotice" w:id="1">
    <w:p w14:paraId="470042FC" w14:textId="77777777" w:rsidR="0032665C" w:rsidRDefault="0032665C">
      <w:pPr>
        <w:spacing w:after="0" w:line="240" w:lineRule="auto"/>
      </w:pPr>
    </w:p>
  </w:footnote>
  <w:footnote w:id="2">
    <w:p w14:paraId="60632D0F" w14:textId="7ED93DCB" w:rsidR="00D055B8" w:rsidRDefault="00D055B8">
      <w:pPr>
        <w:pStyle w:val="FootnoteText"/>
      </w:pPr>
      <w:r>
        <w:rPr>
          <w:rStyle w:val="FootnoteReference"/>
        </w:rPr>
        <w:footnoteRef/>
      </w:r>
      <w:r>
        <w:t xml:space="preserve"> Assistant Director</w:t>
      </w:r>
    </w:p>
  </w:footnote>
  <w:footnote w:id="3">
    <w:p w14:paraId="673419E3" w14:textId="677C28D9" w:rsidR="00D055B8" w:rsidRDefault="00D055B8">
      <w:pPr>
        <w:pStyle w:val="FootnoteText"/>
      </w:pPr>
      <w:r>
        <w:rPr>
          <w:rStyle w:val="FootnoteReference"/>
        </w:rPr>
        <w:footnoteRef/>
      </w:r>
      <w:r>
        <w:t xml:space="preserve"> Head of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22DB" w14:textId="3FF8A0A9" w:rsidR="009E156C" w:rsidRDefault="00156CC9" w:rsidP="00156CC9">
    <w:pPr>
      <w:pStyle w:val="Header"/>
      <w:jc w:val="right"/>
      <w:rPr>
        <w:rFonts w:ascii="Calibri" w:hAnsi="Calibri" w:cs="Calibri"/>
        <w:sz w:val="24"/>
        <w:szCs w:val="24"/>
      </w:rPr>
    </w:pPr>
    <w:r>
      <w:rPr>
        <w:rFonts w:ascii="Calibri" w:hAnsi="Calibri" w:cs="Calibri"/>
        <w:sz w:val="24"/>
        <w:szCs w:val="24"/>
      </w:rPr>
      <w:t>Policy and Practice Guidance Governance Arrangements</w:t>
    </w:r>
  </w:p>
  <w:p w14:paraId="40385C26" w14:textId="1C9412B5" w:rsidR="00156CC9" w:rsidRDefault="00156CC9" w:rsidP="00156CC9">
    <w:pPr>
      <w:pStyle w:val="Header"/>
      <w:jc w:val="right"/>
    </w:pPr>
    <w:r>
      <w:rPr>
        <w:rFonts w:ascii="Calibri" w:hAnsi="Calibri" w:cs="Calibri"/>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896"/>
    <w:multiLevelType w:val="hybridMultilevel"/>
    <w:tmpl w:val="B008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4E47"/>
    <w:multiLevelType w:val="hybridMultilevel"/>
    <w:tmpl w:val="7448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343B"/>
    <w:multiLevelType w:val="hybridMultilevel"/>
    <w:tmpl w:val="E54298AE"/>
    <w:lvl w:ilvl="0" w:tplc="C7A6B556">
      <w:start w:val="1"/>
      <w:numFmt w:val="decimal"/>
      <w:pStyle w:val="Policyheading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518C"/>
    <w:multiLevelType w:val="hybridMultilevel"/>
    <w:tmpl w:val="8250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302"/>
    <w:multiLevelType w:val="hybridMultilevel"/>
    <w:tmpl w:val="3FAAA65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1E826B9"/>
    <w:multiLevelType w:val="hybridMultilevel"/>
    <w:tmpl w:val="FA564F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A906B3"/>
    <w:multiLevelType w:val="multilevel"/>
    <w:tmpl w:val="8890A72E"/>
    <w:lvl w:ilvl="0">
      <w:start w:val="1"/>
      <w:numFmt w:val="bullet"/>
      <w:lvlText w:val=""/>
      <w:lvlJc w:val="left"/>
      <w:pPr>
        <w:tabs>
          <w:tab w:val="num" w:pos="851"/>
        </w:tabs>
        <w:ind w:left="851" w:hanging="360"/>
      </w:pPr>
      <w:rPr>
        <w:rFonts w:ascii="Symbol" w:hAnsi="Symbol" w:hint="default"/>
        <w:sz w:val="20"/>
      </w:rPr>
    </w:lvl>
    <w:lvl w:ilvl="1" w:tentative="1">
      <w:start w:val="1"/>
      <w:numFmt w:val="bullet"/>
      <w:lvlText w:val=""/>
      <w:lvlJc w:val="left"/>
      <w:pPr>
        <w:tabs>
          <w:tab w:val="num" w:pos="1571"/>
        </w:tabs>
        <w:ind w:left="1571" w:hanging="360"/>
      </w:pPr>
      <w:rPr>
        <w:rFonts w:ascii="Symbol" w:hAnsi="Symbol" w:hint="default"/>
        <w:sz w:val="20"/>
      </w:rPr>
    </w:lvl>
    <w:lvl w:ilvl="2" w:tentative="1">
      <w:start w:val="1"/>
      <w:numFmt w:val="bullet"/>
      <w:lvlText w:val=""/>
      <w:lvlJc w:val="left"/>
      <w:pPr>
        <w:tabs>
          <w:tab w:val="num" w:pos="2291"/>
        </w:tabs>
        <w:ind w:left="2291" w:hanging="360"/>
      </w:pPr>
      <w:rPr>
        <w:rFonts w:ascii="Symbol" w:hAnsi="Symbol" w:hint="default"/>
        <w:sz w:val="20"/>
      </w:rPr>
    </w:lvl>
    <w:lvl w:ilvl="3" w:tentative="1">
      <w:start w:val="1"/>
      <w:numFmt w:val="bullet"/>
      <w:lvlText w:val=""/>
      <w:lvlJc w:val="left"/>
      <w:pPr>
        <w:tabs>
          <w:tab w:val="num" w:pos="3011"/>
        </w:tabs>
        <w:ind w:left="3011" w:hanging="360"/>
      </w:pPr>
      <w:rPr>
        <w:rFonts w:ascii="Symbol" w:hAnsi="Symbol" w:hint="default"/>
        <w:sz w:val="20"/>
      </w:rPr>
    </w:lvl>
    <w:lvl w:ilvl="4" w:tentative="1">
      <w:start w:val="1"/>
      <w:numFmt w:val="bullet"/>
      <w:lvlText w:val=""/>
      <w:lvlJc w:val="left"/>
      <w:pPr>
        <w:tabs>
          <w:tab w:val="num" w:pos="3731"/>
        </w:tabs>
        <w:ind w:left="3731" w:hanging="360"/>
      </w:pPr>
      <w:rPr>
        <w:rFonts w:ascii="Symbol" w:hAnsi="Symbol" w:hint="default"/>
        <w:sz w:val="20"/>
      </w:rPr>
    </w:lvl>
    <w:lvl w:ilvl="5" w:tentative="1">
      <w:start w:val="1"/>
      <w:numFmt w:val="bullet"/>
      <w:lvlText w:val=""/>
      <w:lvlJc w:val="left"/>
      <w:pPr>
        <w:tabs>
          <w:tab w:val="num" w:pos="4451"/>
        </w:tabs>
        <w:ind w:left="4451" w:hanging="360"/>
      </w:pPr>
      <w:rPr>
        <w:rFonts w:ascii="Symbol" w:hAnsi="Symbol" w:hint="default"/>
        <w:sz w:val="20"/>
      </w:rPr>
    </w:lvl>
    <w:lvl w:ilvl="6" w:tentative="1">
      <w:start w:val="1"/>
      <w:numFmt w:val="bullet"/>
      <w:lvlText w:val=""/>
      <w:lvlJc w:val="left"/>
      <w:pPr>
        <w:tabs>
          <w:tab w:val="num" w:pos="5171"/>
        </w:tabs>
        <w:ind w:left="5171" w:hanging="360"/>
      </w:pPr>
      <w:rPr>
        <w:rFonts w:ascii="Symbol" w:hAnsi="Symbol" w:hint="default"/>
        <w:sz w:val="20"/>
      </w:rPr>
    </w:lvl>
    <w:lvl w:ilvl="7" w:tentative="1">
      <w:start w:val="1"/>
      <w:numFmt w:val="bullet"/>
      <w:lvlText w:val=""/>
      <w:lvlJc w:val="left"/>
      <w:pPr>
        <w:tabs>
          <w:tab w:val="num" w:pos="5891"/>
        </w:tabs>
        <w:ind w:left="5891" w:hanging="360"/>
      </w:pPr>
      <w:rPr>
        <w:rFonts w:ascii="Symbol" w:hAnsi="Symbol" w:hint="default"/>
        <w:sz w:val="20"/>
      </w:rPr>
    </w:lvl>
    <w:lvl w:ilvl="8" w:tentative="1">
      <w:start w:val="1"/>
      <w:numFmt w:val="bullet"/>
      <w:lvlText w:val=""/>
      <w:lvlJc w:val="left"/>
      <w:pPr>
        <w:tabs>
          <w:tab w:val="num" w:pos="6611"/>
        </w:tabs>
        <w:ind w:left="6611" w:hanging="360"/>
      </w:pPr>
      <w:rPr>
        <w:rFonts w:ascii="Symbol" w:hAnsi="Symbol" w:hint="default"/>
        <w:sz w:val="20"/>
      </w:rPr>
    </w:lvl>
  </w:abstractNum>
  <w:abstractNum w:abstractNumId="7" w15:restartNumberingAfterBreak="0">
    <w:nsid w:val="14C16F10"/>
    <w:multiLevelType w:val="hybridMultilevel"/>
    <w:tmpl w:val="033A00AC"/>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8" w15:restartNumberingAfterBreak="0">
    <w:nsid w:val="156912CA"/>
    <w:multiLevelType w:val="hybridMultilevel"/>
    <w:tmpl w:val="19AEA092"/>
    <w:lvl w:ilvl="0" w:tplc="35D8296C">
      <w:numFmt w:val="bullet"/>
      <w:lvlText w:val="•"/>
      <w:lvlJc w:val="left"/>
      <w:pPr>
        <w:ind w:left="2628" w:hanging="360"/>
      </w:pPr>
      <w:rPr>
        <w:rFonts w:ascii="Calibri" w:eastAsiaTheme="minorHAnsi" w:hAnsi="Calibri" w:cs="Calibri"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9120106"/>
    <w:multiLevelType w:val="hybridMultilevel"/>
    <w:tmpl w:val="42C4C2E0"/>
    <w:lvl w:ilvl="0" w:tplc="4A9CCE98">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B3B4ADF"/>
    <w:multiLevelType w:val="multilevel"/>
    <w:tmpl w:val="5D447828"/>
    <w:lvl w:ilvl="0">
      <w:start w:val="3"/>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661D61"/>
    <w:multiLevelType w:val="hybridMultilevel"/>
    <w:tmpl w:val="F2CE7A66"/>
    <w:lvl w:ilvl="0" w:tplc="1646CDC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A4780"/>
    <w:multiLevelType w:val="hybridMultilevel"/>
    <w:tmpl w:val="4D1ED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E4CBE"/>
    <w:multiLevelType w:val="hybridMultilevel"/>
    <w:tmpl w:val="93BC1042"/>
    <w:lvl w:ilvl="0" w:tplc="35D8296C">
      <w:numFmt w:val="bullet"/>
      <w:lvlText w:val="•"/>
      <w:lvlJc w:val="left"/>
      <w:pPr>
        <w:ind w:left="2574"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37F6E4D"/>
    <w:multiLevelType w:val="hybridMultilevel"/>
    <w:tmpl w:val="6D9C8CB8"/>
    <w:lvl w:ilvl="0" w:tplc="35D8296C">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40929FB"/>
    <w:multiLevelType w:val="hybridMultilevel"/>
    <w:tmpl w:val="F16A1A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BD181E"/>
    <w:multiLevelType w:val="hybridMultilevel"/>
    <w:tmpl w:val="BF4424F2"/>
    <w:lvl w:ilvl="0" w:tplc="CA5842E4">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A0395"/>
    <w:multiLevelType w:val="hybridMultilevel"/>
    <w:tmpl w:val="BD1C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46185B"/>
    <w:multiLevelType w:val="hybridMultilevel"/>
    <w:tmpl w:val="BA249C5C"/>
    <w:lvl w:ilvl="0" w:tplc="7B4CAF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F36848"/>
    <w:multiLevelType w:val="hybridMultilevel"/>
    <w:tmpl w:val="9DAC6466"/>
    <w:lvl w:ilvl="0" w:tplc="35D8296C">
      <w:numFmt w:val="bullet"/>
      <w:lvlText w:val="•"/>
      <w:lvlJc w:val="left"/>
      <w:pPr>
        <w:ind w:left="1746" w:hanging="360"/>
      </w:pPr>
      <w:rPr>
        <w:rFonts w:ascii="Calibri" w:eastAsiaTheme="minorHAns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0" w15:restartNumberingAfterBreak="0">
    <w:nsid w:val="2A0A0D10"/>
    <w:multiLevelType w:val="hybridMultilevel"/>
    <w:tmpl w:val="386E23EE"/>
    <w:lvl w:ilvl="0" w:tplc="08090001">
      <w:start w:val="1"/>
      <w:numFmt w:val="bullet"/>
      <w:lvlText w:val=""/>
      <w:lvlJc w:val="left"/>
      <w:pPr>
        <w:ind w:left="720" w:hanging="360"/>
      </w:pPr>
      <w:rPr>
        <w:rFonts w:ascii="Symbol" w:hAnsi="Symbol" w:hint="default"/>
      </w:rPr>
    </w:lvl>
    <w:lvl w:ilvl="1" w:tplc="ED44FF7A">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440878"/>
    <w:multiLevelType w:val="hybridMultilevel"/>
    <w:tmpl w:val="A616317C"/>
    <w:lvl w:ilvl="0" w:tplc="CA5842E4">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2" w15:restartNumberingAfterBreak="0">
    <w:nsid w:val="2C171F3F"/>
    <w:multiLevelType w:val="multilevel"/>
    <w:tmpl w:val="0C0A18A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7F1F47"/>
    <w:multiLevelType w:val="hybridMultilevel"/>
    <w:tmpl w:val="4A54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AF3A1D"/>
    <w:multiLevelType w:val="hybridMultilevel"/>
    <w:tmpl w:val="43E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17BDB"/>
    <w:multiLevelType w:val="hybridMultilevel"/>
    <w:tmpl w:val="A28C4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250513"/>
    <w:multiLevelType w:val="hybridMultilevel"/>
    <w:tmpl w:val="9DF40E66"/>
    <w:lvl w:ilvl="0" w:tplc="CA5842E4">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468A0"/>
    <w:multiLevelType w:val="hybridMultilevel"/>
    <w:tmpl w:val="DA82521E"/>
    <w:lvl w:ilvl="0" w:tplc="FA3A1FAE">
      <w:start w:val="5"/>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1AB6FD9"/>
    <w:multiLevelType w:val="hybridMultilevel"/>
    <w:tmpl w:val="43626C9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E37763"/>
    <w:multiLevelType w:val="hybridMultilevel"/>
    <w:tmpl w:val="CD1437A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44FA7427"/>
    <w:multiLevelType w:val="hybridMultilevel"/>
    <w:tmpl w:val="A69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E12FC"/>
    <w:multiLevelType w:val="hybridMultilevel"/>
    <w:tmpl w:val="9476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CC547F"/>
    <w:multiLevelType w:val="hybridMultilevel"/>
    <w:tmpl w:val="A4E4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C55EEA"/>
    <w:multiLevelType w:val="hybridMultilevel"/>
    <w:tmpl w:val="12B617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4BC7627E"/>
    <w:multiLevelType w:val="hybridMultilevel"/>
    <w:tmpl w:val="99F61FB2"/>
    <w:lvl w:ilvl="0" w:tplc="7B4CAF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D0FBB"/>
    <w:multiLevelType w:val="hybridMultilevel"/>
    <w:tmpl w:val="7256AA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12E0AAF"/>
    <w:multiLevelType w:val="hybridMultilevel"/>
    <w:tmpl w:val="A06CB8BA"/>
    <w:lvl w:ilvl="0" w:tplc="0809000B">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29D17FA"/>
    <w:multiLevelType w:val="hybridMultilevel"/>
    <w:tmpl w:val="C7A8FE46"/>
    <w:lvl w:ilvl="0" w:tplc="8F180DA6">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37912F7"/>
    <w:multiLevelType w:val="hybridMultilevel"/>
    <w:tmpl w:val="768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F4804"/>
    <w:multiLevelType w:val="hybridMultilevel"/>
    <w:tmpl w:val="2C4251DC"/>
    <w:lvl w:ilvl="0" w:tplc="CA5842E4">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D4307F"/>
    <w:multiLevelType w:val="hybridMultilevel"/>
    <w:tmpl w:val="4BB836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5A6B161B"/>
    <w:multiLevelType w:val="hybridMultilevel"/>
    <w:tmpl w:val="9E06C65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2" w15:restartNumberingAfterBreak="0">
    <w:nsid w:val="71366BEC"/>
    <w:multiLevelType w:val="hybridMultilevel"/>
    <w:tmpl w:val="FBE64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3637BD"/>
    <w:multiLevelType w:val="hybridMultilevel"/>
    <w:tmpl w:val="BA0AB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5B06C0"/>
    <w:multiLevelType w:val="hybridMultilevel"/>
    <w:tmpl w:val="65D29A6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5" w15:restartNumberingAfterBreak="0">
    <w:nsid w:val="7DB84BCE"/>
    <w:multiLevelType w:val="hybridMultilevel"/>
    <w:tmpl w:val="C8D40A2A"/>
    <w:lvl w:ilvl="0" w:tplc="CA5842E4">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37"/>
  </w:num>
  <w:num w:numId="4">
    <w:abstractNumId w:val="27"/>
  </w:num>
  <w:num w:numId="5">
    <w:abstractNumId w:val="6"/>
  </w:num>
  <w:num w:numId="6">
    <w:abstractNumId w:val="24"/>
  </w:num>
  <w:num w:numId="7">
    <w:abstractNumId w:val="29"/>
  </w:num>
  <w:num w:numId="8">
    <w:abstractNumId w:val="41"/>
  </w:num>
  <w:num w:numId="9">
    <w:abstractNumId w:val="21"/>
  </w:num>
  <w:num w:numId="10">
    <w:abstractNumId w:val="16"/>
  </w:num>
  <w:num w:numId="11">
    <w:abstractNumId w:val="45"/>
  </w:num>
  <w:num w:numId="12">
    <w:abstractNumId w:val="26"/>
  </w:num>
  <w:num w:numId="13">
    <w:abstractNumId w:val="39"/>
  </w:num>
  <w:num w:numId="14">
    <w:abstractNumId w:val="0"/>
  </w:num>
  <w:num w:numId="15">
    <w:abstractNumId w:val="17"/>
  </w:num>
  <w:num w:numId="16">
    <w:abstractNumId w:val="4"/>
  </w:num>
  <w:num w:numId="17">
    <w:abstractNumId w:val="36"/>
  </w:num>
  <w:num w:numId="18">
    <w:abstractNumId w:val="44"/>
  </w:num>
  <w:num w:numId="19">
    <w:abstractNumId w:val="12"/>
  </w:num>
  <w:num w:numId="20">
    <w:abstractNumId w:val="42"/>
  </w:num>
  <w:num w:numId="21">
    <w:abstractNumId w:val="25"/>
  </w:num>
  <w:num w:numId="22">
    <w:abstractNumId w:val="43"/>
  </w:num>
  <w:num w:numId="23">
    <w:abstractNumId w:val="5"/>
  </w:num>
  <w:num w:numId="24">
    <w:abstractNumId w:val="15"/>
  </w:num>
  <w:num w:numId="25">
    <w:abstractNumId w:val="20"/>
  </w:num>
  <w:num w:numId="26">
    <w:abstractNumId w:val="10"/>
  </w:num>
  <w:num w:numId="27">
    <w:abstractNumId w:val="22"/>
  </w:num>
  <w:num w:numId="28">
    <w:abstractNumId w:val="1"/>
  </w:num>
  <w:num w:numId="29">
    <w:abstractNumId w:val="31"/>
  </w:num>
  <w:num w:numId="30">
    <w:abstractNumId w:val="30"/>
  </w:num>
  <w:num w:numId="31">
    <w:abstractNumId w:val="38"/>
  </w:num>
  <w:num w:numId="32">
    <w:abstractNumId w:val="23"/>
  </w:num>
  <w:num w:numId="33">
    <w:abstractNumId w:val="18"/>
  </w:num>
  <w:num w:numId="34">
    <w:abstractNumId w:val="34"/>
  </w:num>
  <w:num w:numId="35">
    <w:abstractNumId w:val="2"/>
  </w:num>
  <w:num w:numId="36">
    <w:abstractNumId w:val="35"/>
  </w:num>
  <w:num w:numId="37">
    <w:abstractNumId w:val="33"/>
  </w:num>
  <w:num w:numId="38">
    <w:abstractNumId w:val="14"/>
  </w:num>
  <w:num w:numId="39">
    <w:abstractNumId w:val="8"/>
  </w:num>
  <w:num w:numId="40">
    <w:abstractNumId w:val="13"/>
  </w:num>
  <w:num w:numId="41">
    <w:abstractNumId w:val="19"/>
  </w:num>
  <w:num w:numId="42">
    <w:abstractNumId w:val="7"/>
  </w:num>
  <w:num w:numId="43">
    <w:abstractNumId w:val="32"/>
  </w:num>
  <w:num w:numId="44">
    <w:abstractNumId w:val="11"/>
  </w:num>
  <w:num w:numId="45">
    <w:abstractNumId w:val="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D9"/>
    <w:rsid w:val="00000645"/>
    <w:rsid w:val="00000861"/>
    <w:rsid w:val="0000294B"/>
    <w:rsid w:val="000210B9"/>
    <w:rsid w:val="00023B48"/>
    <w:rsid w:val="000264BE"/>
    <w:rsid w:val="00026B3A"/>
    <w:rsid w:val="00027865"/>
    <w:rsid w:val="00031F9B"/>
    <w:rsid w:val="00032790"/>
    <w:rsid w:val="00032ECB"/>
    <w:rsid w:val="0003451D"/>
    <w:rsid w:val="00036AD8"/>
    <w:rsid w:val="00044228"/>
    <w:rsid w:val="00046EFD"/>
    <w:rsid w:val="00053648"/>
    <w:rsid w:val="00055D07"/>
    <w:rsid w:val="00056BAA"/>
    <w:rsid w:val="00060BF8"/>
    <w:rsid w:val="000614BE"/>
    <w:rsid w:val="00071E93"/>
    <w:rsid w:val="000747D9"/>
    <w:rsid w:val="000774C8"/>
    <w:rsid w:val="00077820"/>
    <w:rsid w:val="00077DFC"/>
    <w:rsid w:val="0008096B"/>
    <w:rsid w:val="00082624"/>
    <w:rsid w:val="00086F74"/>
    <w:rsid w:val="00090478"/>
    <w:rsid w:val="00093A12"/>
    <w:rsid w:val="00095EB0"/>
    <w:rsid w:val="000A4D5B"/>
    <w:rsid w:val="000A6839"/>
    <w:rsid w:val="000A6A25"/>
    <w:rsid w:val="000B0396"/>
    <w:rsid w:val="000B087B"/>
    <w:rsid w:val="000B2B96"/>
    <w:rsid w:val="000B30EE"/>
    <w:rsid w:val="000B4AA6"/>
    <w:rsid w:val="000B6EBA"/>
    <w:rsid w:val="000B71FC"/>
    <w:rsid w:val="000C4BC7"/>
    <w:rsid w:val="000C638F"/>
    <w:rsid w:val="000D08F1"/>
    <w:rsid w:val="000D3299"/>
    <w:rsid w:val="000D63BA"/>
    <w:rsid w:val="000D653A"/>
    <w:rsid w:val="000D78E5"/>
    <w:rsid w:val="000E4572"/>
    <w:rsid w:val="000E6714"/>
    <w:rsid w:val="000F1FB6"/>
    <w:rsid w:val="000F31C5"/>
    <w:rsid w:val="000F7E84"/>
    <w:rsid w:val="00102D89"/>
    <w:rsid w:val="00103B2A"/>
    <w:rsid w:val="0010758D"/>
    <w:rsid w:val="0012193D"/>
    <w:rsid w:val="001222C1"/>
    <w:rsid w:val="00123830"/>
    <w:rsid w:val="00124EA3"/>
    <w:rsid w:val="00131977"/>
    <w:rsid w:val="00132327"/>
    <w:rsid w:val="00142623"/>
    <w:rsid w:val="0014374A"/>
    <w:rsid w:val="00146E06"/>
    <w:rsid w:val="001472FE"/>
    <w:rsid w:val="00147924"/>
    <w:rsid w:val="00150007"/>
    <w:rsid w:val="001528DB"/>
    <w:rsid w:val="00152930"/>
    <w:rsid w:val="00156CC9"/>
    <w:rsid w:val="00163130"/>
    <w:rsid w:val="00174822"/>
    <w:rsid w:val="001813A6"/>
    <w:rsid w:val="00182072"/>
    <w:rsid w:val="00185A1B"/>
    <w:rsid w:val="0019010A"/>
    <w:rsid w:val="00194812"/>
    <w:rsid w:val="001953E8"/>
    <w:rsid w:val="00197933"/>
    <w:rsid w:val="001A2127"/>
    <w:rsid w:val="001A350B"/>
    <w:rsid w:val="001A3CEF"/>
    <w:rsid w:val="001A7509"/>
    <w:rsid w:val="001B223D"/>
    <w:rsid w:val="001B2BFC"/>
    <w:rsid w:val="001B332B"/>
    <w:rsid w:val="001B4674"/>
    <w:rsid w:val="001B68AC"/>
    <w:rsid w:val="001C1DE2"/>
    <w:rsid w:val="001C31A9"/>
    <w:rsid w:val="001C4A71"/>
    <w:rsid w:val="001C60DC"/>
    <w:rsid w:val="001C7704"/>
    <w:rsid w:val="001D1BE5"/>
    <w:rsid w:val="001D23E6"/>
    <w:rsid w:val="001D3A8B"/>
    <w:rsid w:val="001E40CB"/>
    <w:rsid w:val="001E4693"/>
    <w:rsid w:val="001E4DEA"/>
    <w:rsid w:val="001E51A2"/>
    <w:rsid w:val="001F3828"/>
    <w:rsid w:val="001F3AF5"/>
    <w:rsid w:val="001F54CA"/>
    <w:rsid w:val="001F61CA"/>
    <w:rsid w:val="001F6EA3"/>
    <w:rsid w:val="001F7FBC"/>
    <w:rsid w:val="00205DA4"/>
    <w:rsid w:val="00206CA6"/>
    <w:rsid w:val="00216A33"/>
    <w:rsid w:val="0021743E"/>
    <w:rsid w:val="00223E04"/>
    <w:rsid w:val="00226793"/>
    <w:rsid w:val="00236996"/>
    <w:rsid w:val="00240120"/>
    <w:rsid w:val="002446BE"/>
    <w:rsid w:val="0024634D"/>
    <w:rsid w:val="002477A9"/>
    <w:rsid w:val="002530A5"/>
    <w:rsid w:val="00255A90"/>
    <w:rsid w:val="00257BAF"/>
    <w:rsid w:val="00261390"/>
    <w:rsid w:val="00261A34"/>
    <w:rsid w:val="00261E83"/>
    <w:rsid w:val="00262636"/>
    <w:rsid w:val="00264B70"/>
    <w:rsid w:val="002656AC"/>
    <w:rsid w:val="00266E31"/>
    <w:rsid w:val="00273544"/>
    <w:rsid w:val="002825B6"/>
    <w:rsid w:val="00285879"/>
    <w:rsid w:val="00286AD9"/>
    <w:rsid w:val="00290EEF"/>
    <w:rsid w:val="00293CD5"/>
    <w:rsid w:val="002A102A"/>
    <w:rsid w:val="002A145C"/>
    <w:rsid w:val="002A407E"/>
    <w:rsid w:val="002A4244"/>
    <w:rsid w:val="002A4BB3"/>
    <w:rsid w:val="002A681D"/>
    <w:rsid w:val="002B0F79"/>
    <w:rsid w:val="002B137B"/>
    <w:rsid w:val="002B28D9"/>
    <w:rsid w:val="002C15BE"/>
    <w:rsid w:val="002C364E"/>
    <w:rsid w:val="002C4E0B"/>
    <w:rsid w:val="002C7BDF"/>
    <w:rsid w:val="002D787A"/>
    <w:rsid w:val="002F14BE"/>
    <w:rsid w:val="002F6562"/>
    <w:rsid w:val="00300F3E"/>
    <w:rsid w:val="003018A2"/>
    <w:rsid w:val="00306B76"/>
    <w:rsid w:val="00310361"/>
    <w:rsid w:val="003110DD"/>
    <w:rsid w:val="003139A4"/>
    <w:rsid w:val="003154F9"/>
    <w:rsid w:val="0031629E"/>
    <w:rsid w:val="00316AC4"/>
    <w:rsid w:val="003240D2"/>
    <w:rsid w:val="0032665C"/>
    <w:rsid w:val="003337F4"/>
    <w:rsid w:val="003355DE"/>
    <w:rsid w:val="00340879"/>
    <w:rsid w:val="00340E02"/>
    <w:rsid w:val="00355ECA"/>
    <w:rsid w:val="00360241"/>
    <w:rsid w:val="00360857"/>
    <w:rsid w:val="003645FC"/>
    <w:rsid w:val="00364D16"/>
    <w:rsid w:val="0036618A"/>
    <w:rsid w:val="00372251"/>
    <w:rsid w:val="00373858"/>
    <w:rsid w:val="00373A19"/>
    <w:rsid w:val="00377687"/>
    <w:rsid w:val="00382313"/>
    <w:rsid w:val="003850EF"/>
    <w:rsid w:val="0038540E"/>
    <w:rsid w:val="0038550C"/>
    <w:rsid w:val="00396F3E"/>
    <w:rsid w:val="003A42F0"/>
    <w:rsid w:val="003A45E4"/>
    <w:rsid w:val="003A6D7C"/>
    <w:rsid w:val="003B1A01"/>
    <w:rsid w:val="003B2DEB"/>
    <w:rsid w:val="003C0490"/>
    <w:rsid w:val="003C21AB"/>
    <w:rsid w:val="003D7649"/>
    <w:rsid w:val="003E0C64"/>
    <w:rsid w:val="003E1E1E"/>
    <w:rsid w:val="003E47E7"/>
    <w:rsid w:val="003E7411"/>
    <w:rsid w:val="003F0756"/>
    <w:rsid w:val="003F0BD2"/>
    <w:rsid w:val="003F13F0"/>
    <w:rsid w:val="003F49E3"/>
    <w:rsid w:val="003F5EDC"/>
    <w:rsid w:val="00406EC9"/>
    <w:rsid w:val="004108F9"/>
    <w:rsid w:val="0041375A"/>
    <w:rsid w:val="00415427"/>
    <w:rsid w:val="00417021"/>
    <w:rsid w:val="00422CEE"/>
    <w:rsid w:val="004262F2"/>
    <w:rsid w:val="0042693B"/>
    <w:rsid w:val="0043003D"/>
    <w:rsid w:val="004309E2"/>
    <w:rsid w:val="00430CB4"/>
    <w:rsid w:val="0043432B"/>
    <w:rsid w:val="00437081"/>
    <w:rsid w:val="0044044F"/>
    <w:rsid w:val="0046071E"/>
    <w:rsid w:val="00461675"/>
    <w:rsid w:val="00463010"/>
    <w:rsid w:val="0046465B"/>
    <w:rsid w:val="00465983"/>
    <w:rsid w:val="00470625"/>
    <w:rsid w:val="004739F2"/>
    <w:rsid w:val="00481B75"/>
    <w:rsid w:val="00483547"/>
    <w:rsid w:val="00484316"/>
    <w:rsid w:val="00484646"/>
    <w:rsid w:val="0048691F"/>
    <w:rsid w:val="00486C7C"/>
    <w:rsid w:val="00491473"/>
    <w:rsid w:val="00494CBB"/>
    <w:rsid w:val="00495FB1"/>
    <w:rsid w:val="004A067D"/>
    <w:rsid w:val="004A094B"/>
    <w:rsid w:val="004A1C39"/>
    <w:rsid w:val="004A4058"/>
    <w:rsid w:val="004A54E6"/>
    <w:rsid w:val="004A5788"/>
    <w:rsid w:val="004B630D"/>
    <w:rsid w:val="004C1B89"/>
    <w:rsid w:val="004D011C"/>
    <w:rsid w:val="004D3969"/>
    <w:rsid w:val="004D76C5"/>
    <w:rsid w:val="004E7965"/>
    <w:rsid w:val="004F392D"/>
    <w:rsid w:val="00507582"/>
    <w:rsid w:val="00507F40"/>
    <w:rsid w:val="005115EB"/>
    <w:rsid w:val="005150C2"/>
    <w:rsid w:val="005163A7"/>
    <w:rsid w:val="00524549"/>
    <w:rsid w:val="00526986"/>
    <w:rsid w:val="00530D55"/>
    <w:rsid w:val="0053332B"/>
    <w:rsid w:val="00536EFF"/>
    <w:rsid w:val="00547DDA"/>
    <w:rsid w:val="005505A5"/>
    <w:rsid w:val="00554363"/>
    <w:rsid w:val="00560F7B"/>
    <w:rsid w:val="005640A4"/>
    <w:rsid w:val="005643CC"/>
    <w:rsid w:val="00565AFC"/>
    <w:rsid w:val="00567ED1"/>
    <w:rsid w:val="00574FBC"/>
    <w:rsid w:val="0057773D"/>
    <w:rsid w:val="00580187"/>
    <w:rsid w:val="00580A41"/>
    <w:rsid w:val="0058138B"/>
    <w:rsid w:val="0058296A"/>
    <w:rsid w:val="00585118"/>
    <w:rsid w:val="00585699"/>
    <w:rsid w:val="0058739D"/>
    <w:rsid w:val="00593465"/>
    <w:rsid w:val="005A2AF5"/>
    <w:rsid w:val="005A5D6C"/>
    <w:rsid w:val="005A5F65"/>
    <w:rsid w:val="005B6B78"/>
    <w:rsid w:val="005C001A"/>
    <w:rsid w:val="005C117B"/>
    <w:rsid w:val="005C2D0B"/>
    <w:rsid w:val="005C3CC6"/>
    <w:rsid w:val="005C721C"/>
    <w:rsid w:val="005C77DC"/>
    <w:rsid w:val="005D0558"/>
    <w:rsid w:val="005D125D"/>
    <w:rsid w:val="005D1A69"/>
    <w:rsid w:val="005E168A"/>
    <w:rsid w:val="005F19E4"/>
    <w:rsid w:val="005F2042"/>
    <w:rsid w:val="005F243F"/>
    <w:rsid w:val="006001AD"/>
    <w:rsid w:val="00600A6E"/>
    <w:rsid w:val="00602A4E"/>
    <w:rsid w:val="00602DE0"/>
    <w:rsid w:val="00606251"/>
    <w:rsid w:val="00606280"/>
    <w:rsid w:val="00610345"/>
    <w:rsid w:val="00616683"/>
    <w:rsid w:val="006255CF"/>
    <w:rsid w:val="00641A7D"/>
    <w:rsid w:val="0064433E"/>
    <w:rsid w:val="00657E9F"/>
    <w:rsid w:val="00660141"/>
    <w:rsid w:val="00666CDD"/>
    <w:rsid w:val="00672136"/>
    <w:rsid w:val="00674E0F"/>
    <w:rsid w:val="0068011C"/>
    <w:rsid w:val="00692090"/>
    <w:rsid w:val="006949A8"/>
    <w:rsid w:val="006A144B"/>
    <w:rsid w:val="006A251A"/>
    <w:rsid w:val="006C01E5"/>
    <w:rsid w:val="006C3099"/>
    <w:rsid w:val="006C3884"/>
    <w:rsid w:val="006C53AA"/>
    <w:rsid w:val="006C75C8"/>
    <w:rsid w:val="006D0CAF"/>
    <w:rsid w:val="006D19C8"/>
    <w:rsid w:val="006D331D"/>
    <w:rsid w:val="006D3A74"/>
    <w:rsid w:val="006D4ABF"/>
    <w:rsid w:val="006E29E9"/>
    <w:rsid w:val="006E462F"/>
    <w:rsid w:val="006E4702"/>
    <w:rsid w:val="006E6C2E"/>
    <w:rsid w:val="006E7D78"/>
    <w:rsid w:val="006F3B87"/>
    <w:rsid w:val="006F5800"/>
    <w:rsid w:val="00700CB2"/>
    <w:rsid w:val="007040B3"/>
    <w:rsid w:val="0070416E"/>
    <w:rsid w:val="007044DE"/>
    <w:rsid w:val="007062F5"/>
    <w:rsid w:val="00712911"/>
    <w:rsid w:val="00716FDA"/>
    <w:rsid w:val="007222E4"/>
    <w:rsid w:val="00722950"/>
    <w:rsid w:val="00743262"/>
    <w:rsid w:val="007439CD"/>
    <w:rsid w:val="0074491A"/>
    <w:rsid w:val="00744CCC"/>
    <w:rsid w:val="007471AF"/>
    <w:rsid w:val="007477A8"/>
    <w:rsid w:val="00755595"/>
    <w:rsid w:val="00757572"/>
    <w:rsid w:val="00757B2E"/>
    <w:rsid w:val="00760E73"/>
    <w:rsid w:val="00763C3B"/>
    <w:rsid w:val="00767BBE"/>
    <w:rsid w:val="00767DD3"/>
    <w:rsid w:val="0077060B"/>
    <w:rsid w:val="00793AED"/>
    <w:rsid w:val="00795E56"/>
    <w:rsid w:val="00796A39"/>
    <w:rsid w:val="007A3D58"/>
    <w:rsid w:val="007B02C7"/>
    <w:rsid w:val="007B23EF"/>
    <w:rsid w:val="007C093C"/>
    <w:rsid w:val="007C0A6D"/>
    <w:rsid w:val="007C2B1A"/>
    <w:rsid w:val="007C3526"/>
    <w:rsid w:val="007C7B04"/>
    <w:rsid w:val="007D35B2"/>
    <w:rsid w:val="007D3C22"/>
    <w:rsid w:val="007E3BFF"/>
    <w:rsid w:val="007E5678"/>
    <w:rsid w:val="007E6F1D"/>
    <w:rsid w:val="007E77EF"/>
    <w:rsid w:val="007F14DC"/>
    <w:rsid w:val="007F227B"/>
    <w:rsid w:val="007F2A2C"/>
    <w:rsid w:val="007F5DA0"/>
    <w:rsid w:val="007F675B"/>
    <w:rsid w:val="007F7432"/>
    <w:rsid w:val="007F7B93"/>
    <w:rsid w:val="0080183D"/>
    <w:rsid w:val="00803252"/>
    <w:rsid w:val="00804B6C"/>
    <w:rsid w:val="0081359C"/>
    <w:rsid w:val="00822A90"/>
    <w:rsid w:val="00836915"/>
    <w:rsid w:val="008444E3"/>
    <w:rsid w:val="00846045"/>
    <w:rsid w:val="00851512"/>
    <w:rsid w:val="00852CAF"/>
    <w:rsid w:val="00855F9A"/>
    <w:rsid w:val="00867648"/>
    <w:rsid w:val="00870E5D"/>
    <w:rsid w:val="00875077"/>
    <w:rsid w:val="00875B50"/>
    <w:rsid w:val="008920A4"/>
    <w:rsid w:val="0089797B"/>
    <w:rsid w:val="008A1EF1"/>
    <w:rsid w:val="008A2AD2"/>
    <w:rsid w:val="008A3065"/>
    <w:rsid w:val="008B087B"/>
    <w:rsid w:val="008B141F"/>
    <w:rsid w:val="008B5EE2"/>
    <w:rsid w:val="008B6B29"/>
    <w:rsid w:val="008C200A"/>
    <w:rsid w:val="008C44A7"/>
    <w:rsid w:val="008D123D"/>
    <w:rsid w:val="008D5BFF"/>
    <w:rsid w:val="008D7851"/>
    <w:rsid w:val="008E1C92"/>
    <w:rsid w:val="008E2F97"/>
    <w:rsid w:val="008F6E0A"/>
    <w:rsid w:val="0090126E"/>
    <w:rsid w:val="00901938"/>
    <w:rsid w:val="00903B37"/>
    <w:rsid w:val="009046D9"/>
    <w:rsid w:val="00904C5B"/>
    <w:rsid w:val="00906BB1"/>
    <w:rsid w:val="00920D2E"/>
    <w:rsid w:val="00931058"/>
    <w:rsid w:val="00931B83"/>
    <w:rsid w:val="00935306"/>
    <w:rsid w:val="0093533A"/>
    <w:rsid w:val="00935741"/>
    <w:rsid w:val="009403DD"/>
    <w:rsid w:val="009505B6"/>
    <w:rsid w:val="00950BCD"/>
    <w:rsid w:val="0095117D"/>
    <w:rsid w:val="009525A2"/>
    <w:rsid w:val="00953A96"/>
    <w:rsid w:val="00956C86"/>
    <w:rsid w:val="00957C58"/>
    <w:rsid w:val="00960797"/>
    <w:rsid w:val="00962B86"/>
    <w:rsid w:val="00963001"/>
    <w:rsid w:val="009634F6"/>
    <w:rsid w:val="00964F18"/>
    <w:rsid w:val="00965CC0"/>
    <w:rsid w:val="00966417"/>
    <w:rsid w:val="00967817"/>
    <w:rsid w:val="009701FA"/>
    <w:rsid w:val="00977452"/>
    <w:rsid w:val="00977CFE"/>
    <w:rsid w:val="00985E3A"/>
    <w:rsid w:val="00985F62"/>
    <w:rsid w:val="00990F4E"/>
    <w:rsid w:val="0099179C"/>
    <w:rsid w:val="00991A08"/>
    <w:rsid w:val="00993BCF"/>
    <w:rsid w:val="0099512C"/>
    <w:rsid w:val="00996A27"/>
    <w:rsid w:val="009A181A"/>
    <w:rsid w:val="009A7759"/>
    <w:rsid w:val="009C01CE"/>
    <w:rsid w:val="009D08BD"/>
    <w:rsid w:val="009D37DC"/>
    <w:rsid w:val="009D5374"/>
    <w:rsid w:val="009E09CF"/>
    <w:rsid w:val="009E0FD6"/>
    <w:rsid w:val="009E156C"/>
    <w:rsid w:val="009E52F6"/>
    <w:rsid w:val="009E5C58"/>
    <w:rsid w:val="009E6181"/>
    <w:rsid w:val="009F0618"/>
    <w:rsid w:val="009F1EF6"/>
    <w:rsid w:val="009F33C6"/>
    <w:rsid w:val="009F40E5"/>
    <w:rsid w:val="009F58F2"/>
    <w:rsid w:val="009F609C"/>
    <w:rsid w:val="009F6967"/>
    <w:rsid w:val="00A0038E"/>
    <w:rsid w:val="00A036E5"/>
    <w:rsid w:val="00A050EB"/>
    <w:rsid w:val="00A107DB"/>
    <w:rsid w:val="00A11DF1"/>
    <w:rsid w:val="00A1453C"/>
    <w:rsid w:val="00A14785"/>
    <w:rsid w:val="00A17AC6"/>
    <w:rsid w:val="00A17CA6"/>
    <w:rsid w:val="00A209A5"/>
    <w:rsid w:val="00A211CC"/>
    <w:rsid w:val="00A2379C"/>
    <w:rsid w:val="00A443FD"/>
    <w:rsid w:val="00A477EF"/>
    <w:rsid w:val="00A7064A"/>
    <w:rsid w:val="00A73325"/>
    <w:rsid w:val="00A7764E"/>
    <w:rsid w:val="00A80B9F"/>
    <w:rsid w:val="00A81CE4"/>
    <w:rsid w:val="00A87040"/>
    <w:rsid w:val="00A87513"/>
    <w:rsid w:val="00A90C91"/>
    <w:rsid w:val="00A97D76"/>
    <w:rsid w:val="00A97E13"/>
    <w:rsid w:val="00AA43A7"/>
    <w:rsid w:val="00AB0E39"/>
    <w:rsid w:val="00AB3861"/>
    <w:rsid w:val="00AB47FC"/>
    <w:rsid w:val="00AC1B84"/>
    <w:rsid w:val="00AC2D21"/>
    <w:rsid w:val="00AC7F95"/>
    <w:rsid w:val="00AD0045"/>
    <w:rsid w:val="00AE10FE"/>
    <w:rsid w:val="00AE17C5"/>
    <w:rsid w:val="00AE24A0"/>
    <w:rsid w:val="00AE528A"/>
    <w:rsid w:val="00AE7F96"/>
    <w:rsid w:val="00AF0D66"/>
    <w:rsid w:val="00AF655D"/>
    <w:rsid w:val="00B02DBB"/>
    <w:rsid w:val="00B030D9"/>
    <w:rsid w:val="00B0327E"/>
    <w:rsid w:val="00B03C93"/>
    <w:rsid w:val="00B061B7"/>
    <w:rsid w:val="00B10EE5"/>
    <w:rsid w:val="00B11FCA"/>
    <w:rsid w:val="00B15415"/>
    <w:rsid w:val="00B157F6"/>
    <w:rsid w:val="00B15EF4"/>
    <w:rsid w:val="00B23E7C"/>
    <w:rsid w:val="00B27289"/>
    <w:rsid w:val="00B33165"/>
    <w:rsid w:val="00B333C1"/>
    <w:rsid w:val="00B35798"/>
    <w:rsid w:val="00B43E59"/>
    <w:rsid w:val="00B47F58"/>
    <w:rsid w:val="00B501D1"/>
    <w:rsid w:val="00B5248B"/>
    <w:rsid w:val="00B5728B"/>
    <w:rsid w:val="00B75827"/>
    <w:rsid w:val="00B80EC5"/>
    <w:rsid w:val="00B848EF"/>
    <w:rsid w:val="00B84FE4"/>
    <w:rsid w:val="00B90855"/>
    <w:rsid w:val="00B91467"/>
    <w:rsid w:val="00B91A0F"/>
    <w:rsid w:val="00B927A7"/>
    <w:rsid w:val="00BA76E0"/>
    <w:rsid w:val="00BB1CDA"/>
    <w:rsid w:val="00BB569B"/>
    <w:rsid w:val="00BB6016"/>
    <w:rsid w:val="00BB6A94"/>
    <w:rsid w:val="00BC221E"/>
    <w:rsid w:val="00BC44E6"/>
    <w:rsid w:val="00BD078F"/>
    <w:rsid w:val="00BD0899"/>
    <w:rsid w:val="00BD2BE4"/>
    <w:rsid w:val="00BD3C9A"/>
    <w:rsid w:val="00BD6509"/>
    <w:rsid w:val="00BD758F"/>
    <w:rsid w:val="00BE0E30"/>
    <w:rsid w:val="00BE683E"/>
    <w:rsid w:val="00BF424B"/>
    <w:rsid w:val="00BF4AF4"/>
    <w:rsid w:val="00BF5E98"/>
    <w:rsid w:val="00C0479F"/>
    <w:rsid w:val="00C059AE"/>
    <w:rsid w:val="00C068CF"/>
    <w:rsid w:val="00C107BD"/>
    <w:rsid w:val="00C10838"/>
    <w:rsid w:val="00C13356"/>
    <w:rsid w:val="00C13748"/>
    <w:rsid w:val="00C141AB"/>
    <w:rsid w:val="00C167E3"/>
    <w:rsid w:val="00C20247"/>
    <w:rsid w:val="00C212B9"/>
    <w:rsid w:val="00C3346E"/>
    <w:rsid w:val="00C37CEA"/>
    <w:rsid w:val="00C461B0"/>
    <w:rsid w:val="00C46301"/>
    <w:rsid w:val="00C50B59"/>
    <w:rsid w:val="00C52CCB"/>
    <w:rsid w:val="00C557B3"/>
    <w:rsid w:val="00C57051"/>
    <w:rsid w:val="00C57208"/>
    <w:rsid w:val="00C579C2"/>
    <w:rsid w:val="00C611C6"/>
    <w:rsid w:val="00C6159D"/>
    <w:rsid w:val="00C61A12"/>
    <w:rsid w:val="00C6468B"/>
    <w:rsid w:val="00C65D06"/>
    <w:rsid w:val="00C65E57"/>
    <w:rsid w:val="00C6730F"/>
    <w:rsid w:val="00C71048"/>
    <w:rsid w:val="00C72D79"/>
    <w:rsid w:val="00C73187"/>
    <w:rsid w:val="00C73202"/>
    <w:rsid w:val="00C7579E"/>
    <w:rsid w:val="00C80DC0"/>
    <w:rsid w:val="00C81BD7"/>
    <w:rsid w:val="00C8355E"/>
    <w:rsid w:val="00C83E3F"/>
    <w:rsid w:val="00C855FD"/>
    <w:rsid w:val="00C85D7D"/>
    <w:rsid w:val="00C874AA"/>
    <w:rsid w:val="00C94777"/>
    <w:rsid w:val="00C94AE8"/>
    <w:rsid w:val="00C96D3F"/>
    <w:rsid w:val="00CA054D"/>
    <w:rsid w:val="00CA1482"/>
    <w:rsid w:val="00CA367A"/>
    <w:rsid w:val="00CA6821"/>
    <w:rsid w:val="00CB027C"/>
    <w:rsid w:val="00CB1D06"/>
    <w:rsid w:val="00CB293C"/>
    <w:rsid w:val="00CB2A4F"/>
    <w:rsid w:val="00CB395A"/>
    <w:rsid w:val="00CB3BC1"/>
    <w:rsid w:val="00CB7651"/>
    <w:rsid w:val="00CC0EBF"/>
    <w:rsid w:val="00CC1720"/>
    <w:rsid w:val="00CC388C"/>
    <w:rsid w:val="00CC5631"/>
    <w:rsid w:val="00CC5B71"/>
    <w:rsid w:val="00CD195D"/>
    <w:rsid w:val="00CD1C19"/>
    <w:rsid w:val="00CD26A0"/>
    <w:rsid w:val="00CD30A6"/>
    <w:rsid w:val="00CD42BB"/>
    <w:rsid w:val="00CD448C"/>
    <w:rsid w:val="00CD49D5"/>
    <w:rsid w:val="00CD4E0F"/>
    <w:rsid w:val="00CD5181"/>
    <w:rsid w:val="00CD6BAF"/>
    <w:rsid w:val="00CE2C5F"/>
    <w:rsid w:val="00CE5195"/>
    <w:rsid w:val="00CF236C"/>
    <w:rsid w:val="00CF2C2E"/>
    <w:rsid w:val="00CF65DA"/>
    <w:rsid w:val="00CF679F"/>
    <w:rsid w:val="00CF6B29"/>
    <w:rsid w:val="00D0187C"/>
    <w:rsid w:val="00D055B8"/>
    <w:rsid w:val="00D15267"/>
    <w:rsid w:val="00D21396"/>
    <w:rsid w:val="00D249F2"/>
    <w:rsid w:val="00D260D4"/>
    <w:rsid w:val="00D27D4C"/>
    <w:rsid w:val="00D30ED9"/>
    <w:rsid w:val="00D3364F"/>
    <w:rsid w:val="00D34278"/>
    <w:rsid w:val="00D379F4"/>
    <w:rsid w:val="00D41BB9"/>
    <w:rsid w:val="00D42440"/>
    <w:rsid w:val="00D5333D"/>
    <w:rsid w:val="00D61F9B"/>
    <w:rsid w:val="00D647D9"/>
    <w:rsid w:val="00D70012"/>
    <w:rsid w:val="00D74558"/>
    <w:rsid w:val="00D77096"/>
    <w:rsid w:val="00D83193"/>
    <w:rsid w:val="00D84BCA"/>
    <w:rsid w:val="00D859E5"/>
    <w:rsid w:val="00D9181B"/>
    <w:rsid w:val="00D9356F"/>
    <w:rsid w:val="00D94233"/>
    <w:rsid w:val="00DA044F"/>
    <w:rsid w:val="00DA39A3"/>
    <w:rsid w:val="00DA49B6"/>
    <w:rsid w:val="00DA4DDB"/>
    <w:rsid w:val="00DA79D9"/>
    <w:rsid w:val="00DB0241"/>
    <w:rsid w:val="00DB0515"/>
    <w:rsid w:val="00DB0C4F"/>
    <w:rsid w:val="00DB41F5"/>
    <w:rsid w:val="00DB475A"/>
    <w:rsid w:val="00DB4AAD"/>
    <w:rsid w:val="00DB60DB"/>
    <w:rsid w:val="00DB6AC8"/>
    <w:rsid w:val="00DB720A"/>
    <w:rsid w:val="00DC388B"/>
    <w:rsid w:val="00DD2A27"/>
    <w:rsid w:val="00DD6E4C"/>
    <w:rsid w:val="00DE2FE9"/>
    <w:rsid w:val="00DE5782"/>
    <w:rsid w:val="00DF00C9"/>
    <w:rsid w:val="00DF1DB6"/>
    <w:rsid w:val="00DF4107"/>
    <w:rsid w:val="00DF5C95"/>
    <w:rsid w:val="00DF6BFB"/>
    <w:rsid w:val="00DF73C2"/>
    <w:rsid w:val="00DF7F50"/>
    <w:rsid w:val="00E0327B"/>
    <w:rsid w:val="00E03B95"/>
    <w:rsid w:val="00E17940"/>
    <w:rsid w:val="00E2297A"/>
    <w:rsid w:val="00E267D5"/>
    <w:rsid w:val="00E30723"/>
    <w:rsid w:val="00E316E1"/>
    <w:rsid w:val="00E4021E"/>
    <w:rsid w:val="00E40F13"/>
    <w:rsid w:val="00E420A9"/>
    <w:rsid w:val="00E50591"/>
    <w:rsid w:val="00E52D9D"/>
    <w:rsid w:val="00E60264"/>
    <w:rsid w:val="00E607A2"/>
    <w:rsid w:val="00E629D6"/>
    <w:rsid w:val="00E85C19"/>
    <w:rsid w:val="00E869C4"/>
    <w:rsid w:val="00E91887"/>
    <w:rsid w:val="00E9352F"/>
    <w:rsid w:val="00E949AB"/>
    <w:rsid w:val="00E953A1"/>
    <w:rsid w:val="00EA4046"/>
    <w:rsid w:val="00EA6F46"/>
    <w:rsid w:val="00EB41CA"/>
    <w:rsid w:val="00EB53BB"/>
    <w:rsid w:val="00EB5E29"/>
    <w:rsid w:val="00EC14F3"/>
    <w:rsid w:val="00EC26A5"/>
    <w:rsid w:val="00EC3AD8"/>
    <w:rsid w:val="00EC4C29"/>
    <w:rsid w:val="00EC7B07"/>
    <w:rsid w:val="00ED55CC"/>
    <w:rsid w:val="00EE0429"/>
    <w:rsid w:val="00EE25E8"/>
    <w:rsid w:val="00EE6FFC"/>
    <w:rsid w:val="00EF1402"/>
    <w:rsid w:val="00EF2833"/>
    <w:rsid w:val="00EF2F78"/>
    <w:rsid w:val="00EF7DA8"/>
    <w:rsid w:val="00F0364C"/>
    <w:rsid w:val="00F073D8"/>
    <w:rsid w:val="00F11096"/>
    <w:rsid w:val="00F11F70"/>
    <w:rsid w:val="00F245AD"/>
    <w:rsid w:val="00F248B3"/>
    <w:rsid w:val="00F24D55"/>
    <w:rsid w:val="00F26EBA"/>
    <w:rsid w:val="00F274E1"/>
    <w:rsid w:val="00F34D91"/>
    <w:rsid w:val="00F402BA"/>
    <w:rsid w:val="00F4116B"/>
    <w:rsid w:val="00F4213A"/>
    <w:rsid w:val="00F42EEF"/>
    <w:rsid w:val="00F455E9"/>
    <w:rsid w:val="00F558D9"/>
    <w:rsid w:val="00F64268"/>
    <w:rsid w:val="00F64BA8"/>
    <w:rsid w:val="00F65C14"/>
    <w:rsid w:val="00F66A86"/>
    <w:rsid w:val="00F67C97"/>
    <w:rsid w:val="00F70B8B"/>
    <w:rsid w:val="00F733DF"/>
    <w:rsid w:val="00F81E65"/>
    <w:rsid w:val="00F825A2"/>
    <w:rsid w:val="00F83239"/>
    <w:rsid w:val="00F92028"/>
    <w:rsid w:val="00FA21B1"/>
    <w:rsid w:val="00FB0547"/>
    <w:rsid w:val="00FB5CF6"/>
    <w:rsid w:val="00FB5D01"/>
    <w:rsid w:val="00FB5F5E"/>
    <w:rsid w:val="00FB6C78"/>
    <w:rsid w:val="00FB7477"/>
    <w:rsid w:val="00FC17E2"/>
    <w:rsid w:val="00FC18E9"/>
    <w:rsid w:val="00FC416F"/>
    <w:rsid w:val="00FD1577"/>
    <w:rsid w:val="00FD1A55"/>
    <w:rsid w:val="00FD1ABD"/>
    <w:rsid w:val="00FD2521"/>
    <w:rsid w:val="00FD7BE5"/>
    <w:rsid w:val="00FE2363"/>
    <w:rsid w:val="00FE4011"/>
    <w:rsid w:val="00FE70E2"/>
    <w:rsid w:val="00FF01E8"/>
    <w:rsid w:val="00FF25B7"/>
    <w:rsid w:val="00FF3C19"/>
    <w:rsid w:val="00FF4FEE"/>
    <w:rsid w:val="00FF597C"/>
    <w:rsid w:val="00FF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334E1"/>
  <w15:chartTrackingRefBased/>
  <w15:docId w15:val="{6168E84A-6A04-4720-AAAD-AF906C8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27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link w:val="ListParagraphChar"/>
    <w:uiPriority w:val="34"/>
    <w:qFormat/>
    <w:rsid w:val="007222E4"/>
    <w:pPr>
      <w:ind w:left="720"/>
      <w:contextualSpacing/>
    </w:pPr>
  </w:style>
  <w:style w:type="paragraph" w:styleId="Header">
    <w:name w:val="header"/>
    <w:basedOn w:val="Normal"/>
    <w:link w:val="HeaderChar"/>
    <w:uiPriority w:val="99"/>
    <w:unhideWhenUsed/>
    <w:rsid w:val="00DB0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4F"/>
  </w:style>
  <w:style w:type="paragraph" w:styleId="Footer">
    <w:name w:val="footer"/>
    <w:basedOn w:val="Normal"/>
    <w:link w:val="FooterChar"/>
    <w:uiPriority w:val="99"/>
    <w:unhideWhenUsed/>
    <w:rsid w:val="00DB0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4F"/>
  </w:style>
  <w:style w:type="paragraph" w:styleId="BalloonText">
    <w:name w:val="Balloon Text"/>
    <w:basedOn w:val="Normal"/>
    <w:link w:val="BalloonTextChar"/>
    <w:uiPriority w:val="99"/>
    <w:semiHidden/>
    <w:unhideWhenUsed/>
    <w:rsid w:val="00B02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BB"/>
    <w:rPr>
      <w:rFonts w:ascii="Segoe UI" w:hAnsi="Segoe UI" w:cs="Segoe UI"/>
      <w:sz w:val="18"/>
      <w:szCs w:val="18"/>
    </w:rPr>
  </w:style>
  <w:style w:type="character" w:styleId="CommentReference">
    <w:name w:val="annotation reference"/>
    <w:basedOn w:val="DefaultParagraphFont"/>
    <w:uiPriority w:val="99"/>
    <w:semiHidden/>
    <w:unhideWhenUsed/>
    <w:rsid w:val="0046071E"/>
    <w:rPr>
      <w:sz w:val="16"/>
      <w:szCs w:val="16"/>
    </w:rPr>
  </w:style>
  <w:style w:type="paragraph" w:styleId="CommentText">
    <w:name w:val="annotation text"/>
    <w:basedOn w:val="Normal"/>
    <w:link w:val="CommentTextChar"/>
    <w:uiPriority w:val="99"/>
    <w:semiHidden/>
    <w:unhideWhenUsed/>
    <w:rsid w:val="004607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607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EC9"/>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6EC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D37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7DC"/>
    <w:rPr>
      <w:sz w:val="20"/>
      <w:szCs w:val="20"/>
    </w:rPr>
  </w:style>
  <w:style w:type="character" w:styleId="FootnoteReference">
    <w:name w:val="footnote reference"/>
    <w:basedOn w:val="DefaultParagraphFont"/>
    <w:uiPriority w:val="99"/>
    <w:semiHidden/>
    <w:unhideWhenUsed/>
    <w:rsid w:val="009D37DC"/>
    <w:rPr>
      <w:vertAlign w:val="superscript"/>
    </w:rPr>
  </w:style>
  <w:style w:type="character" w:styleId="Hyperlink">
    <w:name w:val="Hyperlink"/>
    <w:basedOn w:val="DefaultParagraphFont"/>
    <w:uiPriority w:val="99"/>
    <w:unhideWhenUsed/>
    <w:rsid w:val="000210B9"/>
    <w:rPr>
      <w:color w:val="0000FF" w:themeColor="hyperlink"/>
      <w:u w:val="single"/>
    </w:rPr>
  </w:style>
  <w:style w:type="character" w:styleId="UnresolvedMention">
    <w:name w:val="Unresolved Mention"/>
    <w:basedOn w:val="DefaultParagraphFont"/>
    <w:uiPriority w:val="99"/>
    <w:semiHidden/>
    <w:unhideWhenUsed/>
    <w:rsid w:val="000210B9"/>
    <w:rPr>
      <w:color w:val="605E5C"/>
      <w:shd w:val="clear" w:color="auto" w:fill="E1DFDD"/>
    </w:rPr>
  </w:style>
  <w:style w:type="character" w:styleId="FollowedHyperlink">
    <w:name w:val="FollowedHyperlink"/>
    <w:basedOn w:val="DefaultParagraphFont"/>
    <w:uiPriority w:val="99"/>
    <w:semiHidden/>
    <w:unhideWhenUsed/>
    <w:rsid w:val="00804B6C"/>
    <w:rPr>
      <w:color w:val="800080" w:themeColor="followedHyperlink"/>
      <w:u w:val="single"/>
    </w:rPr>
  </w:style>
  <w:style w:type="paragraph" w:styleId="Revision">
    <w:name w:val="Revision"/>
    <w:hidden/>
    <w:uiPriority w:val="99"/>
    <w:semiHidden/>
    <w:rsid w:val="00AB0E39"/>
    <w:pPr>
      <w:spacing w:after="0" w:line="240" w:lineRule="auto"/>
    </w:pPr>
  </w:style>
  <w:style w:type="table" w:styleId="TableGrid">
    <w:name w:val="Table Grid"/>
    <w:basedOn w:val="TableNormal"/>
    <w:uiPriority w:val="39"/>
    <w:rsid w:val="00FB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D66"/>
    <w:pPr>
      <w:spacing w:after="0" w:line="240" w:lineRule="auto"/>
    </w:pPr>
    <w:rPr>
      <w:rFonts w:ascii="Calibri" w:eastAsia="Calibri" w:hAnsi="Calibri" w:cs="Times New Roman"/>
    </w:rPr>
  </w:style>
  <w:style w:type="paragraph" w:customStyle="1" w:styleId="Policyheadings">
    <w:name w:val="Policy headings"/>
    <w:basedOn w:val="ListParagraph"/>
    <w:link w:val="PolicyheadingsChar"/>
    <w:qFormat/>
    <w:rsid w:val="007E5678"/>
    <w:pPr>
      <w:numPr>
        <w:numId w:val="35"/>
      </w:numPr>
      <w:autoSpaceDE w:val="0"/>
      <w:autoSpaceDN w:val="0"/>
      <w:adjustRightInd w:val="0"/>
      <w:jc w:val="both"/>
    </w:pPr>
    <w:rPr>
      <w:rFonts w:ascii="Calibri" w:hAnsi="Calibri" w:cs="Calibri"/>
      <w:b/>
      <w:color w:val="ED7C2F"/>
      <w:sz w:val="28"/>
      <w:szCs w:val="28"/>
    </w:rPr>
  </w:style>
  <w:style w:type="character" w:customStyle="1" w:styleId="ListParagraphChar">
    <w:name w:val="List Paragraph Char"/>
    <w:basedOn w:val="DefaultParagraphFont"/>
    <w:link w:val="ListParagraph"/>
    <w:uiPriority w:val="34"/>
    <w:rsid w:val="007E5678"/>
  </w:style>
  <w:style w:type="character" w:customStyle="1" w:styleId="PolicyheadingsChar">
    <w:name w:val="Policy headings Char"/>
    <w:basedOn w:val="ListParagraphChar"/>
    <w:link w:val="Policyheadings"/>
    <w:rsid w:val="007E5678"/>
    <w:rPr>
      <w:rFonts w:ascii="Calibri" w:hAnsi="Calibri" w:cs="Calibri"/>
      <w:b/>
      <w:color w:val="ED7C2F"/>
      <w:sz w:val="28"/>
      <w:szCs w:val="28"/>
    </w:rPr>
  </w:style>
  <w:style w:type="table" w:customStyle="1" w:styleId="TableGrid1">
    <w:name w:val="Table Grid1"/>
    <w:basedOn w:val="TableNormal"/>
    <w:next w:val="TableGrid"/>
    <w:uiPriority w:val="39"/>
    <w:rsid w:val="00F4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11236">
      <w:bodyDiv w:val="1"/>
      <w:marLeft w:val="0"/>
      <w:marRight w:val="0"/>
      <w:marTop w:val="0"/>
      <w:marBottom w:val="0"/>
      <w:divBdr>
        <w:top w:val="none" w:sz="0" w:space="0" w:color="auto"/>
        <w:left w:val="none" w:sz="0" w:space="0" w:color="auto"/>
        <w:bottom w:val="none" w:sz="0" w:space="0" w:color="auto"/>
        <w:right w:val="none" w:sz="0" w:space="0" w:color="auto"/>
      </w:divBdr>
      <w:divsChild>
        <w:div w:id="533999808">
          <w:marLeft w:val="0"/>
          <w:marRight w:val="0"/>
          <w:marTop w:val="75"/>
          <w:marBottom w:val="0"/>
          <w:divBdr>
            <w:top w:val="none" w:sz="0" w:space="0" w:color="auto"/>
            <w:left w:val="none" w:sz="0" w:space="0" w:color="auto"/>
            <w:bottom w:val="none" w:sz="0" w:space="0" w:color="auto"/>
            <w:right w:val="none" w:sz="0" w:space="0" w:color="auto"/>
          </w:divBdr>
          <w:divsChild>
            <w:div w:id="1636913028">
              <w:marLeft w:val="0"/>
              <w:marRight w:val="0"/>
              <w:marTop w:val="0"/>
              <w:marBottom w:val="0"/>
              <w:divBdr>
                <w:top w:val="single" w:sz="6" w:space="8" w:color="CCCCCC"/>
                <w:left w:val="single" w:sz="6" w:space="11" w:color="CCCCCC"/>
                <w:bottom w:val="single" w:sz="18" w:space="19" w:color="999999"/>
                <w:right w:val="single" w:sz="18" w:space="8" w:color="999999"/>
              </w:divBdr>
              <w:divsChild>
                <w:div w:id="182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birminghamchildrenstrus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FF0363EA4EC43945D42070161DA7B" ma:contentTypeVersion="8" ma:contentTypeDescription="Create a new document." ma:contentTypeScope="" ma:versionID="d1cc4c81428de6f534e0d8c5640640a8">
  <xsd:schema xmlns:xsd="http://www.w3.org/2001/XMLSchema" xmlns:xs="http://www.w3.org/2001/XMLSchema" xmlns:p="http://schemas.microsoft.com/office/2006/metadata/properties" xmlns:ns3="c6211da9-2dbb-4fac-bedb-c188a09c28e0" targetNamespace="http://schemas.microsoft.com/office/2006/metadata/properties" ma:root="true" ma:fieldsID="e4d1af09d2bebf5710b58bcef62e044f" ns3:_="">
    <xsd:import namespace="c6211da9-2dbb-4fac-bedb-c188a09c2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1da9-2dbb-4fac-bedb-c188a09c2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FE6F8-77FA-456E-B571-BC89F1EE08C7}">
  <ds:schemaRefs>
    <ds:schemaRef ds:uri="http://schemas.microsoft.com/sharepoint/v3/contenttype/forms"/>
  </ds:schemaRefs>
</ds:datastoreItem>
</file>

<file path=customXml/itemProps2.xml><?xml version="1.0" encoding="utf-8"?>
<ds:datastoreItem xmlns:ds="http://schemas.openxmlformats.org/officeDocument/2006/customXml" ds:itemID="{84C32FDF-4985-43E2-B3BC-269EE8B16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485ABD-6F4C-4D07-BC89-F43BA827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1da9-2dbb-4fac-bedb-c188a09c2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FD6C5-2735-46DD-9C2A-4CF1BE7C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Begum</dc:creator>
  <cp:keywords/>
  <dc:description/>
  <cp:lastModifiedBy>Tilly Heigh</cp:lastModifiedBy>
  <cp:revision>2</cp:revision>
  <dcterms:created xsi:type="dcterms:W3CDTF">2022-09-07T15:42:00Z</dcterms:created>
  <dcterms:modified xsi:type="dcterms:W3CDTF">2022-09-07T15:42:00Z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0x010100A8CFF0363EA4EC43945D42070161DA7B</vt:lpwstr>
  </property>
</Properties>
</file>