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9A0F2" w14:textId="36B3F506" w:rsidR="00674DF6" w:rsidRPr="00674DF6" w:rsidRDefault="00674DF6" w:rsidP="009968D5">
      <w:pPr>
        <w:jc w:val="both"/>
        <w:rPr>
          <w:b/>
          <w:bCs/>
        </w:rPr>
      </w:pPr>
      <w:r w:rsidRPr="00674DF6">
        <w:rPr>
          <w:b/>
          <w:bCs/>
        </w:rPr>
        <w:t>Introduction</w:t>
      </w:r>
    </w:p>
    <w:p w14:paraId="2F72BD64" w14:textId="7CF56F15" w:rsidR="00C7589B" w:rsidRDefault="004A4271" w:rsidP="009968D5">
      <w:pPr>
        <w:jc w:val="both"/>
      </w:pPr>
      <w:r w:rsidRPr="004A4271">
        <w:t xml:space="preserve">Learning from </w:t>
      </w:r>
      <w:r w:rsidR="00AD1875">
        <w:t xml:space="preserve">respectful </w:t>
      </w:r>
      <w:r w:rsidRPr="004A4271">
        <w:t>challenge support</w:t>
      </w:r>
      <w:r>
        <w:t>s</w:t>
      </w:r>
      <w:r w:rsidRPr="004A4271">
        <w:t xml:space="preserve"> continuous improvements for children</w:t>
      </w:r>
      <w:r w:rsidR="00C7589B">
        <w:t xml:space="preserve"> and is necessary to sustain and drive excellent practice.  </w:t>
      </w:r>
      <w:r w:rsidR="00352B7A" w:rsidRPr="00C7589B">
        <w:t xml:space="preserve">The responsibilities for Independent Reviewing Officers (IRO) </w:t>
      </w:r>
      <w:r w:rsidR="000E7C42">
        <w:t>to challenge and raise a</w:t>
      </w:r>
      <w:r w:rsidR="00352B7A">
        <w:t>lerts</w:t>
      </w:r>
      <w:r w:rsidR="000E7C42">
        <w:t xml:space="preserve"> to</w:t>
      </w:r>
      <w:r w:rsidR="00352B7A">
        <w:t xml:space="preserve"> achieve the best outcomes for the children we are working with </w:t>
      </w:r>
      <w:r w:rsidR="00352B7A" w:rsidRPr="00C7589B">
        <w:t xml:space="preserve">are set out in the IRO Handbook </w:t>
      </w:r>
      <w:r w:rsidR="00352B7A">
        <w:t>(</w:t>
      </w:r>
      <w:hyperlink r:id="rId10" w:history="1">
        <w:r w:rsidR="00352B7A">
          <w:rPr>
            <w:rStyle w:val="Hyperlink"/>
          </w:rPr>
          <w:t>IRO statutory guidance</w:t>
        </w:r>
      </w:hyperlink>
      <w:r w:rsidR="00352B7A">
        <w:t>)</w:t>
      </w:r>
      <w:r w:rsidR="00352B7A" w:rsidRPr="004A4271">
        <w:t>.</w:t>
      </w:r>
    </w:p>
    <w:p w14:paraId="31A1F231" w14:textId="68F5068A" w:rsidR="009C1537" w:rsidRDefault="00B96A68" w:rsidP="009968D5">
      <w:pPr>
        <w:jc w:val="both"/>
      </w:pPr>
      <w:r w:rsidRPr="004A4271">
        <w:t>In line with the O</w:t>
      </w:r>
      <w:r w:rsidR="006A5F60" w:rsidRPr="004A4271">
        <w:t>utstanding Practice Framework</w:t>
      </w:r>
      <w:r w:rsidR="004A4271">
        <w:t>,</w:t>
      </w:r>
      <w:r w:rsidR="006A5F60" w:rsidRPr="004A4271">
        <w:t xml:space="preserve"> </w:t>
      </w:r>
      <w:r w:rsidR="00352B7A">
        <w:t>the alert process privileges finding</w:t>
      </w:r>
      <w:r w:rsidR="006E5C9A" w:rsidRPr="004A4271">
        <w:t xml:space="preserve"> </w:t>
      </w:r>
      <w:r w:rsidR="00E51A3C" w:rsidRPr="004A4271">
        <w:t>resolution</w:t>
      </w:r>
      <w:r w:rsidR="00352B7A">
        <w:t>s</w:t>
      </w:r>
      <w:r w:rsidR="006E5C9A" w:rsidRPr="004A4271">
        <w:t xml:space="preserve"> through </w:t>
      </w:r>
      <w:r w:rsidR="004A4271">
        <w:t xml:space="preserve">respectful </w:t>
      </w:r>
      <w:r w:rsidR="00352B7A">
        <w:t>communication</w:t>
      </w:r>
      <w:r w:rsidR="004A4271">
        <w:t>,</w:t>
      </w:r>
      <w:r w:rsidR="00C7589B">
        <w:t xml:space="preserve"> and</w:t>
      </w:r>
      <w:r w:rsidR="00352B7A">
        <w:t xml:space="preserve"> </w:t>
      </w:r>
      <w:r w:rsidR="006E5C9A" w:rsidRPr="004A4271">
        <w:t>positive</w:t>
      </w:r>
      <w:r w:rsidR="00352B7A">
        <w:t xml:space="preserve"> </w:t>
      </w:r>
      <w:r w:rsidR="003D4168" w:rsidRPr="004A4271">
        <w:t>collaborat</w:t>
      </w:r>
      <w:r w:rsidR="004A4271">
        <w:t>ive</w:t>
      </w:r>
      <w:r w:rsidR="0078090D" w:rsidRPr="004A4271">
        <w:t xml:space="preserve"> </w:t>
      </w:r>
      <w:r w:rsidR="004A4271" w:rsidRPr="004A4271">
        <w:t xml:space="preserve">working relationships </w:t>
      </w:r>
      <w:r w:rsidR="004A4271">
        <w:t>t</w:t>
      </w:r>
      <w:r w:rsidR="000E7C42">
        <w:t>hat</w:t>
      </w:r>
      <w:r w:rsidR="0078090D" w:rsidRPr="004A4271">
        <w:t xml:space="preserve"> </w:t>
      </w:r>
      <w:r w:rsidR="00C7589B">
        <w:t>support outcomes for children</w:t>
      </w:r>
      <w:r w:rsidR="00C7589B" w:rsidRPr="004A4271">
        <w:t>.</w:t>
      </w:r>
      <w:r w:rsidR="006E5C9A">
        <w:t xml:space="preserve"> </w:t>
      </w:r>
    </w:p>
    <w:p w14:paraId="09DF488A" w14:textId="16BE830C" w:rsidR="003D4168" w:rsidRDefault="00E205CC" w:rsidP="009968D5">
      <w:pPr>
        <w:jc w:val="both"/>
      </w:pPr>
      <w:r>
        <w:t>Alongside this</w:t>
      </w:r>
      <w:r w:rsidR="000E7C42">
        <w:t>, patterns and themes from alerts are tracked by</w:t>
      </w:r>
      <w:r>
        <w:t xml:space="preserve"> t</w:t>
      </w:r>
      <w:r w:rsidR="00C942B2" w:rsidRPr="00C7589B">
        <w:t xml:space="preserve">he </w:t>
      </w:r>
      <w:r w:rsidR="00CA222D" w:rsidRPr="00C7589B">
        <w:t>Service Manager</w:t>
      </w:r>
      <w:r w:rsidR="000E7C42">
        <w:t>s</w:t>
      </w:r>
      <w:r w:rsidR="00C942B2" w:rsidRPr="00C7589B">
        <w:t xml:space="preserve"> </w:t>
      </w:r>
      <w:r w:rsidR="000E7C42">
        <w:t xml:space="preserve">for </w:t>
      </w:r>
      <w:r w:rsidR="00CA222D" w:rsidRPr="00C7589B">
        <w:t>IRO</w:t>
      </w:r>
      <w:r w:rsidR="000E7C42">
        <w:t>s and CP</w:t>
      </w:r>
      <w:r w:rsidR="009968D5">
        <w:t>/LADO</w:t>
      </w:r>
      <w:r w:rsidR="000E7C42">
        <w:t xml:space="preserve">. This information is </w:t>
      </w:r>
      <w:r w:rsidR="00F3626C" w:rsidRPr="00C7589B">
        <w:t>include</w:t>
      </w:r>
      <w:r w:rsidR="000E7C42">
        <w:t>d</w:t>
      </w:r>
      <w:r w:rsidR="00F3626C" w:rsidRPr="00C7589B">
        <w:t xml:space="preserve"> in </w:t>
      </w:r>
      <w:r w:rsidR="000E7C42">
        <w:t>Q</w:t>
      </w:r>
      <w:r w:rsidR="00B5635F" w:rsidRPr="00C7589B">
        <w:t>uarterly and</w:t>
      </w:r>
      <w:r w:rsidR="00F3626C" w:rsidRPr="00C7589B">
        <w:t xml:space="preserve"> </w:t>
      </w:r>
      <w:r w:rsidR="000E7C42">
        <w:t>A</w:t>
      </w:r>
      <w:r w:rsidR="00F3626C" w:rsidRPr="00C7589B">
        <w:t>nnual reports</w:t>
      </w:r>
      <w:r w:rsidR="000E7C42">
        <w:t xml:space="preserve"> to influence practice and outcomes for children. </w:t>
      </w:r>
      <w:r w:rsidR="00B5635F">
        <w:t xml:space="preserve"> </w:t>
      </w:r>
      <w:r w:rsidR="00CA222D">
        <w:t xml:space="preserve"> </w:t>
      </w:r>
    </w:p>
    <w:p w14:paraId="5EB4C624" w14:textId="22D62675" w:rsidR="00674DF6" w:rsidRDefault="00674DF6" w:rsidP="003008D5">
      <w:pPr>
        <w:jc w:val="both"/>
      </w:pPr>
      <w:r w:rsidRPr="009968D5">
        <w:t>This guidance s</w:t>
      </w:r>
      <w:r>
        <w:t>ets out</w:t>
      </w:r>
      <w:r w:rsidRPr="009968D5">
        <w:t xml:space="preserve"> </w:t>
      </w:r>
      <w:r w:rsidR="003008D5">
        <w:t xml:space="preserve">the reasons why alerts might be raised and </w:t>
      </w:r>
      <w:r w:rsidRPr="009968D5">
        <w:t xml:space="preserve">how we will undertake this together. </w:t>
      </w:r>
    </w:p>
    <w:p w14:paraId="5B9B23BE" w14:textId="559B3014" w:rsidR="000626AD" w:rsidRPr="0080325C" w:rsidRDefault="000626AD" w:rsidP="0080325C">
      <w:pPr>
        <w:pStyle w:val="ListParagraph"/>
        <w:numPr>
          <w:ilvl w:val="0"/>
          <w:numId w:val="5"/>
        </w:numPr>
        <w:rPr>
          <w:b/>
          <w:bCs/>
        </w:rPr>
      </w:pPr>
      <w:r w:rsidRPr="0080325C">
        <w:rPr>
          <w:b/>
          <w:bCs/>
        </w:rPr>
        <w:t>Guidance on alerts process</w:t>
      </w:r>
    </w:p>
    <w:tbl>
      <w:tblPr>
        <w:tblStyle w:val="TableGrid"/>
        <w:tblW w:w="9493" w:type="dxa"/>
        <w:tblLook w:val="04A0" w:firstRow="1" w:lastRow="0" w:firstColumn="1" w:lastColumn="0" w:noHBand="0" w:noVBand="1"/>
      </w:tblPr>
      <w:tblGrid>
        <w:gridCol w:w="988"/>
        <w:gridCol w:w="8505"/>
      </w:tblGrid>
      <w:tr w:rsidR="00CE6ED6" w14:paraId="10EC5A91" w14:textId="77777777" w:rsidTr="001C1575">
        <w:tc>
          <w:tcPr>
            <w:tcW w:w="988" w:type="dxa"/>
          </w:tcPr>
          <w:p w14:paraId="7E8CC300" w14:textId="6CD8FA5E" w:rsidR="00CE6ED6" w:rsidRDefault="00CE6ED6" w:rsidP="000626AD">
            <w:pPr>
              <w:rPr>
                <w:b/>
                <w:bCs/>
              </w:rPr>
            </w:pPr>
            <w:r w:rsidRPr="00674DF6">
              <w:rPr>
                <w:b/>
                <w:bCs/>
              </w:rPr>
              <w:t>Step 1:</w:t>
            </w:r>
          </w:p>
        </w:tc>
        <w:tc>
          <w:tcPr>
            <w:tcW w:w="8505" w:type="dxa"/>
          </w:tcPr>
          <w:p w14:paraId="3E8268BA" w14:textId="6C37AB46" w:rsidR="00CE6ED6" w:rsidRDefault="00CE6ED6" w:rsidP="00CE6ED6">
            <w:pPr>
              <w:jc w:val="both"/>
            </w:pPr>
            <w:r>
              <w:t>Where the IRO or CPC identifies an issue with a child achieving best outcomes in a timescale that reflect the child’s needs and prevents drift, the IRO or CPC will</w:t>
            </w:r>
            <w:r w:rsidR="00586A39">
              <w:t>:</w:t>
            </w:r>
          </w:p>
          <w:p w14:paraId="77640C7F" w14:textId="77777777" w:rsidR="00CE6ED6" w:rsidRDefault="00CE6ED6" w:rsidP="00CE6ED6">
            <w:pPr>
              <w:jc w:val="both"/>
            </w:pPr>
          </w:p>
          <w:p w14:paraId="7515A1CC" w14:textId="77777777" w:rsidR="00AD1875" w:rsidRDefault="00CE6ED6" w:rsidP="00CE6ED6">
            <w:pPr>
              <w:pStyle w:val="ListParagraph"/>
              <w:numPr>
                <w:ilvl w:val="0"/>
                <w:numId w:val="4"/>
              </w:numPr>
              <w:jc w:val="both"/>
            </w:pPr>
            <w:r>
              <w:t xml:space="preserve">invite a face-to-face or Teams/telephone conversation with the </w:t>
            </w:r>
            <w:r w:rsidR="00586A39">
              <w:t>S</w:t>
            </w:r>
            <w:r>
              <w:t xml:space="preserve">ocial </w:t>
            </w:r>
            <w:r w:rsidR="00586A39">
              <w:t>W</w:t>
            </w:r>
            <w:r>
              <w:t xml:space="preserve">orker and </w:t>
            </w:r>
            <w:r w:rsidR="00586A39">
              <w:t>T</w:t>
            </w:r>
            <w:r>
              <w:t xml:space="preserve">eam </w:t>
            </w:r>
            <w:r w:rsidR="00586A39">
              <w:t>M</w:t>
            </w:r>
            <w:r>
              <w:t>anager</w:t>
            </w:r>
            <w:r w:rsidR="00586A39">
              <w:t>, and any other professional relevant to achieving specific outcomes</w:t>
            </w:r>
            <w:r>
              <w:t xml:space="preserve">. </w:t>
            </w:r>
          </w:p>
          <w:p w14:paraId="6F31B6EC" w14:textId="550B7B70" w:rsidR="00CE6ED6" w:rsidRPr="001E2C7D" w:rsidRDefault="00AD1875" w:rsidP="00CE6ED6">
            <w:pPr>
              <w:pStyle w:val="ListParagraph"/>
              <w:numPr>
                <w:ilvl w:val="0"/>
                <w:numId w:val="4"/>
              </w:numPr>
              <w:jc w:val="both"/>
            </w:pPr>
            <w:r w:rsidRPr="001E2C7D">
              <w:t>If indicated this meeting can be facilitated by Service Manager or Head of Service. It should be held quickly to find solutions together.  Consultation or input from a Family Therapist may also be considered</w:t>
            </w:r>
            <w:r w:rsidR="008208FB" w:rsidRPr="001E2C7D">
              <w:t xml:space="preserve"> to assist resolution.</w:t>
            </w:r>
            <w:r w:rsidRPr="001E2C7D">
              <w:t xml:space="preserve"> </w:t>
            </w:r>
          </w:p>
          <w:p w14:paraId="6234CCD6" w14:textId="77777777" w:rsidR="00CE6ED6" w:rsidRDefault="00CE6ED6" w:rsidP="00CE6ED6">
            <w:pPr>
              <w:jc w:val="both"/>
            </w:pPr>
          </w:p>
          <w:p w14:paraId="1DE8B412" w14:textId="00EB9B9C" w:rsidR="001C1575" w:rsidRDefault="00CE6ED6" w:rsidP="00CE6ED6">
            <w:pPr>
              <w:jc w:val="both"/>
            </w:pPr>
            <w:r>
              <w:t xml:space="preserve">Where the issue has been quickly and effectively resolved for the child </w:t>
            </w:r>
            <w:r w:rsidRPr="001D5E31">
              <w:rPr>
                <w:b/>
                <w:bCs/>
              </w:rPr>
              <w:t xml:space="preserve">within </w:t>
            </w:r>
            <w:r>
              <w:rPr>
                <w:b/>
                <w:bCs/>
              </w:rPr>
              <w:t>72</w:t>
            </w:r>
            <w:r w:rsidRPr="001D5E31">
              <w:rPr>
                <w:b/>
                <w:bCs/>
              </w:rPr>
              <w:t xml:space="preserve"> hours</w:t>
            </w:r>
            <w:r>
              <w:rPr>
                <w:b/>
                <w:bCs/>
              </w:rPr>
              <w:t>,</w:t>
            </w:r>
            <w:r>
              <w:t xml:space="preserve"> the IRO/CPC will</w:t>
            </w:r>
            <w:r w:rsidR="00586A39">
              <w:t>:</w:t>
            </w:r>
          </w:p>
          <w:p w14:paraId="230449CC" w14:textId="77777777" w:rsidR="00586A39" w:rsidRDefault="00CE6ED6" w:rsidP="00CE6ED6">
            <w:pPr>
              <w:pStyle w:val="ListParagraph"/>
              <w:numPr>
                <w:ilvl w:val="0"/>
                <w:numId w:val="4"/>
              </w:numPr>
              <w:jc w:val="both"/>
            </w:pPr>
            <w:r>
              <w:t xml:space="preserve">record the agreed solution by email so all involved are clear about actions and timescale.  </w:t>
            </w:r>
          </w:p>
          <w:p w14:paraId="7921D46D" w14:textId="69BD6CD0" w:rsidR="00CE6ED6" w:rsidRPr="001C1575" w:rsidRDefault="00CE6ED6" w:rsidP="00CE6ED6">
            <w:pPr>
              <w:pStyle w:val="ListParagraph"/>
              <w:numPr>
                <w:ilvl w:val="0"/>
                <w:numId w:val="4"/>
              </w:numPr>
              <w:jc w:val="both"/>
            </w:pPr>
            <w:r>
              <w:t xml:space="preserve">This email will be uploaded into case notes by the IRO/CPC using </w:t>
            </w:r>
            <w:r w:rsidRPr="001C1575">
              <w:rPr>
                <w:i/>
                <w:iCs/>
              </w:rPr>
              <w:t>“IRO or CPC Oversight”.</w:t>
            </w:r>
          </w:p>
        </w:tc>
      </w:tr>
      <w:tr w:rsidR="00CE6ED6" w14:paraId="0A6CE3CC" w14:textId="77777777" w:rsidTr="001C1575">
        <w:tc>
          <w:tcPr>
            <w:tcW w:w="988" w:type="dxa"/>
          </w:tcPr>
          <w:p w14:paraId="565B2BC4" w14:textId="2C913A25" w:rsidR="00CE6ED6" w:rsidRDefault="00CE6ED6" w:rsidP="000626AD">
            <w:pPr>
              <w:rPr>
                <w:b/>
                <w:bCs/>
              </w:rPr>
            </w:pPr>
            <w:r w:rsidRPr="000626AD">
              <w:rPr>
                <w:b/>
                <w:bCs/>
              </w:rPr>
              <w:t>Step 2:</w:t>
            </w:r>
          </w:p>
        </w:tc>
        <w:tc>
          <w:tcPr>
            <w:tcW w:w="8505" w:type="dxa"/>
          </w:tcPr>
          <w:p w14:paraId="0C095566" w14:textId="77777777" w:rsidR="00586A39" w:rsidRDefault="00CE6ED6" w:rsidP="00586A39">
            <w:pPr>
              <w:spacing w:after="160" w:line="259" w:lineRule="auto"/>
              <w:jc w:val="both"/>
            </w:pPr>
            <w:r>
              <w:t xml:space="preserve">Where the conversation </w:t>
            </w:r>
            <w:r w:rsidRPr="00D0342E">
              <w:rPr>
                <w:b/>
                <w:bCs/>
              </w:rPr>
              <w:t>has not resolved</w:t>
            </w:r>
            <w:r>
              <w:t xml:space="preserve"> the issues for the child </w:t>
            </w:r>
            <w:r w:rsidRPr="000626AD">
              <w:rPr>
                <w:b/>
                <w:bCs/>
              </w:rPr>
              <w:t>within 72 hours</w:t>
            </w:r>
            <w:r>
              <w:t>, the IRO/CPC will</w:t>
            </w:r>
            <w:r w:rsidR="00586A39">
              <w:t>:</w:t>
            </w:r>
          </w:p>
          <w:p w14:paraId="7F92DA7A" w14:textId="6C0FE679" w:rsidR="00CE6ED6" w:rsidRDefault="00CE6ED6" w:rsidP="00586A39">
            <w:pPr>
              <w:pStyle w:val="ListParagraph"/>
              <w:numPr>
                <w:ilvl w:val="0"/>
                <w:numId w:val="4"/>
              </w:numPr>
              <w:jc w:val="both"/>
            </w:pPr>
            <w:r>
              <w:t xml:space="preserve">raise an </w:t>
            </w:r>
            <w:r w:rsidRPr="00586A39">
              <w:rPr>
                <w:b/>
                <w:bCs/>
              </w:rPr>
              <w:t>Informal Alert</w:t>
            </w:r>
            <w:r>
              <w:t xml:space="preserve"> via email </w:t>
            </w:r>
            <w:r w:rsidR="00586A39">
              <w:t xml:space="preserve">and via Mosaic case note alert </w:t>
            </w:r>
            <w:r>
              <w:t xml:space="preserve">to the Team Manager which will be uploaded into case notes by the IRO/CPC using </w:t>
            </w:r>
            <w:r w:rsidRPr="00586A39">
              <w:rPr>
                <w:i/>
                <w:iCs/>
              </w:rPr>
              <w:t>“Informal Safeguarding Alert”</w:t>
            </w:r>
            <w:r>
              <w:t xml:space="preserve">. </w:t>
            </w:r>
          </w:p>
          <w:p w14:paraId="6657542E" w14:textId="77777777" w:rsidR="001C1575" w:rsidRDefault="001C1575" w:rsidP="001C1575">
            <w:pPr>
              <w:pStyle w:val="ListParagraph"/>
              <w:jc w:val="both"/>
            </w:pPr>
          </w:p>
          <w:p w14:paraId="02AAD5CC" w14:textId="4ED32080" w:rsidR="00CE6ED6" w:rsidRPr="00586A39" w:rsidRDefault="00CE6ED6" w:rsidP="00CE6ED6">
            <w:pPr>
              <w:jc w:val="both"/>
            </w:pPr>
            <w:r>
              <w:t xml:space="preserve">This is to be resolved in an </w:t>
            </w:r>
            <w:r w:rsidRPr="001C1575">
              <w:rPr>
                <w:b/>
                <w:bCs/>
              </w:rPr>
              <w:t>additional 48</w:t>
            </w:r>
            <w:r w:rsidR="001C1575">
              <w:rPr>
                <w:b/>
                <w:bCs/>
              </w:rPr>
              <w:t xml:space="preserve"> </w:t>
            </w:r>
            <w:r w:rsidRPr="001C1575">
              <w:rPr>
                <w:b/>
                <w:bCs/>
              </w:rPr>
              <w:t>h</w:t>
            </w:r>
            <w:r w:rsidR="001C1575">
              <w:rPr>
                <w:b/>
                <w:bCs/>
              </w:rPr>
              <w:t>ou</w:t>
            </w:r>
            <w:r w:rsidRPr="001C1575">
              <w:rPr>
                <w:b/>
                <w:bCs/>
              </w:rPr>
              <w:t>rs</w:t>
            </w:r>
            <w:r>
              <w:t xml:space="preserve"> from initial conversation</w:t>
            </w:r>
            <w:r w:rsidR="00586A39">
              <w:t>. This brings the Informal Resolution stage to 5 working days.</w:t>
            </w:r>
          </w:p>
        </w:tc>
      </w:tr>
      <w:tr w:rsidR="00CE6ED6" w14:paraId="47D7BAEF" w14:textId="77777777" w:rsidTr="001C1575">
        <w:tc>
          <w:tcPr>
            <w:tcW w:w="988" w:type="dxa"/>
          </w:tcPr>
          <w:p w14:paraId="0E6BBCBD" w14:textId="2B77FFEB" w:rsidR="00CE6ED6" w:rsidRDefault="00CE6ED6" w:rsidP="000626AD">
            <w:pPr>
              <w:rPr>
                <w:b/>
                <w:bCs/>
              </w:rPr>
            </w:pPr>
            <w:r w:rsidRPr="003702A8">
              <w:rPr>
                <w:rFonts w:cstheme="minorHAnsi"/>
                <w:b/>
                <w:bCs/>
              </w:rPr>
              <w:t>Step 3:</w:t>
            </w:r>
          </w:p>
        </w:tc>
        <w:tc>
          <w:tcPr>
            <w:tcW w:w="8505" w:type="dxa"/>
          </w:tcPr>
          <w:p w14:paraId="14DE2492" w14:textId="50D5FCB2" w:rsidR="001C1575" w:rsidRDefault="00CE6ED6" w:rsidP="003702A8">
            <w:pPr>
              <w:pStyle w:val="dialog-unordered-listitem"/>
              <w:spacing w:before="0" w:beforeAutospacing="0" w:after="0" w:afterAutospacing="0"/>
              <w:jc w:val="both"/>
              <w:textAlignment w:val="baseline"/>
              <w:rPr>
                <w:rFonts w:asciiTheme="minorHAnsi" w:hAnsiTheme="minorHAnsi" w:cstheme="minorHAnsi"/>
                <w:sz w:val="22"/>
                <w:szCs w:val="22"/>
              </w:rPr>
            </w:pPr>
            <w:r w:rsidRPr="003702A8">
              <w:rPr>
                <w:rFonts w:asciiTheme="minorHAnsi" w:hAnsiTheme="minorHAnsi" w:cstheme="minorHAnsi"/>
                <w:sz w:val="22"/>
                <w:szCs w:val="22"/>
              </w:rPr>
              <w:t xml:space="preserve">Where the </w:t>
            </w:r>
            <w:r w:rsidR="001C1575">
              <w:rPr>
                <w:rFonts w:asciiTheme="minorHAnsi" w:hAnsiTheme="minorHAnsi" w:cstheme="minorHAnsi"/>
                <w:sz w:val="22"/>
                <w:szCs w:val="22"/>
              </w:rPr>
              <w:t xml:space="preserve">Initial discussion and </w:t>
            </w:r>
            <w:r w:rsidRPr="003702A8">
              <w:rPr>
                <w:rFonts w:asciiTheme="minorHAnsi" w:hAnsiTheme="minorHAnsi" w:cstheme="minorHAnsi"/>
                <w:sz w:val="22"/>
                <w:szCs w:val="22"/>
              </w:rPr>
              <w:t xml:space="preserve">Informal Alert has not been resolved </w:t>
            </w:r>
            <w:r w:rsidR="001C1575">
              <w:rPr>
                <w:rFonts w:asciiTheme="minorHAnsi" w:hAnsiTheme="minorHAnsi" w:cstheme="minorHAnsi"/>
                <w:sz w:val="22"/>
                <w:szCs w:val="22"/>
              </w:rPr>
              <w:t xml:space="preserve">in the 5 </w:t>
            </w:r>
            <w:r w:rsidR="00586A39">
              <w:rPr>
                <w:rFonts w:asciiTheme="minorHAnsi" w:hAnsiTheme="minorHAnsi" w:cstheme="minorHAnsi"/>
                <w:sz w:val="22"/>
                <w:szCs w:val="22"/>
              </w:rPr>
              <w:t xml:space="preserve">working </w:t>
            </w:r>
            <w:r w:rsidR="001C1575">
              <w:rPr>
                <w:rFonts w:asciiTheme="minorHAnsi" w:hAnsiTheme="minorHAnsi" w:cstheme="minorHAnsi"/>
                <w:sz w:val="22"/>
                <w:szCs w:val="22"/>
              </w:rPr>
              <w:t>days from the start of the process</w:t>
            </w:r>
            <w:r w:rsidRPr="003702A8">
              <w:rPr>
                <w:rFonts w:asciiTheme="minorHAnsi" w:hAnsiTheme="minorHAnsi" w:cstheme="minorHAnsi"/>
                <w:sz w:val="22"/>
                <w:szCs w:val="22"/>
              </w:rPr>
              <w:t>, and where there is insufficient explanation for why more time is required,</w:t>
            </w:r>
            <w:r w:rsidR="001C1575">
              <w:rPr>
                <w:rFonts w:asciiTheme="minorHAnsi" w:hAnsiTheme="minorHAnsi" w:cstheme="minorHAnsi"/>
                <w:sz w:val="22"/>
                <w:szCs w:val="22"/>
              </w:rPr>
              <w:t xml:space="preserve"> the IRO will</w:t>
            </w:r>
            <w:r w:rsidR="00586A39">
              <w:rPr>
                <w:rFonts w:asciiTheme="minorHAnsi" w:hAnsiTheme="minorHAnsi" w:cstheme="minorHAnsi"/>
                <w:sz w:val="22"/>
                <w:szCs w:val="22"/>
              </w:rPr>
              <w:t>:</w:t>
            </w:r>
          </w:p>
          <w:p w14:paraId="3C4C1BCB" w14:textId="77777777" w:rsidR="00586A39" w:rsidRDefault="00586A39" w:rsidP="003702A8">
            <w:pPr>
              <w:pStyle w:val="dialog-unordered-listitem"/>
              <w:spacing w:before="0" w:beforeAutospacing="0" w:after="0" w:afterAutospacing="0"/>
              <w:jc w:val="both"/>
              <w:textAlignment w:val="baseline"/>
              <w:rPr>
                <w:rFonts w:asciiTheme="minorHAnsi" w:hAnsiTheme="minorHAnsi" w:cstheme="minorHAnsi"/>
                <w:sz w:val="22"/>
                <w:szCs w:val="22"/>
              </w:rPr>
            </w:pPr>
          </w:p>
          <w:p w14:paraId="21A23775" w14:textId="2A958980" w:rsidR="00CE6ED6" w:rsidRPr="00A41712" w:rsidRDefault="001C1575" w:rsidP="001C1575">
            <w:pPr>
              <w:pStyle w:val="dialog-unordered-listitem"/>
              <w:numPr>
                <w:ilvl w:val="0"/>
                <w:numId w:val="4"/>
              </w:numPr>
              <w:spacing w:before="0" w:beforeAutospacing="0" w:after="0" w:afterAutospacing="0"/>
              <w:jc w:val="both"/>
              <w:textAlignment w:val="baseline"/>
              <w:rPr>
                <w:rFonts w:asciiTheme="minorHAnsi" w:hAnsiTheme="minorHAnsi" w:cstheme="minorHAnsi"/>
                <w:color w:val="474645"/>
                <w:sz w:val="20"/>
                <w:szCs w:val="20"/>
              </w:rPr>
            </w:pPr>
            <w:r>
              <w:rPr>
                <w:rFonts w:asciiTheme="minorHAnsi" w:hAnsiTheme="minorHAnsi" w:cstheme="minorHAnsi"/>
                <w:sz w:val="22"/>
                <w:szCs w:val="22"/>
              </w:rPr>
              <w:t>raise</w:t>
            </w:r>
            <w:r w:rsidR="00CE6ED6" w:rsidRPr="003702A8">
              <w:rPr>
                <w:rFonts w:asciiTheme="minorHAnsi" w:hAnsiTheme="minorHAnsi" w:cstheme="minorHAnsi"/>
                <w:sz w:val="22"/>
                <w:szCs w:val="22"/>
              </w:rPr>
              <w:t xml:space="preserve"> a </w:t>
            </w:r>
            <w:r w:rsidR="00CE6ED6" w:rsidRPr="003702A8">
              <w:rPr>
                <w:rFonts w:asciiTheme="minorHAnsi" w:hAnsiTheme="minorHAnsi" w:cstheme="minorHAnsi"/>
                <w:b/>
                <w:bCs/>
                <w:sz w:val="22"/>
                <w:szCs w:val="22"/>
              </w:rPr>
              <w:t>Formal Alert</w:t>
            </w:r>
            <w:r w:rsidR="00CE6ED6" w:rsidRPr="003702A8">
              <w:rPr>
                <w:rFonts w:asciiTheme="minorHAnsi" w:hAnsiTheme="minorHAnsi" w:cstheme="minorHAnsi"/>
                <w:sz w:val="22"/>
                <w:szCs w:val="22"/>
              </w:rPr>
              <w:t xml:space="preserve"> will be raised using the Mosaic Episode </w:t>
            </w:r>
            <w:r w:rsidR="00CE6ED6" w:rsidRPr="001C1575">
              <w:rPr>
                <w:rFonts w:asciiTheme="minorHAnsi" w:hAnsiTheme="minorHAnsi" w:cstheme="minorHAnsi"/>
                <w:i/>
                <w:iCs/>
                <w:sz w:val="22"/>
                <w:szCs w:val="22"/>
              </w:rPr>
              <w:t>“</w:t>
            </w:r>
            <w:hyperlink r:id="rId11" w:tooltip="New Dispute Resolution (Safeguarding) Alert" w:history="1">
              <w:r w:rsidR="00CE6ED6" w:rsidRPr="001C1575">
                <w:rPr>
                  <w:rStyle w:val="Hyperlink"/>
                  <w:rFonts w:asciiTheme="minorHAnsi" w:hAnsiTheme="minorHAnsi" w:cstheme="minorHAnsi"/>
                  <w:i/>
                  <w:iCs/>
                  <w:color w:val="222222"/>
                  <w:sz w:val="22"/>
                  <w:szCs w:val="22"/>
                  <w:bdr w:val="none" w:sz="0" w:space="0" w:color="auto" w:frame="1"/>
                </w:rPr>
                <w:t>Dispute Resolution (Safeguarding) Alert</w:t>
              </w:r>
            </w:hyperlink>
            <w:r w:rsidRPr="001C1575">
              <w:rPr>
                <w:rFonts w:asciiTheme="minorHAnsi" w:hAnsiTheme="minorHAnsi" w:cstheme="minorHAnsi"/>
                <w:i/>
                <w:iCs/>
                <w:color w:val="474645"/>
                <w:sz w:val="22"/>
                <w:szCs w:val="22"/>
              </w:rPr>
              <w:t>”</w:t>
            </w:r>
          </w:p>
          <w:p w14:paraId="45C8B284" w14:textId="77777777" w:rsidR="00A41712" w:rsidRPr="003702A8" w:rsidRDefault="00A41712" w:rsidP="00A41712">
            <w:pPr>
              <w:pStyle w:val="dialog-unordered-listitem"/>
              <w:spacing w:before="0" w:beforeAutospacing="0" w:after="0" w:afterAutospacing="0"/>
              <w:ind w:left="720"/>
              <w:jc w:val="both"/>
              <w:textAlignment w:val="baseline"/>
              <w:rPr>
                <w:rFonts w:asciiTheme="minorHAnsi" w:hAnsiTheme="minorHAnsi" w:cstheme="minorHAnsi"/>
                <w:color w:val="474645"/>
                <w:sz w:val="20"/>
                <w:szCs w:val="20"/>
              </w:rPr>
            </w:pPr>
          </w:p>
          <w:p w14:paraId="563457E8" w14:textId="2DAF862F" w:rsidR="001C1575" w:rsidRPr="00A41712" w:rsidRDefault="001C1575" w:rsidP="000626AD">
            <w:pPr>
              <w:rPr>
                <w:b/>
                <w:bCs/>
              </w:rPr>
            </w:pPr>
            <w:r w:rsidRPr="00A41712">
              <w:rPr>
                <w:b/>
                <w:bCs/>
              </w:rPr>
              <w:t>The Formal Alert is to be resolved within 5 working days.</w:t>
            </w:r>
          </w:p>
        </w:tc>
      </w:tr>
    </w:tbl>
    <w:p w14:paraId="7EDD890B" w14:textId="77777777" w:rsidR="00A41712" w:rsidRDefault="00A41712" w:rsidP="000626AD">
      <w:pPr>
        <w:jc w:val="both"/>
        <w:rPr>
          <w:b/>
          <w:bCs/>
        </w:rPr>
      </w:pPr>
    </w:p>
    <w:p w14:paraId="57683943" w14:textId="321A1E7C" w:rsidR="00586A39" w:rsidRPr="0080325C" w:rsidRDefault="002E60D9" w:rsidP="0080325C">
      <w:pPr>
        <w:pStyle w:val="ListParagraph"/>
        <w:numPr>
          <w:ilvl w:val="0"/>
          <w:numId w:val="5"/>
        </w:numPr>
        <w:jc w:val="both"/>
        <w:rPr>
          <w:b/>
          <w:bCs/>
        </w:rPr>
      </w:pPr>
      <w:r w:rsidRPr="0080325C">
        <w:rPr>
          <w:b/>
          <w:bCs/>
        </w:rPr>
        <w:t xml:space="preserve">Reasons for raising alerts on behalf of </w:t>
      </w:r>
      <w:r w:rsidR="00FD4E7C" w:rsidRPr="0080325C">
        <w:rPr>
          <w:b/>
          <w:bCs/>
        </w:rPr>
        <w:t xml:space="preserve">children subject to </w:t>
      </w:r>
      <w:r w:rsidRPr="0080325C">
        <w:rPr>
          <w:b/>
          <w:bCs/>
        </w:rPr>
        <w:t>CP and CLA plans</w:t>
      </w:r>
    </w:p>
    <w:tbl>
      <w:tblPr>
        <w:tblStyle w:val="TableGrid"/>
        <w:tblW w:w="0" w:type="auto"/>
        <w:tblLook w:val="04A0" w:firstRow="1" w:lastRow="0" w:firstColumn="1" w:lastColumn="0" w:noHBand="0" w:noVBand="1"/>
      </w:tblPr>
      <w:tblGrid>
        <w:gridCol w:w="6091"/>
        <w:gridCol w:w="1559"/>
        <w:gridCol w:w="1366"/>
      </w:tblGrid>
      <w:tr w:rsidR="00317D40" w14:paraId="3A9CD6FD" w14:textId="77777777" w:rsidTr="0080325C">
        <w:trPr>
          <w:trHeight w:val="925"/>
        </w:trPr>
        <w:tc>
          <w:tcPr>
            <w:tcW w:w="6091" w:type="dxa"/>
          </w:tcPr>
          <w:p w14:paraId="2D9EFF87" w14:textId="77777777" w:rsidR="00A41712" w:rsidRDefault="00A41712" w:rsidP="002E60D9">
            <w:pPr>
              <w:jc w:val="both"/>
              <w:rPr>
                <w:b/>
                <w:bCs/>
              </w:rPr>
            </w:pPr>
            <w:r>
              <w:rPr>
                <w:b/>
                <w:bCs/>
              </w:rPr>
              <w:t>Reason</w:t>
            </w:r>
          </w:p>
          <w:p w14:paraId="61C2A052" w14:textId="4A1F4B77" w:rsidR="00A41712" w:rsidRDefault="00A41712" w:rsidP="002E60D9">
            <w:pPr>
              <w:jc w:val="both"/>
              <w:rPr>
                <w:b/>
                <w:bCs/>
              </w:rPr>
            </w:pPr>
          </w:p>
        </w:tc>
        <w:tc>
          <w:tcPr>
            <w:tcW w:w="1559" w:type="dxa"/>
          </w:tcPr>
          <w:p w14:paraId="5481EE5E" w14:textId="77777777" w:rsidR="00A41712" w:rsidRDefault="00A41712" w:rsidP="002E60D9">
            <w:pPr>
              <w:jc w:val="both"/>
              <w:rPr>
                <w:b/>
                <w:bCs/>
              </w:rPr>
            </w:pPr>
            <w:r>
              <w:rPr>
                <w:b/>
                <w:bCs/>
              </w:rPr>
              <w:t>C</w:t>
            </w:r>
            <w:r w:rsidRPr="003008D5">
              <w:rPr>
                <w:b/>
                <w:bCs/>
              </w:rPr>
              <w:t xml:space="preserve">hildren subject to CP plans   </w:t>
            </w:r>
          </w:p>
          <w:p w14:paraId="7FC580A6" w14:textId="7C2FE8D3" w:rsidR="00A41712" w:rsidRDefault="00A41712" w:rsidP="002E60D9">
            <w:pPr>
              <w:jc w:val="both"/>
              <w:rPr>
                <w:b/>
                <w:bCs/>
              </w:rPr>
            </w:pPr>
            <w:r w:rsidRPr="003008D5">
              <w:rPr>
                <w:b/>
                <w:bCs/>
              </w:rPr>
              <w:t xml:space="preserve"> </w:t>
            </w:r>
          </w:p>
        </w:tc>
        <w:tc>
          <w:tcPr>
            <w:tcW w:w="1366" w:type="dxa"/>
          </w:tcPr>
          <w:p w14:paraId="6945CF5F" w14:textId="47BDBC14" w:rsidR="00A41712" w:rsidRDefault="00A41712" w:rsidP="002E60D9">
            <w:pPr>
              <w:jc w:val="both"/>
              <w:rPr>
                <w:b/>
                <w:bCs/>
              </w:rPr>
            </w:pPr>
            <w:r>
              <w:rPr>
                <w:b/>
                <w:bCs/>
              </w:rPr>
              <w:t>C</w:t>
            </w:r>
            <w:r w:rsidRPr="000626AD">
              <w:rPr>
                <w:b/>
                <w:bCs/>
              </w:rPr>
              <w:t xml:space="preserve">hildren </w:t>
            </w:r>
            <w:r w:rsidRPr="005356F9">
              <w:rPr>
                <w:b/>
                <w:bCs/>
              </w:rPr>
              <w:t>child in our care</w:t>
            </w:r>
          </w:p>
          <w:p w14:paraId="56E56D3E" w14:textId="77777777" w:rsidR="00A41712" w:rsidRDefault="00A41712" w:rsidP="000626AD">
            <w:pPr>
              <w:jc w:val="both"/>
              <w:rPr>
                <w:b/>
                <w:bCs/>
              </w:rPr>
            </w:pPr>
          </w:p>
        </w:tc>
      </w:tr>
      <w:tr w:rsidR="0053105F" w14:paraId="57801FF8" w14:textId="77777777" w:rsidTr="00317D40">
        <w:trPr>
          <w:trHeight w:val="677"/>
        </w:trPr>
        <w:tc>
          <w:tcPr>
            <w:tcW w:w="6091" w:type="dxa"/>
          </w:tcPr>
          <w:p w14:paraId="36CDECE5" w14:textId="579F86C8" w:rsidR="0053105F" w:rsidRPr="0053105F" w:rsidRDefault="0053105F" w:rsidP="002E60D9">
            <w:pPr>
              <w:jc w:val="both"/>
            </w:pPr>
            <w:r>
              <w:t>There are concerns about the safety of a child and planning that does not address needs and safety of the child sufficiently</w:t>
            </w:r>
            <w:r w:rsidR="004A4112">
              <w:t>. This includes the absence of Strategy Discussions and S47 enquiries.</w:t>
            </w:r>
          </w:p>
        </w:tc>
        <w:tc>
          <w:tcPr>
            <w:tcW w:w="1559" w:type="dxa"/>
          </w:tcPr>
          <w:p w14:paraId="1505E888" w14:textId="1ABF76F5" w:rsidR="0053105F" w:rsidRDefault="00932BB9" w:rsidP="002E60D9">
            <w:pPr>
              <w:jc w:val="both"/>
              <w:rPr>
                <w:b/>
                <w:bCs/>
              </w:rPr>
            </w:pPr>
            <w:r>
              <w:rPr>
                <w:b/>
                <w:bCs/>
              </w:rPr>
              <w:t>x</w:t>
            </w:r>
          </w:p>
        </w:tc>
        <w:tc>
          <w:tcPr>
            <w:tcW w:w="1366" w:type="dxa"/>
          </w:tcPr>
          <w:p w14:paraId="1EB66CFE" w14:textId="3E434D93" w:rsidR="0053105F" w:rsidRDefault="00932BB9" w:rsidP="002E60D9">
            <w:pPr>
              <w:jc w:val="both"/>
              <w:rPr>
                <w:b/>
                <w:bCs/>
              </w:rPr>
            </w:pPr>
            <w:r>
              <w:rPr>
                <w:b/>
                <w:bCs/>
              </w:rPr>
              <w:t>x</w:t>
            </w:r>
          </w:p>
        </w:tc>
      </w:tr>
      <w:tr w:rsidR="0053105F" w14:paraId="2A8FCFE0" w14:textId="77777777" w:rsidTr="00317D40">
        <w:trPr>
          <w:trHeight w:val="677"/>
        </w:trPr>
        <w:tc>
          <w:tcPr>
            <w:tcW w:w="6091" w:type="dxa"/>
          </w:tcPr>
          <w:p w14:paraId="1291C41B" w14:textId="54BC3EEF" w:rsidR="0053105F" w:rsidRPr="0053105F" w:rsidRDefault="0053105F" w:rsidP="002E60D9">
            <w:pPr>
              <w:jc w:val="both"/>
            </w:pPr>
            <w:r>
              <w:t>The child is not being seen within timescales and is not being seen alone regularly.</w:t>
            </w:r>
          </w:p>
        </w:tc>
        <w:tc>
          <w:tcPr>
            <w:tcW w:w="1559" w:type="dxa"/>
          </w:tcPr>
          <w:p w14:paraId="7D1CF0CF" w14:textId="3703DF90" w:rsidR="0053105F" w:rsidRDefault="00932BB9" w:rsidP="002E60D9">
            <w:pPr>
              <w:jc w:val="both"/>
              <w:rPr>
                <w:b/>
                <w:bCs/>
              </w:rPr>
            </w:pPr>
            <w:r>
              <w:rPr>
                <w:b/>
                <w:bCs/>
              </w:rPr>
              <w:t>x</w:t>
            </w:r>
          </w:p>
        </w:tc>
        <w:tc>
          <w:tcPr>
            <w:tcW w:w="1366" w:type="dxa"/>
          </w:tcPr>
          <w:p w14:paraId="5A4F2D75" w14:textId="2AA46504" w:rsidR="0053105F" w:rsidRDefault="00932BB9" w:rsidP="002E60D9">
            <w:pPr>
              <w:jc w:val="both"/>
              <w:rPr>
                <w:b/>
                <w:bCs/>
              </w:rPr>
            </w:pPr>
            <w:r>
              <w:rPr>
                <w:b/>
                <w:bCs/>
              </w:rPr>
              <w:t>x</w:t>
            </w:r>
          </w:p>
        </w:tc>
      </w:tr>
      <w:tr w:rsidR="0053105F" w14:paraId="036B0BD2" w14:textId="77777777" w:rsidTr="00317D40">
        <w:trPr>
          <w:trHeight w:val="677"/>
        </w:trPr>
        <w:tc>
          <w:tcPr>
            <w:tcW w:w="6091" w:type="dxa"/>
          </w:tcPr>
          <w:p w14:paraId="306D6813" w14:textId="474A0867" w:rsidR="0053105F" w:rsidRPr="0053105F" w:rsidRDefault="00AD720F" w:rsidP="002E60D9">
            <w:pPr>
              <w:jc w:val="both"/>
            </w:pPr>
            <w:r>
              <w:t xml:space="preserve">Updated </w:t>
            </w:r>
            <w:r w:rsidR="0053105F">
              <w:t>Assessment is not available</w:t>
            </w:r>
            <w:r>
              <w:t xml:space="preserve"> prior to </w:t>
            </w:r>
            <w:r w:rsidR="000E3045">
              <w:t>review</w:t>
            </w:r>
            <w:r w:rsidR="0053105F">
              <w:t xml:space="preserve"> </w:t>
            </w:r>
            <w:r w:rsidR="0053105F" w:rsidRPr="003008D5">
              <w:t>to</w:t>
            </w:r>
            <w:r w:rsidR="00DA3FA3">
              <w:t xml:space="preserve"> provide narrative of child’s needs and to</w:t>
            </w:r>
            <w:r w:rsidR="0053105F" w:rsidRPr="003008D5">
              <w:t xml:space="preserve"> support decision making for children and their families.</w:t>
            </w:r>
          </w:p>
        </w:tc>
        <w:tc>
          <w:tcPr>
            <w:tcW w:w="1559" w:type="dxa"/>
          </w:tcPr>
          <w:p w14:paraId="703E5F8A" w14:textId="7FC40BC9" w:rsidR="0053105F" w:rsidRDefault="00932BB9" w:rsidP="002E60D9">
            <w:pPr>
              <w:jc w:val="both"/>
              <w:rPr>
                <w:b/>
                <w:bCs/>
              </w:rPr>
            </w:pPr>
            <w:r>
              <w:rPr>
                <w:b/>
                <w:bCs/>
              </w:rPr>
              <w:t>x</w:t>
            </w:r>
          </w:p>
        </w:tc>
        <w:tc>
          <w:tcPr>
            <w:tcW w:w="1366" w:type="dxa"/>
          </w:tcPr>
          <w:p w14:paraId="23E42BA5" w14:textId="1F052D36" w:rsidR="0053105F" w:rsidRDefault="00932BB9" w:rsidP="002E60D9">
            <w:pPr>
              <w:jc w:val="both"/>
              <w:rPr>
                <w:b/>
                <w:bCs/>
              </w:rPr>
            </w:pPr>
            <w:r>
              <w:rPr>
                <w:b/>
                <w:bCs/>
              </w:rPr>
              <w:t>x</w:t>
            </w:r>
          </w:p>
        </w:tc>
      </w:tr>
      <w:tr w:rsidR="0053105F" w14:paraId="409B1426" w14:textId="77777777" w:rsidTr="00317D40">
        <w:trPr>
          <w:trHeight w:val="677"/>
        </w:trPr>
        <w:tc>
          <w:tcPr>
            <w:tcW w:w="6091" w:type="dxa"/>
          </w:tcPr>
          <w:p w14:paraId="210B6E0F" w14:textId="469DA0D8" w:rsidR="0053105F" w:rsidRPr="0053105F" w:rsidRDefault="000E3045" w:rsidP="002E60D9">
            <w:pPr>
              <w:jc w:val="both"/>
            </w:pPr>
            <w:r>
              <w:t xml:space="preserve">IRO/CPC has not </w:t>
            </w:r>
            <w:proofErr w:type="gramStart"/>
            <w:r>
              <w:t>being</w:t>
            </w:r>
            <w:proofErr w:type="gramEnd"/>
            <w:r>
              <w:t xml:space="preserve"> advised / consulted on key changes in child’s circumstances</w:t>
            </w:r>
            <w:r w:rsidR="005F16AB">
              <w:t xml:space="preserve"> which </w:t>
            </w:r>
            <w:r w:rsidR="00932BB9">
              <w:t>influences</w:t>
            </w:r>
            <w:r w:rsidR="005F16AB">
              <w:t xml:space="preserve"> their </w:t>
            </w:r>
            <w:r w:rsidR="00932BB9">
              <w:t>CP/care plan</w:t>
            </w:r>
            <w:r w:rsidR="00DA3FA3">
              <w:t xml:space="preserve"> e</w:t>
            </w:r>
            <w:r w:rsidR="00C56736">
              <w:t>.g., strategy discussions, placement changes, missing from home or care.</w:t>
            </w:r>
          </w:p>
        </w:tc>
        <w:tc>
          <w:tcPr>
            <w:tcW w:w="1559" w:type="dxa"/>
          </w:tcPr>
          <w:p w14:paraId="4E89F104" w14:textId="24A42897" w:rsidR="0053105F" w:rsidRDefault="00932BB9" w:rsidP="002E60D9">
            <w:pPr>
              <w:jc w:val="both"/>
              <w:rPr>
                <w:b/>
                <w:bCs/>
              </w:rPr>
            </w:pPr>
            <w:r>
              <w:rPr>
                <w:b/>
                <w:bCs/>
              </w:rPr>
              <w:t>x</w:t>
            </w:r>
          </w:p>
        </w:tc>
        <w:tc>
          <w:tcPr>
            <w:tcW w:w="1366" w:type="dxa"/>
          </w:tcPr>
          <w:p w14:paraId="1CF00FCE" w14:textId="48B5F6A1" w:rsidR="0053105F" w:rsidRDefault="00932BB9" w:rsidP="002E60D9">
            <w:pPr>
              <w:jc w:val="both"/>
              <w:rPr>
                <w:b/>
                <w:bCs/>
              </w:rPr>
            </w:pPr>
            <w:r>
              <w:rPr>
                <w:b/>
                <w:bCs/>
              </w:rPr>
              <w:t>x</w:t>
            </w:r>
          </w:p>
        </w:tc>
      </w:tr>
      <w:tr w:rsidR="000E3045" w14:paraId="577DD39A" w14:textId="77777777" w:rsidTr="00317D40">
        <w:trPr>
          <w:trHeight w:val="677"/>
        </w:trPr>
        <w:tc>
          <w:tcPr>
            <w:tcW w:w="6091" w:type="dxa"/>
          </w:tcPr>
          <w:p w14:paraId="5D2B02D4" w14:textId="57620500" w:rsidR="000E3045" w:rsidRDefault="000E3045" w:rsidP="000E3045">
            <w:pPr>
              <w:jc w:val="both"/>
            </w:pPr>
            <w:r>
              <w:t xml:space="preserve">Support and services identified and agreed </w:t>
            </w:r>
            <w:r w:rsidR="00932BB9">
              <w:t xml:space="preserve">at </w:t>
            </w:r>
            <w:r>
              <w:t xml:space="preserve">review for the child, </w:t>
            </w:r>
            <w:r w:rsidR="00C56736">
              <w:t>i.e.,</w:t>
            </w:r>
            <w:r>
              <w:t xml:space="preserve"> educational support needs, CAMHS support etc, have not been provided or are delayed without a clear explanation. </w:t>
            </w:r>
          </w:p>
        </w:tc>
        <w:tc>
          <w:tcPr>
            <w:tcW w:w="1559" w:type="dxa"/>
          </w:tcPr>
          <w:p w14:paraId="56185901" w14:textId="07C36D29" w:rsidR="000E3045" w:rsidRDefault="00932BB9" w:rsidP="002E60D9">
            <w:pPr>
              <w:jc w:val="both"/>
              <w:rPr>
                <w:b/>
                <w:bCs/>
              </w:rPr>
            </w:pPr>
            <w:r>
              <w:rPr>
                <w:b/>
                <w:bCs/>
              </w:rPr>
              <w:t>x</w:t>
            </w:r>
          </w:p>
        </w:tc>
        <w:tc>
          <w:tcPr>
            <w:tcW w:w="1366" w:type="dxa"/>
          </w:tcPr>
          <w:p w14:paraId="7F1B5AF8" w14:textId="6F3F7C3B" w:rsidR="000E3045" w:rsidRDefault="00932BB9" w:rsidP="002E60D9">
            <w:pPr>
              <w:jc w:val="both"/>
              <w:rPr>
                <w:b/>
                <w:bCs/>
              </w:rPr>
            </w:pPr>
            <w:r>
              <w:rPr>
                <w:b/>
                <w:bCs/>
              </w:rPr>
              <w:t>x</w:t>
            </w:r>
          </w:p>
        </w:tc>
      </w:tr>
      <w:tr w:rsidR="0053105F" w14:paraId="037A34F4" w14:textId="77777777" w:rsidTr="00317D40">
        <w:trPr>
          <w:trHeight w:val="677"/>
        </w:trPr>
        <w:tc>
          <w:tcPr>
            <w:tcW w:w="6091" w:type="dxa"/>
          </w:tcPr>
          <w:p w14:paraId="1A14EDC3" w14:textId="67FE9743" w:rsidR="0053105F" w:rsidRPr="008D5C67" w:rsidRDefault="000E3045" w:rsidP="000E3045">
            <w:pPr>
              <w:jc w:val="both"/>
            </w:pPr>
            <w:r>
              <w:t>Contextual v</w:t>
            </w:r>
            <w:r w:rsidRPr="003008D5">
              <w:t>ulnerability e.g., exploitation, county lines, radicalisation, gangs,</w:t>
            </w:r>
            <w:r>
              <w:t xml:space="preserve"> missing from home have not been addressed and resolved satisfactorily, and are adversely impacting on the child’s/YPs welfare</w:t>
            </w:r>
            <w:r w:rsidR="008D5C67">
              <w:t>.</w:t>
            </w:r>
          </w:p>
        </w:tc>
        <w:tc>
          <w:tcPr>
            <w:tcW w:w="1559" w:type="dxa"/>
          </w:tcPr>
          <w:p w14:paraId="2FF2198C" w14:textId="718DE86E" w:rsidR="0053105F" w:rsidRDefault="00932BB9" w:rsidP="002E60D9">
            <w:pPr>
              <w:jc w:val="both"/>
              <w:rPr>
                <w:b/>
                <w:bCs/>
              </w:rPr>
            </w:pPr>
            <w:r>
              <w:rPr>
                <w:b/>
                <w:bCs/>
              </w:rPr>
              <w:t>x</w:t>
            </w:r>
          </w:p>
        </w:tc>
        <w:tc>
          <w:tcPr>
            <w:tcW w:w="1366" w:type="dxa"/>
          </w:tcPr>
          <w:p w14:paraId="75CAE32D" w14:textId="6C1AADAF" w:rsidR="0053105F" w:rsidRDefault="00932BB9" w:rsidP="002E60D9">
            <w:pPr>
              <w:jc w:val="both"/>
              <w:rPr>
                <w:b/>
                <w:bCs/>
              </w:rPr>
            </w:pPr>
            <w:r>
              <w:rPr>
                <w:b/>
                <w:bCs/>
              </w:rPr>
              <w:t>x</w:t>
            </w:r>
          </w:p>
        </w:tc>
      </w:tr>
      <w:tr w:rsidR="0053105F" w14:paraId="04C5A387" w14:textId="77777777" w:rsidTr="00317D40">
        <w:trPr>
          <w:trHeight w:val="677"/>
        </w:trPr>
        <w:tc>
          <w:tcPr>
            <w:tcW w:w="6091" w:type="dxa"/>
          </w:tcPr>
          <w:p w14:paraId="5F690230" w14:textId="604CC0CA" w:rsidR="0053105F" w:rsidRPr="008D5C67" w:rsidRDefault="007038DE" w:rsidP="00AD720F">
            <w:pPr>
              <w:jc w:val="both"/>
            </w:pPr>
            <w:r w:rsidRPr="003008D5">
              <w:t xml:space="preserve">A </w:t>
            </w:r>
            <w:r>
              <w:t>Review</w:t>
            </w:r>
            <w:r w:rsidRPr="003008D5">
              <w:t xml:space="preserve"> is late or cancelled</w:t>
            </w:r>
            <w:r>
              <w:t xml:space="preserve"> (without agreement </w:t>
            </w:r>
            <w:r w:rsidR="008D5C67">
              <w:t>from IRO/CPC)</w:t>
            </w:r>
            <w:r w:rsidRPr="003008D5">
              <w:t xml:space="preserve"> or not correctly organised</w:t>
            </w:r>
            <w:r w:rsidR="008D5C67">
              <w:t>.</w:t>
            </w:r>
          </w:p>
        </w:tc>
        <w:tc>
          <w:tcPr>
            <w:tcW w:w="1559" w:type="dxa"/>
          </w:tcPr>
          <w:p w14:paraId="5A85DD54" w14:textId="5685F7CD" w:rsidR="0053105F" w:rsidRDefault="00932BB9" w:rsidP="002E60D9">
            <w:pPr>
              <w:jc w:val="both"/>
              <w:rPr>
                <w:b/>
                <w:bCs/>
              </w:rPr>
            </w:pPr>
            <w:r>
              <w:rPr>
                <w:b/>
                <w:bCs/>
              </w:rPr>
              <w:t>x</w:t>
            </w:r>
          </w:p>
        </w:tc>
        <w:tc>
          <w:tcPr>
            <w:tcW w:w="1366" w:type="dxa"/>
          </w:tcPr>
          <w:p w14:paraId="5C88BCF3" w14:textId="6C805C98" w:rsidR="0053105F" w:rsidRDefault="00932BB9" w:rsidP="002E60D9">
            <w:pPr>
              <w:jc w:val="both"/>
              <w:rPr>
                <w:b/>
                <w:bCs/>
              </w:rPr>
            </w:pPr>
            <w:r>
              <w:rPr>
                <w:b/>
                <w:bCs/>
              </w:rPr>
              <w:t>x</w:t>
            </w:r>
          </w:p>
        </w:tc>
      </w:tr>
      <w:tr w:rsidR="0053105F" w14:paraId="2D382F2B" w14:textId="77777777" w:rsidTr="00317D40">
        <w:trPr>
          <w:trHeight w:val="677"/>
        </w:trPr>
        <w:tc>
          <w:tcPr>
            <w:tcW w:w="6091" w:type="dxa"/>
          </w:tcPr>
          <w:p w14:paraId="471370F9" w14:textId="6732DD2B" w:rsidR="0053105F" w:rsidRPr="00435B4C" w:rsidRDefault="00932BB9" w:rsidP="000E3045">
            <w:pPr>
              <w:jc w:val="both"/>
            </w:pPr>
            <w:r>
              <w:t>The Core Group is not meeting regularly and there is drift to supporting outcomes identified in the CP plan.</w:t>
            </w:r>
          </w:p>
        </w:tc>
        <w:tc>
          <w:tcPr>
            <w:tcW w:w="1559" w:type="dxa"/>
          </w:tcPr>
          <w:p w14:paraId="4FE1CEE8" w14:textId="35D44469" w:rsidR="0053105F" w:rsidRDefault="00932BB9" w:rsidP="002E60D9">
            <w:pPr>
              <w:jc w:val="both"/>
              <w:rPr>
                <w:b/>
                <w:bCs/>
              </w:rPr>
            </w:pPr>
            <w:r>
              <w:rPr>
                <w:b/>
                <w:bCs/>
              </w:rPr>
              <w:t>x</w:t>
            </w:r>
          </w:p>
        </w:tc>
        <w:tc>
          <w:tcPr>
            <w:tcW w:w="1366" w:type="dxa"/>
          </w:tcPr>
          <w:p w14:paraId="24CB7AF1" w14:textId="77777777" w:rsidR="0053105F" w:rsidRDefault="0053105F" w:rsidP="002E60D9">
            <w:pPr>
              <w:jc w:val="both"/>
              <w:rPr>
                <w:b/>
                <w:bCs/>
              </w:rPr>
            </w:pPr>
          </w:p>
        </w:tc>
      </w:tr>
      <w:tr w:rsidR="00932BB9" w14:paraId="77FC0BBD" w14:textId="77777777" w:rsidTr="00317D40">
        <w:trPr>
          <w:trHeight w:val="677"/>
        </w:trPr>
        <w:tc>
          <w:tcPr>
            <w:tcW w:w="6091" w:type="dxa"/>
          </w:tcPr>
          <w:p w14:paraId="4E589A80" w14:textId="17ACF4DA" w:rsidR="00932BB9" w:rsidRDefault="00932BB9" w:rsidP="00932BB9">
            <w:pPr>
              <w:jc w:val="both"/>
            </w:pPr>
            <w:r>
              <w:t xml:space="preserve">Parents and young people have not read or had sufficient time to contribute and comment on the assessment prior to the conference.  </w:t>
            </w:r>
          </w:p>
        </w:tc>
        <w:tc>
          <w:tcPr>
            <w:tcW w:w="1559" w:type="dxa"/>
          </w:tcPr>
          <w:p w14:paraId="382BF10C" w14:textId="33934D73" w:rsidR="00932BB9" w:rsidRDefault="00932BB9" w:rsidP="002E60D9">
            <w:pPr>
              <w:jc w:val="both"/>
              <w:rPr>
                <w:b/>
                <w:bCs/>
              </w:rPr>
            </w:pPr>
            <w:r>
              <w:rPr>
                <w:b/>
                <w:bCs/>
              </w:rPr>
              <w:t>x</w:t>
            </w:r>
          </w:p>
        </w:tc>
        <w:tc>
          <w:tcPr>
            <w:tcW w:w="1366" w:type="dxa"/>
          </w:tcPr>
          <w:p w14:paraId="08CB3D51" w14:textId="77777777" w:rsidR="00932BB9" w:rsidRDefault="00932BB9" w:rsidP="002E60D9">
            <w:pPr>
              <w:jc w:val="both"/>
              <w:rPr>
                <w:b/>
                <w:bCs/>
              </w:rPr>
            </w:pPr>
          </w:p>
        </w:tc>
      </w:tr>
      <w:tr w:rsidR="0053105F" w14:paraId="34CF68D1" w14:textId="77777777" w:rsidTr="00317D40">
        <w:trPr>
          <w:trHeight w:val="677"/>
        </w:trPr>
        <w:tc>
          <w:tcPr>
            <w:tcW w:w="6091" w:type="dxa"/>
          </w:tcPr>
          <w:p w14:paraId="42FE6579" w14:textId="0E543CA7" w:rsidR="0053105F" w:rsidRPr="00435B4C" w:rsidRDefault="00932BB9" w:rsidP="00932BB9">
            <w:pPr>
              <w:jc w:val="both"/>
            </w:pPr>
            <w:r>
              <w:t>Children and Young persons on Child Protection Plans have not been consulted or invited to their Child Protection R</w:t>
            </w:r>
            <w:r w:rsidRPr="00A50941">
              <w:t>eview and, where appropriate, have not been offered support or advocacy to attend.</w:t>
            </w:r>
          </w:p>
        </w:tc>
        <w:tc>
          <w:tcPr>
            <w:tcW w:w="1559" w:type="dxa"/>
          </w:tcPr>
          <w:p w14:paraId="3487B111" w14:textId="350EFAFC" w:rsidR="0053105F" w:rsidRDefault="00932BB9" w:rsidP="002E60D9">
            <w:pPr>
              <w:jc w:val="both"/>
              <w:rPr>
                <w:b/>
                <w:bCs/>
              </w:rPr>
            </w:pPr>
            <w:r>
              <w:rPr>
                <w:b/>
                <w:bCs/>
              </w:rPr>
              <w:t>x</w:t>
            </w:r>
          </w:p>
        </w:tc>
        <w:tc>
          <w:tcPr>
            <w:tcW w:w="1366" w:type="dxa"/>
          </w:tcPr>
          <w:p w14:paraId="54A0B869" w14:textId="77777777" w:rsidR="0053105F" w:rsidRDefault="0053105F" w:rsidP="002E60D9">
            <w:pPr>
              <w:jc w:val="both"/>
              <w:rPr>
                <w:b/>
                <w:bCs/>
              </w:rPr>
            </w:pPr>
          </w:p>
        </w:tc>
      </w:tr>
      <w:tr w:rsidR="00932BB9" w14:paraId="6C65A256" w14:textId="77777777" w:rsidTr="00317D40">
        <w:trPr>
          <w:trHeight w:val="677"/>
        </w:trPr>
        <w:tc>
          <w:tcPr>
            <w:tcW w:w="6091" w:type="dxa"/>
          </w:tcPr>
          <w:p w14:paraId="74A42086" w14:textId="221FFEFF" w:rsidR="00932BB9" w:rsidRPr="00435B4C" w:rsidRDefault="00932BB9" w:rsidP="006C5F3C">
            <w:pPr>
              <w:jc w:val="both"/>
            </w:pPr>
            <w:r>
              <w:t>There is no visibly recorded Care Plan incl</w:t>
            </w:r>
            <w:r w:rsidR="007038EB">
              <w:t>uding</w:t>
            </w:r>
            <w:r>
              <w:t xml:space="preserve"> </w:t>
            </w:r>
            <w:r w:rsidR="008B2130">
              <w:t xml:space="preserve">absence of </w:t>
            </w:r>
            <w:r w:rsidR="000F0AB9">
              <w:t>the Permanence</w:t>
            </w:r>
            <w:r>
              <w:t xml:space="preserve"> Plan</w:t>
            </w:r>
            <w:r w:rsidR="008B2130">
              <w:t xml:space="preserve"> (at 2</w:t>
            </w:r>
            <w:r w:rsidR="008B2130" w:rsidRPr="008B2130">
              <w:rPr>
                <w:vertAlign w:val="superscript"/>
              </w:rPr>
              <w:t>nd</w:t>
            </w:r>
            <w:r w:rsidR="008B2130">
              <w:t xml:space="preserve"> CLA review)</w:t>
            </w:r>
            <w:r w:rsidR="004A4112">
              <w:t>,</w:t>
            </w:r>
            <w:r w:rsidR="00435B4C">
              <w:t xml:space="preserve"> and sufficient Parallel/Contingency plans.</w:t>
            </w:r>
          </w:p>
        </w:tc>
        <w:tc>
          <w:tcPr>
            <w:tcW w:w="1559" w:type="dxa"/>
          </w:tcPr>
          <w:p w14:paraId="5780A871" w14:textId="77777777" w:rsidR="00932BB9" w:rsidRDefault="00932BB9" w:rsidP="00932BB9">
            <w:pPr>
              <w:jc w:val="both"/>
              <w:rPr>
                <w:b/>
                <w:bCs/>
              </w:rPr>
            </w:pPr>
          </w:p>
        </w:tc>
        <w:tc>
          <w:tcPr>
            <w:tcW w:w="1366" w:type="dxa"/>
          </w:tcPr>
          <w:p w14:paraId="7DCAE950" w14:textId="6666A511" w:rsidR="00932BB9" w:rsidRDefault="00C56736" w:rsidP="00932BB9">
            <w:pPr>
              <w:jc w:val="both"/>
              <w:rPr>
                <w:b/>
                <w:bCs/>
              </w:rPr>
            </w:pPr>
            <w:r>
              <w:rPr>
                <w:b/>
                <w:bCs/>
              </w:rPr>
              <w:t>x</w:t>
            </w:r>
          </w:p>
        </w:tc>
      </w:tr>
      <w:tr w:rsidR="00932BB9" w14:paraId="5825BE54" w14:textId="77777777" w:rsidTr="00317D40">
        <w:trPr>
          <w:trHeight w:val="677"/>
        </w:trPr>
        <w:tc>
          <w:tcPr>
            <w:tcW w:w="6091" w:type="dxa"/>
          </w:tcPr>
          <w:p w14:paraId="03716961" w14:textId="77777777" w:rsidR="00C56736" w:rsidRDefault="00932BB9" w:rsidP="007038EB">
            <w:pPr>
              <w:jc w:val="both"/>
            </w:pPr>
            <w:r>
              <w:t xml:space="preserve">Key meetings for the child have not </w:t>
            </w:r>
            <w:r w:rsidRPr="000F0AB9">
              <w:t>been held</w:t>
            </w:r>
            <w:r w:rsidR="00C56736">
              <w:t xml:space="preserve"> and are contributing to</w:t>
            </w:r>
            <w:r w:rsidR="00C56736" w:rsidRPr="000F0AB9">
              <w:t xml:space="preserve"> Drift and delay in planning</w:t>
            </w:r>
            <w:r w:rsidR="00C56736">
              <w:t>.</w:t>
            </w:r>
            <w:r w:rsidRPr="000F0AB9">
              <w:t xml:space="preserve"> </w:t>
            </w:r>
          </w:p>
          <w:p w14:paraId="2098A821" w14:textId="126D3AB2" w:rsidR="00932BB9" w:rsidRDefault="00932BB9" w:rsidP="007038EB">
            <w:pPr>
              <w:jc w:val="both"/>
            </w:pPr>
            <w:r w:rsidRPr="000F0AB9">
              <w:t>e</w:t>
            </w:r>
            <w:r w:rsidR="000F0AB9">
              <w:t>.</w:t>
            </w:r>
            <w:r w:rsidRPr="000F0AB9">
              <w:t>g</w:t>
            </w:r>
            <w:r w:rsidR="000F0AB9">
              <w:t>.,</w:t>
            </w:r>
            <w:r w:rsidR="004A4112">
              <w:t xml:space="preserve"> LPM,</w:t>
            </w:r>
            <w:r w:rsidRPr="000F0AB9">
              <w:t xml:space="preserve"> Placement Planning </w:t>
            </w:r>
            <w:r w:rsidR="00F455F8">
              <w:t>and</w:t>
            </w:r>
            <w:r w:rsidRPr="000F0AB9">
              <w:t xml:space="preserve"> Permanenc</w:t>
            </w:r>
            <w:r w:rsidR="00F455F8">
              <w:t>y</w:t>
            </w:r>
            <w:r w:rsidRPr="000F0AB9">
              <w:t xml:space="preserve"> Planning Meeting</w:t>
            </w:r>
            <w:r w:rsidR="007038EB">
              <w:t>s</w:t>
            </w:r>
            <w:r w:rsidRPr="000F0AB9">
              <w:t xml:space="preserve">, </w:t>
            </w:r>
            <w:r w:rsidR="00F455F8">
              <w:t>Family Meetings</w:t>
            </w:r>
            <w:r w:rsidR="007038EB">
              <w:t>, Stability Meetings</w:t>
            </w:r>
            <w:r w:rsidRPr="000F0AB9">
              <w:t xml:space="preserve"> are not taking place or recorded </w:t>
            </w:r>
          </w:p>
        </w:tc>
        <w:tc>
          <w:tcPr>
            <w:tcW w:w="1559" w:type="dxa"/>
          </w:tcPr>
          <w:p w14:paraId="1B76BC87" w14:textId="77777777" w:rsidR="00932BB9" w:rsidRDefault="00932BB9" w:rsidP="00932BB9">
            <w:pPr>
              <w:jc w:val="both"/>
              <w:rPr>
                <w:b/>
                <w:bCs/>
              </w:rPr>
            </w:pPr>
          </w:p>
        </w:tc>
        <w:tc>
          <w:tcPr>
            <w:tcW w:w="1366" w:type="dxa"/>
          </w:tcPr>
          <w:p w14:paraId="352B45E9" w14:textId="0AD775BD" w:rsidR="00932BB9" w:rsidRDefault="00C56736" w:rsidP="00932BB9">
            <w:pPr>
              <w:jc w:val="both"/>
              <w:rPr>
                <w:b/>
                <w:bCs/>
              </w:rPr>
            </w:pPr>
            <w:r>
              <w:rPr>
                <w:b/>
                <w:bCs/>
              </w:rPr>
              <w:t>x</w:t>
            </w:r>
          </w:p>
        </w:tc>
      </w:tr>
      <w:tr w:rsidR="00932BB9" w14:paraId="1992BD24" w14:textId="77777777" w:rsidTr="00317D40">
        <w:trPr>
          <w:trHeight w:val="677"/>
        </w:trPr>
        <w:tc>
          <w:tcPr>
            <w:tcW w:w="6091" w:type="dxa"/>
          </w:tcPr>
          <w:p w14:paraId="35C016FB" w14:textId="268FE203" w:rsidR="00932BB9" w:rsidRDefault="00932BB9" w:rsidP="006C5F3C">
            <w:pPr>
              <w:jc w:val="both"/>
            </w:pPr>
            <w:r>
              <w:t>Insufficient or late</w:t>
            </w:r>
            <w:r w:rsidR="00A6465F">
              <w:t xml:space="preserve"> P</w:t>
            </w:r>
            <w:r w:rsidR="00A6465F" w:rsidRPr="000F0AB9">
              <w:t>athway/</w:t>
            </w:r>
            <w:r w:rsidR="00A6465F">
              <w:t>T</w:t>
            </w:r>
            <w:r w:rsidR="00A6465F" w:rsidRPr="000F0AB9">
              <w:t>ransitions to adulthood</w:t>
            </w:r>
            <w:r>
              <w:t xml:space="preserve"> arrangements that impact upon the Y</w:t>
            </w:r>
            <w:r w:rsidR="00435B4C">
              <w:t xml:space="preserve">oung </w:t>
            </w:r>
            <w:r>
              <w:t>P</w:t>
            </w:r>
            <w:r w:rsidR="00435B4C">
              <w:t>erson</w:t>
            </w:r>
            <w:r>
              <w:t xml:space="preserve"> and their outcomes</w:t>
            </w:r>
            <w:r w:rsidR="00435B4C">
              <w:t>.</w:t>
            </w:r>
          </w:p>
        </w:tc>
        <w:tc>
          <w:tcPr>
            <w:tcW w:w="1559" w:type="dxa"/>
          </w:tcPr>
          <w:p w14:paraId="253E7E3E" w14:textId="77777777" w:rsidR="00932BB9" w:rsidRDefault="00932BB9" w:rsidP="00932BB9">
            <w:pPr>
              <w:jc w:val="both"/>
              <w:rPr>
                <w:b/>
                <w:bCs/>
              </w:rPr>
            </w:pPr>
          </w:p>
        </w:tc>
        <w:tc>
          <w:tcPr>
            <w:tcW w:w="1366" w:type="dxa"/>
          </w:tcPr>
          <w:p w14:paraId="697DC8F1" w14:textId="30E44FE2" w:rsidR="00932BB9" w:rsidRDefault="00C56736" w:rsidP="00932BB9">
            <w:pPr>
              <w:jc w:val="both"/>
              <w:rPr>
                <w:b/>
                <w:bCs/>
              </w:rPr>
            </w:pPr>
            <w:r>
              <w:rPr>
                <w:b/>
                <w:bCs/>
              </w:rPr>
              <w:t>x</w:t>
            </w:r>
          </w:p>
        </w:tc>
      </w:tr>
      <w:tr w:rsidR="00932BB9" w14:paraId="5F741C9F" w14:textId="77777777" w:rsidTr="00317D40">
        <w:trPr>
          <w:trHeight w:val="677"/>
        </w:trPr>
        <w:tc>
          <w:tcPr>
            <w:tcW w:w="6091" w:type="dxa"/>
          </w:tcPr>
          <w:p w14:paraId="03C282A9" w14:textId="2662D86E" w:rsidR="00932BB9" w:rsidRDefault="00932BB9" w:rsidP="006C5F3C">
            <w:pPr>
              <w:jc w:val="both"/>
            </w:pPr>
            <w:r>
              <w:t>Life story work</w:t>
            </w:r>
            <w:r w:rsidR="00435B4C">
              <w:t xml:space="preserve">, </w:t>
            </w:r>
            <w:r>
              <w:t>direct work</w:t>
            </w:r>
            <w:r w:rsidR="00435B4C">
              <w:t xml:space="preserve">, </w:t>
            </w:r>
            <w:r>
              <w:t>preparation for permanency</w:t>
            </w:r>
            <w:r w:rsidR="00435B4C">
              <w:t xml:space="preserve"> and</w:t>
            </w:r>
            <w:r>
              <w:t xml:space="preserve"> moving is not </w:t>
            </w:r>
            <w:r w:rsidR="002B400E">
              <w:t xml:space="preserve">progressed appropriately or evidenced on </w:t>
            </w:r>
            <w:r>
              <w:t>the file</w:t>
            </w:r>
            <w:r w:rsidR="002B400E">
              <w:t>.</w:t>
            </w:r>
          </w:p>
        </w:tc>
        <w:tc>
          <w:tcPr>
            <w:tcW w:w="1559" w:type="dxa"/>
          </w:tcPr>
          <w:p w14:paraId="581B4537" w14:textId="77777777" w:rsidR="00932BB9" w:rsidRDefault="00932BB9" w:rsidP="00932BB9">
            <w:pPr>
              <w:jc w:val="both"/>
              <w:rPr>
                <w:b/>
                <w:bCs/>
              </w:rPr>
            </w:pPr>
          </w:p>
        </w:tc>
        <w:tc>
          <w:tcPr>
            <w:tcW w:w="1366" w:type="dxa"/>
          </w:tcPr>
          <w:p w14:paraId="293B352F" w14:textId="40E0F8B9" w:rsidR="00932BB9" w:rsidRDefault="00C97A23" w:rsidP="00932BB9">
            <w:pPr>
              <w:jc w:val="both"/>
              <w:rPr>
                <w:b/>
                <w:bCs/>
              </w:rPr>
            </w:pPr>
            <w:r>
              <w:rPr>
                <w:b/>
                <w:bCs/>
              </w:rPr>
              <w:t>x</w:t>
            </w:r>
          </w:p>
        </w:tc>
      </w:tr>
    </w:tbl>
    <w:p w14:paraId="7B870C30" w14:textId="6A194513" w:rsidR="00F3626C" w:rsidRPr="0080325C" w:rsidRDefault="00F3626C" w:rsidP="0080325C">
      <w:pPr>
        <w:pStyle w:val="ListParagraph"/>
        <w:numPr>
          <w:ilvl w:val="0"/>
          <w:numId w:val="5"/>
        </w:numPr>
        <w:rPr>
          <w:b/>
          <w:bCs/>
        </w:rPr>
      </w:pPr>
      <w:r w:rsidRPr="0080325C">
        <w:rPr>
          <w:b/>
          <w:bCs/>
        </w:rPr>
        <w:t xml:space="preserve">Other action by the IRO </w:t>
      </w:r>
    </w:p>
    <w:p w14:paraId="667CCD6E" w14:textId="0A9A00E0" w:rsidR="00F3626C" w:rsidRPr="00317D40" w:rsidRDefault="00F3626C" w:rsidP="00C97A23">
      <w:pPr>
        <w:jc w:val="both"/>
      </w:pPr>
      <w:r w:rsidRPr="00317D40">
        <w:t xml:space="preserve">The IRO has the discretion </w:t>
      </w:r>
      <w:r w:rsidR="0026312A" w:rsidRPr="00317D40">
        <w:t xml:space="preserve">to </w:t>
      </w:r>
      <w:r w:rsidR="00DD0129" w:rsidRPr="00317D40">
        <w:t>escalate</w:t>
      </w:r>
      <w:r w:rsidR="0026312A" w:rsidRPr="00317D40">
        <w:t xml:space="preserve"> concerns </w:t>
      </w:r>
      <w:r w:rsidR="00DD0129" w:rsidRPr="00317D40">
        <w:t>directly</w:t>
      </w:r>
      <w:r w:rsidR="0026312A" w:rsidRPr="00317D40">
        <w:t xml:space="preserve"> to Head of Service and Deputy Director at any </w:t>
      </w:r>
      <w:r w:rsidR="00A559BC" w:rsidRPr="00317D40">
        <w:t>point,</w:t>
      </w:r>
      <w:r w:rsidR="0026312A" w:rsidRPr="00317D40">
        <w:t xml:space="preserve"> but these should be considered in the most serious of </w:t>
      </w:r>
      <w:r w:rsidR="00A2408E" w:rsidRPr="00317D40">
        <w:t xml:space="preserve">circumstances.  The operational TM and SM should be aware this is taking place and why. </w:t>
      </w:r>
      <w:r w:rsidR="0026312A" w:rsidRPr="00317D40">
        <w:t xml:space="preserve"> </w:t>
      </w:r>
    </w:p>
    <w:p w14:paraId="4E8F7A4E" w14:textId="70F6856E" w:rsidR="00705982" w:rsidRPr="00317D40" w:rsidRDefault="00D85191" w:rsidP="00C97A23">
      <w:pPr>
        <w:jc w:val="both"/>
      </w:pPr>
      <w:r w:rsidRPr="00317D40">
        <w:t>Since 2002</w:t>
      </w:r>
      <w:r w:rsidR="00A559BC" w:rsidRPr="00317D40">
        <w:t>,</w:t>
      </w:r>
      <w:r w:rsidRPr="00317D40">
        <w:t xml:space="preserve"> IROs have had the authority to refer the case of any looked after child to Cafcass [under s118, 2002 Act] if they are of the view that the child’s human rights have been breached and all attempts to resolve the matter have been exhausted. The scope for such referrals is now extended. </w:t>
      </w:r>
    </w:p>
    <w:p w14:paraId="618A10AB" w14:textId="47C065C3" w:rsidR="00384302" w:rsidRPr="00317D40" w:rsidRDefault="00D85191" w:rsidP="00C97A23">
      <w:pPr>
        <w:jc w:val="both"/>
      </w:pPr>
      <w:r w:rsidRPr="00317D40">
        <w:t>The IRO now has the authority to refer a case to Cafcass ‘if the IRO considers it appropriate to do so’ [under s25</w:t>
      </w:r>
      <w:r w:rsidR="00C97A23" w:rsidRPr="00317D40">
        <w:t>B (</w:t>
      </w:r>
      <w:r w:rsidRPr="00317D40">
        <w:t>3), 1989 Act]. The IRO will encounter a wide range of situations in which there are concerns about the plan for the child/young person or the service that is being provided. In most cases it will be possible to address these through: dialogue with the local authority, including access to the dispute resolution procedure; use of the complaints procedure, either by the child directly or by an adult who is authorised to act on the child’s behalf; and/or application to the court for an order under the 1989 Act, either</w:t>
      </w:r>
      <w:r w:rsidR="00DD0129" w:rsidRPr="00317D40">
        <w:t xml:space="preserve"> by the child or by an appropriate adult who is able and willing to act. </w:t>
      </w:r>
    </w:p>
    <w:p w14:paraId="371EF2C2" w14:textId="77777777" w:rsidR="00C97A23" w:rsidRDefault="00DD0129" w:rsidP="00C97A23">
      <w:pPr>
        <w:jc w:val="both"/>
      </w:pPr>
      <w:r w:rsidRPr="00317D40">
        <w:t>When considering whether to make a referral to Cafcass, the IRO should consider the impact that a referral would have for the child. In some cases, there will be time available first to pursue the full dispute resolution procedure within the local authority</w:t>
      </w:r>
      <w:r w:rsidR="00384302" w:rsidRPr="00317D40">
        <w:t xml:space="preserve">. </w:t>
      </w:r>
    </w:p>
    <w:p w14:paraId="74E0EEB0" w14:textId="7431D756" w:rsidR="00C97A23" w:rsidRDefault="00DD0129" w:rsidP="00C97A23">
      <w:pPr>
        <w:jc w:val="both"/>
      </w:pPr>
      <w:r w:rsidRPr="00317D40">
        <w:t xml:space="preserve">In other situations, the matter will be of sufficient urgency that the dispute resolution process needs to be curtailed. It is the responsibility of the IRO to make the decision about whether and when a CAFACSS referral is necessary, based on the timetable for the child. As part of any dispute resolution procedure and prior to making a referral, the IRO should notify the Head of Service and the </w:t>
      </w:r>
      <w:r w:rsidR="008B197A" w:rsidRPr="00317D40">
        <w:t xml:space="preserve">Deputy </w:t>
      </w:r>
      <w:r w:rsidRPr="00317D40">
        <w:t xml:space="preserve">Director that a referral to Cafcass is being considered. </w:t>
      </w:r>
      <w:r w:rsidR="00A2408E" w:rsidRPr="00317D40">
        <w:t xml:space="preserve"> </w:t>
      </w:r>
    </w:p>
    <w:p w14:paraId="237ED5B5" w14:textId="019D6B32" w:rsidR="00C97A23" w:rsidRPr="0080325C" w:rsidRDefault="00DD0129" w:rsidP="0080325C">
      <w:pPr>
        <w:jc w:val="both"/>
        <w:rPr>
          <w:rFonts w:ascii="Arial" w:hAnsi="Arial" w:cs="Arial"/>
          <w:color w:val="1F497D"/>
        </w:rPr>
      </w:pPr>
      <w:r w:rsidRPr="0080325C">
        <w:t>When considering whether to make a referral, the IRO should have access to management advice and support in addition to independent legal advice where necessary</w:t>
      </w:r>
      <w:r w:rsidRPr="0080325C">
        <w:rPr>
          <w:rFonts w:cstheme="minorHAnsi"/>
        </w:rPr>
        <w:t>.</w:t>
      </w:r>
      <w:r w:rsidR="00C97A23" w:rsidRPr="0080325C">
        <w:rPr>
          <w:rFonts w:cstheme="minorHAnsi"/>
        </w:rPr>
        <w:t xml:space="preserve"> I</w:t>
      </w:r>
      <w:r w:rsidR="00C97A23" w:rsidRPr="0080325C">
        <w:rPr>
          <w:rFonts w:cstheme="minorHAnsi"/>
        </w:rPr>
        <w:t xml:space="preserve">f IROs </w:t>
      </w:r>
      <w:r w:rsidR="0080325C" w:rsidRPr="0080325C">
        <w:rPr>
          <w:rFonts w:cstheme="minorHAnsi"/>
        </w:rPr>
        <w:t>at the London Borough of Wandsworth</w:t>
      </w:r>
      <w:r w:rsidR="00C97A23" w:rsidRPr="0080325C">
        <w:rPr>
          <w:rFonts w:cstheme="minorHAnsi"/>
        </w:rPr>
        <w:t xml:space="preserve"> need independent legal </w:t>
      </w:r>
      <w:r w:rsidR="0080325C" w:rsidRPr="0080325C">
        <w:rPr>
          <w:rFonts w:cstheme="minorHAnsi"/>
        </w:rPr>
        <w:t>advice,</w:t>
      </w:r>
      <w:r w:rsidR="00C97A23" w:rsidRPr="0080325C">
        <w:rPr>
          <w:rFonts w:cstheme="minorHAnsi"/>
        </w:rPr>
        <w:t xml:space="preserve"> they can </w:t>
      </w:r>
      <w:r w:rsidR="00C97A23" w:rsidRPr="0080325C">
        <w:rPr>
          <w:rFonts w:cstheme="minorHAnsi"/>
        </w:rPr>
        <w:t xml:space="preserve">access this </w:t>
      </w:r>
      <w:r w:rsidR="0080325C">
        <w:rPr>
          <w:rFonts w:cstheme="minorHAnsi"/>
        </w:rPr>
        <w:t>from the</w:t>
      </w:r>
      <w:r w:rsidR="00C97A23" w:rsidRPr="0080325C">
        <w:rPr>
          <w:rFonts w:cstheme="minorHAnsi"/>
        </w:rPr>
        <w:t xml:space="preserve"> legal service provided </w:t>
      </w:r>
      <w:r w:rsidR="0080325C" w:rsidRPr="0080325C">
        <w:rPr>
          <w:rFonts w:cstheme="minorHAnsi"/>
        </w:rPr>
        <w:t>via</w:t>
      </w:r>
      <w:r w:rsidR="00C97A23" w:rsidRPr="0080325C">
        <w:rPr>
          <w:rFonts w:cstheme="minorHAnsi"/>
        </w:rPr>
        <w:t xml:space="preserve"> Merton and Sutton.</w:t>
      </w:r>
      <w:r w:rsidR="00C97A23" w:rsidRPr="0080325C">
        <w:rPr>
          <w:rFonts w:ascii="Arial" w:hAnsi="Arial" w:cs="Arial"/>
          <w:color w:val="1F497D"/>
        </w:rPr>
        <w:t xml:space="preserve"> </w:t>
      </w:r>
      <w:r w:rsidR="0080325C" w:rsidRPr="0080325C">
        <w:rPr>
          <w:rFonts w:cstheme="minorHAnsi"/>
        </w:rPr>
        <w:t>This information is available to IROs on request from the Head of Service and IRO Service Manager.</w:t>
      </w:r>
    </w:p>
    <w:p w14:paraId="46059643" w14:textId="1BCADE43" w:rsidR="008B197A" w:rsidRPr="00317D40" w:rsidRDefault="00597AAD" w:rsidP="00C97A23">
      <w:pPr>
        <w:jc w:val="both"/>
      </w:pPr>
      <w:r w:rsidRPr="00317D40">
        <w:t xml:space="preserve">The IRO and senior managers will make every </w:t>
      </w:r>
      <w:r w:rsidR="006332CE" w:rsidRPr="00317D40">
        <w:t>effort</w:t>
      </w:r>
      <w:r w:rsidRPr="00317D40">
        <w:t xml:space="preserve"> to resolve the matter </w:t>
      </w:r>
      <w:r w:rsidR="006332CE" w:rsidRPr="00317D40">
        <w:t xml:space="preserve">by finding solutions that are </w:t>
      </w:r>
      <w:r w:rsidRPr="00317D40">
        <w:t xml:space="preserve">in the child’s best interest </w:t>
      </w:r>
      <w:r w:rsidRPr="00317D40">
        <w:rPr>
          <w:i/>
          <w:iCs/>
        </w:rPr>
        <w:t>before</w:t>
      </w:r>
      <w:r w:rsidRPr="00317D40">
        <w:t xml:space="preserve"> a referral to CAFCASS </w:t>
      </w:r>
      <w:r w:rsidR="006332CE" w:rsidRPr="00317D40">
        <w:t xml:space="preserve">is </w:t>
      </w:r>
      <w:r w:rsidR="00750CDC" w:rsidRPr="00317D40">
        <w:t>considered</w:t>
      </w:r>
      <w:r w:rsidR="006D0E14" w:rsidRPr="00317D40">
        <w:t xml:space="preserve">. </w:t>
      </w:r>
    </w:p>
    <w:p w14:paraId="537DA1EF" w14:textId="2D970B37" w:rsidR="00D85191" w:rsidRDefault="00DD0129" w:rsidP="00C97A23">
      <w:pPr>
        <w:jc w:val="both"/>
      </w:pPr>
      <w:r w:rsidRPr="00317D40">
        <w:t xml:space="preserve">Cafcass Legal operates a duty helpline which is available to IROs for the discussion of possible referrals. The lawyers at Cafcass Legal cannot give IROs legal </w:t>
      </w:r>
      <w:r w:rsidR="00A559BC" w:rsidRPr="00317D40">
        <w:t>advice but</w:t>
      </w:r>
      <w:r w:rsidRPr="00317D40">
        <w:t xml:space="preserve"> will discuss with the IRO whether any other steps can be taken before a referral is made. The IRO can make a referral to Cafcass by contacting Cafcass Legal initially by </w:t>
      </w:r>
      <w:r w:rsidR="00A559BC" w:rsidRPr="00317D40">
        <w:t>telephone,</w:t>
      </w:r>
      <w:r w:rsidRPr="00317D40">
        <w:t xml:space="preserve"> but the referral should always be confirmed in writing to the duty lawyer who will provide contact details to the IRO. The Cafcass Legal duty helpline telephone number is available from the Cafcass National Office, the contact details for which can be found on www.cafcass.gov.uk The IRO has the discretion to refer matters subject to IRO Alerts to CAFCASS at any time.</w:t>
      </w:r>
      <w:r>
        <w:t xml:space="preserve"> </w:t>
      </w:r>
    </w:p>
    <w:sectPr w:rsidR="00D85191">
      <w:headerReference w:type="even" r:id="rId12"/>
      <w:headerReference w:type="default" r:id="rId13"/>
      <w:head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7A41F" w14:textId="77777777" w:rsidR="005A6023" w:rsidRDefault="005A6023" w:rsidP="009C1537">
      <w:pPr>
        <w:spacing w:after="0" w:line="240" w:lineRule="auto"/>
      </w:pPr>
      <w:r>
        <w:separator/>
      </w:r>
    </w:p>
  </w:endnote>
  <w:endnote w:type="continuationSeparator" w:id="0">
    <w:p w14:paraId="442AA76E" w14:textId="77777777" w:rsidR="005A6023" w:rsidRDefault="005A6023" w:rsidP="009C1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433A0" w14:textId="77777777" w:rsidR="005A6023" w:rsidRDefault="005A6023" w:rsidP="009C1537">
      <w:pPr>
        <w:spacing w:after="0" w:line="240" w:lineRule="auto"/>
      </w:pPr>
      <w:r>
        <w:separator/>
      </w:r>
    </w:p>
  </w:footnote>
  <w:footnote w:type="continuationSeparator" w:id="0">
    <w:p w14:paraId="2CE0EE1D" w14:textId="77777777" w:rsidR="005A6023" w:rsidRDefault="005A6023" w:rsidP="009C15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CEF9B" w14:textId="71F520FA" w:rsidR="009C1537" w:rsidRDefault="005A6023">
    <w:pPr>
      <w:pStyle w:val="Header"/>
    </w:pPr>
    <w:r>
      <w:rPr>
        <w:noProof/>
      </w:rPr>
      <w:pict w14:anchorId="0982975B">
        <v:shapetype id="_x0000_t202" coordsize="21600,21600" o:spt="202" path="m,l,21600r21600,l21600,xe">
          <v:stroke joinstyle="miter"/>
          <v:path gradientshapeok="t" o:connecttype="rect"/>
        </v:shapetype>
        <v:shape id="Text Box 2" o:spid="_x0000_s1027" type="#_x0000_t202" alt="Official"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1AE7CCEB" w14:textId="77777777" w:rsidR="009C1537" w:rsidRPr="009C1537" w:rsidRDefault="009C1537">
                <w:pPr>
                  <w:rPr>
                    <w:rFonts w:ascii="Calibri" w:eastAsia="Calibri" w:hAnsi="Calibri" w:cs="Calibri"/>
                    <w:color w:val="000000"/>
                    <w:sz w:val="20"/>
                    <w:szCs w:val="20"/>
                  </w:rPr>
                </w:pPr>
                <w:r w:rsidRPr="009C1537">
                  <w:rPr>
                    <w:rFonts w:ascii="Calibri" w:eastAsia="Calibri" w:hAnsi="Calibri" w:cs="Calibri"/>
                    <w:color w:val="000000"/>
                    <w:sz w:val="20"/>
                    <w:szCs w:val="20"/>
                  </w:rPr>
                  <w:t>Official</w:t>
                </w:r>
              </w:p>
            </w:txbxContent>
          </v:textbox>
          <w10:wrap type="square" anchorx="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307ED" w14:textId="6F32D315" w:rsidR="0080325C" w:rsidRDefault="00674DF6" w:rsidP="0080325C">
    <w:pPr>
      <w:spacing w:after="0" w:line="240" w:lineRule="auto"/>
      <w:jc w:val="both"/>
      <w:rPr>
        <w:b/>
        <w:bCs/>
      </w:rPr>
    </w:pPr>
    <w:r w:rsidRPr="00473BED">
      <w:rPr>
        <w:b/>
        <w:bCs/>
      </w:rPr>
      <w:t xml:space="preserve">Dispute Resolution Alert </w:t>
    </w:r>
    <w:r w:rsidR="00B322DD">
      <w:rPr>
        <w:b/>
        <w:bCs/>
      </w:rPr>
      <w:t>Process</w:t>
    </w:r>
    <w:r w:rsidR="0080325C">
      <w:rPr>
        <w:b/>
        <w:bCs/>
      </w:rPr>
      <w:tab/>
    </w:r>
    <w:r w:rsidR="0080325C">
      <w:rPr>
        <w:b/>
        <w:bCs/>
      </w:rPr>
      <w:tab/>
    </w:r>
    <w:r w:rsidR="0080325C">
      <w:rPr>
        <w:b/>
        <w:bCs/>
      </w:rPr>
      <w:tab/>
    </w:r>
    <w:r w:rsidR="0080325C">
      <w:rPr>
        <w:b/>
        <w:bCs/>
      </w:rPr>
      <w:tab/>
    </w:r>
    <w:r w:rsidR="0080325C">
      <w:rPr>
        <w:b/>
        <w:bCs/>
      </w:rPr>
      <w:tab/>
    </w:r>
    <w:r w:rsidR="0080325C" w:rsidRPr="009968D5">
      <w:rPr>
        <w:i/>
        <w:iCs/>
      </w:rPr>
      <w:t xml:space="preserve">Revision </w:t>
    </w:r>
    <w:r w:rsidR="00D45A27">
      <w:rPr>
        <w:i/>
        <w:iCs/>
      </w:rPr>
      <w:t>September</w:t>
    </w:r>
    <w:r w:rsidR="0080325C">
      <w:rPr>
        <w:i/>
        <w:iCs/>
      </w:rPr>
      <w:t xml:space="preserve"> </w:t>
    </w:r>
    <w:r w:rsidR="0080325C" w:rsidRPr="009968D5">
      <w:rPr>
        <w:i/>
        <w:iCs/>
      </w:rPr>
      <w:t>2022</w:t>
    </w:r>
  </w:p>
  <w:p w14:paraId="12993B6D" w14:textId="05EE5966" w:rsidR="00674DF6" w:rsidRDefault="00674DF6" w:rsidP="0080325C">
    <w:pPr>
      <w:spacing w:after="0" w:line="240" w:lineRule="auto"/>
      <w:jc w:val="both"/>
    </w:pPr>
    <w:r w:rsidRPr="00473BED">
      <w:rPr>
        <w:b/>
        <w:bCs/>
      </w:rPr>
      <w:t>Safeguarding and Care Planning</w:t>
    </w:r>
    <w:r>
      <w:t xml:space="preserve"> </w:t>
    </w:r>
    <w:r>
      <w:tab/>
    </w:r>
    <w:r>
      <w:tab/>
    </w:r>
  </w:p>
  <w:p w14:paraId="3FD758A3" w14:textId="50C25244" w:rsidR="009C1537" w:rsidRDefault="005A6023">
    <w:pPr>
      <w:pStyle w:val="Header"/>
    </w:pPr>
    <w:r>
      <w:rPr>
        <w:noProof/>
      </w:rPr>
      <w:pict w14:anchorId="1C71B1E5">
        <v:shapetype id="_x0000_t202" coordsize="21600,21600" o:spt="202" path="m,l,21600r21600,l21600,xe">
          <v:stroke joinstyle="miter"/>
          <v:path gradientshapeok="t" o:connecttype="rect"/>
        </v:shapetype>
        <v:shape id="Text Box 3" o:spid="_x0000_s1026" type="#_x0000_t202" alt="Official"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0DCA060F" w14:textId="217798B1" w:rsidR="009C1537" w:rsidRPr="009C1537" w:rsidRDefault="009C1537">
                <w:pPr>
                  <w:rPr>
                    <w:rFonts w:ascii="Calibri" w:eastAsia="Calibri" w:hAnsi="Calibri" w:cs="Calibri"/>
                    <w:color w:val="000000"/>
                    <w:sz w:val="20"/>
                    <w:szCs w:val="20"/>
                  </w:rPr>
                </w:pPr>
              </w:p>
            </w:txbxContent>
          </v:textbox>
          <w10:wrap type="square" anchorx="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1A897" w14:textId="2DA97DDB" w:rsidR="009C1537" w:rsidRDefault="005A6023">
    <w:pPr>
      <w:pStyle w:val="Header"/>
    </w:pPr>
    <w:r>
      <w:rPr>
        <w:noProof/>
      </w:rPr>
      <w:pict w14:anchorId="463D0304">
        <v:shapetype id="_x0000_t202" coordsize="21600,21600" o:spt="202" path="m,l,21600r21600,l21600,xe">
          <v:stroke joinstyle="miter"/>
          <v:path gradientshapeok="t" o:connecttype="rect"/>
        </v:shapetype>
        <v:shape id="Text Box 1" o:spid="_x0000_s1025" type="#_x0000_t202" alt="Official"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textbox style="mso-fit-shape-to-text:t" inset="5pt,0,0,0">
            <w:txbxContent>
              <w:p w14:paraId="4BC281C5" w14:textId="77777777" w:rsidR="009C1537" w:rsidRPr="009C1537" w:rsidRDefault="009C1537">
                <w:pPr>
                  <w:rPr>
                    <w:rFonts w:ascii="Calibri" w:eastAsia="Calibri" w:hAnsi="Calibri" w:cs="Calibri"/>
                    <w:color w:val="000000"/>
                    <w:sz w:val="20"/>
                    <w:szCs w:val="20"/>
                  </w:rPr>
                </w:pPr>
                <w:r w:rsidRPr="009C1537">
                  <w:rPr>
                    <w:rFonts w:ascii="Calibri" w:eastAsia="Calibri" w:hAnsi="Calibri" w:cs="Calibri"/>
                    <w:color w:val="000000"/>
                    <w:sz w:val="20"/>
                    <w:szCs w:val="20"/>
                  </w:rPr>
                  <w:t>Official</w:t>
                </w:r>
              </w:p>
            </w:txbxContent>
          </v:textbox>
          <w10:wrap type="square" anchorx="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175D5"/>
    <w:multiLevelType w:val="hybridMultilevel"/>
    <w:tmpl w:val="61569E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C0A5820"/>
    <w:multiLevelType w:val="multilevel"/>
    <w:tmpl w:val="F32C8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6A3395"/>
    <w:multiLevelType w:val="hybridMultilevel"/>
    <w:tmpl w:val="40521E88"/>
    <w:lvl w:ilvl="0" w:tplc="B44AEF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D2395E"/>
    <w:multiLevelType w:val="hybridMultilevel"/>
    <w:tmpl w:val="A21A58C6"/>
    <w:lvl w:ilvl="0" w:tplc="3416A0D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7F43E3A"/>
    <w:multiLevelType w:val="hybridMultilevel"/>
    <w:tmpl w:val="D7BC0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7994507">
    <w:abstractNumId w:val="0"/>
  </w:num>
  <w:num w:numId="2" w16cid:durableId="384990367">
    <w:abstractNumId w:val="4"/>
  </w:num>
  <w:num w:numId="3" w16cid:durableId="393478365">
    <w:abstractNumId w:val="1"/>
  </w:num>
  <w:num w:numId="4" w16cid:durableId="2012414327">
    <w:abstractNumId w:val="2"/>
  </w:num>
  <w:num w:numId="5" w16cid:durableId="17792503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9C1537"/>
    <w:rsid w:val="00040AEE"/>
    <w:rsid w:val="000626AD"/>
    <w:rsid w:val="000C2181"/>
    <w:rsid w:val="000E3045"/>
    <w:rsid w:val="000E64D4"/>
    <w:rsid w:val="000E7C42"/>
    <w:rsid w:val="000F0AB9"/>
    <w:rsid w:val="001010A3"/>
    <w:rsid w:val="00120907"/>
    <w:rsid w:val="00153EE9"/>
    <w:rsid w:val="0016253B"/>
    <w:rsid w:val="001C1575"/>
    <w:rsid w:val="001D5E31"/>
    <w:rsid w:val="001D6520"/>
    <w:rsid w:val="001E2C7D"/>
    <w:rsid w:val="002437E4"/>
    <w:rsid w:val="00254AB6"/>
    <w:rsid w:val="0026157D"/>
    <w:rsid w:val="0026312A"/>
    <w:rsid w:val="002639F0"/>
    <w:rsid w:val="002B02D5"/>
    <w:rsid w:val="002B400E"/>
    <w:rsid w:val="002D71E5"/>
    <w:rsid w:val="002E60D9"/>
    <w:rsid w:val="002F4A35"/>
    <w:rsid w:val="002F6ACC"/>
    <w:rsid w:val="003008D5"/>
    <w:rsid w:val="00317D40"/>
    <w:rsid w:val="00352B7A"/>
    <w:rsid w:val="003702A8"/>
    <w:rsid w:val="00384302"/>
    <w:rsid w:val="00392129"/>
    <w:rsid w:val="003943E1"/>
    <w:rsid w:val="003A7388"/>
    <w:rsid w:val="003B6159"/>
    <w:rsid w:val="003C2A70"/>
    <w:rsid w:val="003C33A6"/>
    <w:rsid w:val="003D4168"/>
    <w:rsid w:val="003F51EE"/>
    <w:rsid w:val="00434846"/>
    <w:rsid w:val="00435B4C"/>
    <w:rsid w:val="00445A98"/>
    <w:rsid w:val="00453F0C"/>
    <w:rsid w:val="00471951"/>
    <w:rsid w:val="00473BED"/>
    <w:rsid w:val="004751FB"/>
    <w:rsid w:val="0048029C"/>
    <w:rsid w:val="00481AEC"/>
    <w:rsid w:val="00484774"/>
    <w:rsid w:val="004A4112"/>
    <w:rsid w:val="004A4271"/>
    <w:rsid w:val="004C2CB0"/>
    <w:rsid w:val="004D2A59"/>
    <w:rsid w:val="004D422F"/>
    <w:rsid w:val="004E2A03"/>
    <w:rsid w:val="005041A6"/>
    <w:rsid w:val="00516A32"/>
    <w:rsid w:val="00521C92"/>
    <w:rsid w:val="0052758B"/>
    <w:rsid w:val="0053105F"/>
    <w:rsid w:val="005343D0"/>
    <w:rsid w:val="005356F9"/>
    <w:rsid w:val="005669BF"/>
    <w:rsid w:val="00586A39"/>
    <w:rsid w:val="00597AAD"/>
    <w:rsid w:val="005A3468"/>
    <w:rsid w:val="005A6023"/>
    <w:rsid w:val="005F16AB"/>
    <w:rsid w:val="006332CE"/>
    <w:rsid w:val="00641486"/>
    <w:rsid w:val="00674DF6"/>
    <w:rsid w:val="0069150B"/>
    <w:rsid w:val="00691F5A"/>
    <w:rsid w:val="006A5F60"/>
    <w:rsid w:val="006C51ED"/>
    <w:rsid w:val="006C5F3C"/>
    <w:rsid w:val="006D0E14"/>
    <w:rsid w:val="006E5C9A"/>
    <w:rsid w:val="007038DE"/>
    <w:rsid w:val="007038EB"/>
    <w:rsid w:val="00705982"/>
    <w:rsid w:val="00750CDC"/>
    <w:rsid w:val="007626A5"/>
    <w:rsid w:val="0076407C"/>
    <w:rsid w:val="0078090D"/>
    <w:rsid w:val="00782C34"/>
    <w:rsid w:val="00786F84"/>
    <w:rsid w:val="00787660"/>
    <w:rsid w:val="007B5DF6"/>
    <w:rsid w:val="007C586B"/>
    <w:rsid w:val="0080325C"/>
    <w:rsid w:val="008208FB"/>
    <w:rsid w:val="00824414"/>
    <w:rsid w:val="0082536B"/>
    <w:rsid w:val="00837E50"/>
    <w:rsid w:val="00860B5F"/>
    <w:rsid w:val="00866A94"/>
    <w:rsid w:val="008744E5"/>
    <w:rsid w:val="008848A9"/>
    <w:rsid w:val="008B197A"/>
    <w:rsid w:val="008B2130"/>
    <w:rsid w:val="008B4041"/>
    <w:rsid w:val="008B78D4"/>
    <w:rsid w:val="008C5FBB"/>
    <w:rsid w:val="008D5C67"/>
    <w:rsid w:val="009205E8"/>
    <w:rsid w:val="00932BB9"/>
    <w:rsid w:val="00951158"/>
    <w:rsid w:val="009761B7"/>
    <w:rsid w:val="0099569E"/>
    <w:rsid w:val="009968D5"/>
    <w:rsid w:val="009C1537"/>
    <w:rsid w:val="009D23D5"/>
    <w:rsid w:val="009F6CFB"/>
    <w:rsid w:val="00A2408E"/>
    <w:rsid w:val="00A25E93"/>
    <w:rsid w:val="00A41712"/>
    <w:rsid w:val="00A42307"/>
    <w:rsid w:val="00A50941"/>
    <w:rsid w:val="00A559BC"/>
    <w:rsid w:val="00A6465F"/>
    <w:rsid w:val="00A92DCA"/>
    <w:rsid w:val="00AB03AA"/>
    <w:rsid w:val="00AB6FFD"/>
    <w:rsid w:val="00AD1875"/>
    <w:rsid w:val="00AD720F"/>
    <w:rsid w:val="00B00789"/>
    <w:rsid w:val="00B0587F"/>
    <w:rsid w:val="00B322DD"/>
    <w:rsid w:val="00B403F1"/>
    <w:rsid w:val="00B543C8"/>
    <w:rsid w:val="00B5635F"/>
    <w:rsid w:val="00B6323B"/>
    <w:rsid w:val="00B71186"/>
    <w:rsid w:val="00B96A68"/>
    <w:rsid w:val="00C475AE"/>
    <w:rsid w:val="00C51D57"/>
    <w:rsid w:val="00C56736"/>
    <w:rsid w:val="00C7589B"/>
    <w:rsid w:val="00C803CA"/>
    <w:rsid w:val="00C87BF6"/>
    <w:rsid w:val="00C942B2"/>
    <w:rsid w:val="00C96264"/>
    <w:rsid w:val="00C97A23"/>
    <w:rsid w:val="00CA222D"/>
    <w:rsid w:val="00CC0BB2"/>
    <w:rsid w:val="00CE6ED6"/>
    <w:rsid w:val="00D0342E"/>
    <w:rsid w:val="00D45A27"/>
    <w:rsid w:val="00D76B29"/>
    <w:rsid w:val="00D827E5"/>
    <w:rsid w:val="00D85191"/>
    <w:rsid w:val="00D90D13"/>
    <w:rsid w:val="00D92E7F"/>
    <w:rsid w:val="00DA3FA3"/>
    <w:rsid w:val="00DB2804"/>
    <w:rsid w:val="00DB2EDC"/>
    <w:rsid w:val="00DB5CE1"/>
    <w:rsid w:val="00DB6F60"/>
    <w:rsid w:val="00DD0129"/>
    <w:rsid w:val="00DD123E"/>
    <w:rsid w:val="00E11E2B"/>
    <w:rsid w:val="00E205CC"/>
    <w:rsid w:val="00E51A3C"/>
    <w:rsid w:val="00E71A17"/>
    <w:rsid w:val="00E844AE"/>
    <w:rsid w:val="00EB3D24"/>
    <w:rsid w:val="00EB523E"/>
    <w:rsid w:val="00EB649B"/>
    <w:rsid w:val="00EC29B9"/>
    <w:rsid w:val="00ED34B6"/>
    <w:rsid w:val="00F2290F"/>
    <w:rsid w:val="00F237CA"/>
    <w:rsid w:val="00F3626C"/>
    <w:rsid w:val="00F429C2"/>
    <w:rsid w:val="00F455F8"/>
    <w:rsid w:val="00F725AB"/>
    <w:rsid w:val="00F73155"/>
    <w:rsid w:val="00FD24B9"/>
    <w:rsid w:val="00FD4E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58505"/>
  <w15:docId w15:val="{1BBFD9BC-6EE0-4926-B3B1-64F318C6E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15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1537"/>
  </w:style>
  <w:style w:type="paragraph" w:styleId="Footer">
    <w:name w:val="footer"/>
    <w:basedOn w:val="Normal"/>
    <w:link w:val="FooterChar"/>
    <w:uiPriority w:val="99"/>
    <w:unhideWhenUsed/>
    <w:rsid w:val="009C15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1537"/>
  </w:style>
  <w:style w:type="character" w:styleId="CommentReference">
    <w:name w:val="annotation reference"/>
    <w:basedOn w:val="DefaultParagraphFont"/>
    <w:uiPriority w:val="99"/>
    <w:semiHidden/>
    <w:unhideWhenUsed/>
    <w:rsid w:val="00D90D13"/>
    <w:rPr>
      <w:sz w:val="16"/>
      <w:szCs w:val="16"/>
    </w:rPr>
  </w:style>
  <w:style w:type="paragraph" w:styleId="CommentText">
    <w:name w:val="annotation text"/>
    <w:basedOn w:val="Normal"/>
    <w:link w:val="CommentTextChar"/>
    <w:uiPriority w:val="99"/>
    <w:unhideWhenUsed/>
    <w:rsid w:val="00D90D13"/>
    <w:pPr>
      <w:spacing w:line="240" w:lineRule="auto"/>
    </w:pPr>
    <w:rPr>
      <w:sz w:val="20"/>
      <w:szCs w:val="20"/>
    </w:rPr>
  </w:style>
  <w:style w:type="character" w:customStyle="1" w:styleId="CommentTextChar">
    <w:name w:val="Comment Text Char"/>
    <w:basedOn w:val="DefaultParagraphFont"/>
    <w:link w:val="CommentText"/>
    <w:uiPriority w:val="99"/>
    <w:rsid w:val="00D90D13"/>
    <w:rPr>
      <w:sz w:val="20"/>
      <w:szCs w:val="20"/>
    </w:rPr>
  </w:style>
  <w:style w:type="paragraph" w:styleId="CommentSubject">
    <w:name w:val="annotation subject"/>
    <w:basedOn w:val="CommentText"/>
    <w:next w:val="CommentText"/>
    <w:link w:val="CommentSubjectChar"/>
    <w:uiPriority w:val="99"/>
    <w:semiHidden/>
    <w:unhideWhenUsed/>
    <w:rsid w:val="00D90D13"/>
    <w:rPr>
      <w:b/>
      <w:bCs/>
    </w:rPr>
  </w:style>
  <w:style w:type="character" w:customStyle="1" w:styleId="CommentSubjectChar">
    <w:name w:val="Comment Subject Char"/>
    <w:basedOn w:val="CommentTextChar"/>
    <w:link w:val="CommentSubject"/>
    <w:uiPriority w:val="99"/>
    <w:semiHidden/>
    <w:rsid w:val="00D90D13"/>
    <w:rPr>
      <w:b/>
      <w:bCs/>
      <w:sz w:val="20"/>
      <w:szCs w:val="20"/>
    </w:rPr>
  </w:style>
  <w:style w:type="paragraph" w:styleId="ListParagraph">
    <w:name w:val="List Paragraph"/>
    <w:basedOn w:val="Normal"/>
    <w:uiPriority w:val="34"/>
    <w:qFormat/>
    <w:rsid w:val="00951158"/>
    <w:pPr>
      <w:ind w:left="720"/>
      <w:contextualSpacing/>
    </w:pPr>
  </w:style>
  <w:style w:type="character" w:styleId="Hyperlink">
    <w:name w:val="Hyperlink"/>
    <w:basedOn w:val="DefaultParagraphFont"/>
    <w:uiPriority w:val="99"/>
    <w:unhideWhenUsed/>
    <w:rsid w:val="00C7589B"/>
    <w:rPr>
      <w:color w:val="0563C1" w:themeColor="hyperlink"/>
      <w:u w:val="single"/>
    </w:rPr>
  </w:style>
  <w:style w:type="character" w:styleId="UnresolvedMention">
    <w:name w:val="Unresolved Mention"/>
    <w:basedOn w:val="DefaultParagraphFont"/>
    <w:uiPriority w:val="99"/>
    <w:semiHidden/>
    <w:unhideWhenUsed/>
    <w:rsid w:val="00C7589B"/>
    <w:rPr>
      <w:color w:val="605E5C"/>
      <w:shd w:val="clear" w:color="auto" w:fill="E1DFDD"/>
    </w:rPr>
  </w:style>
  <w:style w:type="paragraph" w:customStyle="1" w:styleId="dialog-unordered-listitem">
    <w:name w:val="dialog-unordered-listitem"/>
    <w:basedOn w:val="Normal"/>
    <w:rsid w:val="003702A8"/>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370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810357">
      <w:bodyDiv w:val="1"/>
      <w:marLeft w:val="0"/>
      <w:marRight w:val="0"/>
      <w:marTop w:val="0"/>
      <w:marBottom w:val="0"/>
      <w:divBdr>
        <w:top w:val="none" w:sz="0" w:space="0" w:color="auto"/>
        <w:left w:val="none" w:sz="0" w:space="0" w:color="auto"/>
        <w:bottom w:val="none" w:sz="0" w:space="0" w:color="auto"/>
        <w:right w:val="none" w:sz="0" w:space="0" w:color="auto"/>
      </w:divBdr>
    </w:div>
    <w:div w:id="14690836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samosaic.ssa.root.lan/mosprod/controller/personsummary/1357890"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assets.publishing.service.gov.uk/government/uploads/system/uploads/attachment_data/file/337568/iro_statutory_guidance_iros_and_las_march_2010_tagged.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2D7ABC48405146AE103A825D421161" ma:contentTypeVersion="14" ma:contentTypeDescription="Create a new document." ma:contentTypeScope="" ma:versionID="47814c57f22e3f3e1f7854411555b23e">
  <xsd:schema xmlns:xsd="http://www.w3.org/2001/XMLSchema" xmlns:xs="http://www.w3.org/2001/XMLSchema" xmlns:p="http://schemas.microsoft.com/office/2006/metadata/properties" xmlns:ns3="8682381e-3618-4635-8034-39cbd794e34e" xmlns:ns4="f5c61234-2c76-42eb-a58d-e28e1f50ac5b" targetNamespace="http://schemas.microsoft.com/office/2006/metadata/properties" ma:root="true" ma:fieldsID="a04d122576c08d0f3a74530561546023" ns3:_="" ns4:_="">
    <xsd:import namespace="8682381e-3618-4635-8034-39cbd794e34e"/>
    <xsd:import namespace="f5c61234-2c76-42eb-a58d-e28e1f50ac5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OCR"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2381e-3618-4635-8034-39cbd794e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c61234-2c76-42eb-a58d-e28e1f50ac5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6359AD-F76F-42EF-8B51-52DDE64D69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82381e-3618-4635-8034-39cbd794e34e"/>
    <ds:schemaRef ds:uri="f5c61234-2c76-42eb-a58d-e28e1f50ac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F319C0-0639-495E-9485-9E0019470FD0}">
  <ds:schemaRefs>
    <ds:schemaRef ds:uri="http://schemas.microsoft.com/sharepoint/v3/contenttype/forms"/>
  </ds:schemaRefs>
</ds:datastoreItem>
</file>

<file path=customXml/itemProps3.xml><?xml version="1.0" encoding="utf-8"?>
<ds:datastoreItem xmlns:ds="http://schemas.openxmlformats.org/officeDocument/2006/customXml" ds:itemID="{C463D7D8-874F-4E25-8208-D8DF29A9E7DB}">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763da656-5c75-4f6d-9461-4a3ce9a537cc}" enabled="1" method="Standar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1</TotalTime>
  <Pages>1</Pages>
  <Words>1288</Words>
  <Characters>7345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Lacey, Ruth</dc:creator>
  <cp:keywords/>
  <dc:description/>
  <cp:lastModifiedBy>Sethi, Indeep</cp:lastModifiedBy>
  <cp:revision>3</cp:revision>
  <dcterms:created xsi:type="dcterms:W3CDTF">2022-09-12T15:42:00Z</dcterms:created>
  <dcterms:modified xsi:type="dcterms:W3CDTF">2022-09-12T15:42:00Z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#000000,10,Calibri</vt:lpwstr>
  </property>
  <property fmtid="{D5CDD505-2E9C-101B-9397-08002B2CF9AE}" pid="4" name="ClassificationContentMarkingHeaderText">
    <vt:lpwstr>Official</vt:lpwstr>
  </property>
  <property fmtid="{D5CDD505-2E9C-101B-9397-08002B2CF9AE}" pid="5" name="MSIP_Label_763da656-5c75-4f6d-9461-4a3ce9a537cc_Enabled">
    <vt:lpwstr>true</vt:lpwstr>
  </property>
  <property fmtid="{D5CDD505-2E9C-101B-9397-08002B2CF9AE}" pid="6" name="MSIP_Label_763da656-5c75-4f6d-9461-4a3ce9a537cc_SetDate">
    <vt:lpwstr>2022-04-14T13:06:41Z</vt:lpwstr>
  </property>
  <property fmtid="{D5CDD505-2E9C-101B-9397-08002B2CF9AE}" pid="7" name="MSIP_Label_763da656-5c75-4f6d-9461-4a3ce9a537cc_Method">
    <vt:lpwstr>Standard</vt:lpwstr>
  </property>
  <property fmtid="{D5CDD505-2E9C-101B-9397-08002B2CF9AE}" pid="8" name="MSIP_Label_763da656-5c75-4f6d-9461-4a3ce9a537cc_Name">
    <vt:lpwstr>763da656-5c75-4f6d-9461-4a3ce9a537cc</vt:lpwstr>
  </property>
  <property fmtid="{D5CDD505-2E9C-101B-9397-08002B2CF9AE}" pid="9" name="MSIP_Label_763da656-5c75-4f6d-9461-4a3ce9a537cc_SiteId">
    <vt:lpwstr>d9d3f5ac-f803-49be-949f-14a7074d74a7</vt:lpwstr>
  </property>
  <property fmtid="{D5CDD505-2E9C-101B-9397-08002B2CF9AE}" pid="10" name="MSIP_Label_763da656-5c75-4f6d-9461-4a3ce9a537cc_ActionId">
    <vt:lpwstr>4800e76f-89e1-431f-9876-23cc64bda8af</vt:lpwstr>
  </property>
  <property fmtid="{D5CDD505-2E9C-101B-9397-08002B2CF9AE}" pid="11" name="MSIP_Label_763da656-5c75-4f6d-9461-4a3ce9a537cc_ContentBits">
    <vt:lpwstr>1</vt:lpwstr>
  </property>
  <property fmtid="{D5CDD505-2E9C-101B-9397-08002B2CF9AE}" pid="12" name="ContentTypeId">
    <vt:lpwstr>0x010100552D7ABC48405146AE103A825D421161</vt:lpwstr>
  </property>
</Properties>
</file>