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8BA7" w14:textId="77777777" w:rsidR="000832D8" w:rsidRPr="000832D8" w:rsidRDefault="000832D8" w:rsidP="003B1E50">
      <w:pPr>
        <w:jc w:val="center"/>
        <w:rPr>
          <w:rFonts w:ascii="Arial" w:hAnsi="Arial" w:cs="Arial"/>
          <w:color w:val="00B0F0"/>
          <w:sz w:val="36"/>
          <w:szCs w:val="36"/>
        </w:rPr>
      </w:pPr>
      <w:r w:rsidRPr="000832D8">
        <w:rPr>
          <w:rFonts w:ascii="Arial" w:hAnsi="Arial" w:cs="Arial"/>
          <w:color w:val="00B0F0"/>
          <w:sz w:val="36"/>
          <w:szCs w:val="36"/>
        </w:rPr>
        <w:t>Gloucestershire County Council</w:t>
      </w:r>
    </w:p>
    <w:p w14:paraId="0CE32649" w14:textId="464FB90C" w:rsidR="003B1E50" w:rsidRPr="000832D8" w:rsidRDefault="003B1E50" w:rsidP="003B1E50">
      <w:pPr>
        <w:jc w:val="center"/>
        <w:rPr>
          <w:rFonts w:ascii="Arial" w:hAnsi="Arial" w:cs="Arial"/>
          <w:color w:val="00B0F0"/>
          <w:sz w:val="36"/>
          <w:szCs w:val="36"/>
        </w:rPr>
      </w:pPr>
      <w:r w:rsidRPr="000832D8">
        <w:rPr>
          <w:rFonts w:ascii="Arial" w:hAnsi="Arial" w:cs="Arial"/>
          <w:color w:val="00B0F0"/>
          <w:sz w:val="36"/>
          <w:szCs w:val="36"/>
        </w:rPr>
        <w:t>Children</w:t>
      </w:r>
      <w:r w:rsidR="000832D8" w:rsidRPr="000832D8">
        <w:rPr>
          <w:rFonts w:ascii="Arial" w:hAnsi="Arial" w:cs="Arial"/>
          <w:color w:val="00B0F0"/>
          <w:sz w:val="36"/>
          <w:szCs w:val="36"/>
        </w:rPr>
        <w:t>’s Safeguarding and Care</w:t>
      </w:r>
    </w:p>
    <w:p w14:paraId="01407A9E" w14:textId="4599C8D5" w:rsidR="003B1E50" w:rsidRDefault="003B1E50" w:rsidP="003B1E50">
      <w:pPr>
        <w:jc w:val="center"/>
        <w:rPr>
          <w:rFonts w:ascii="Arial" w:hAnsi="Arial" w:cs="Arial"/>
          <w:b/>
          <w:bCs/>
          <w:color w:val="00B0F0"/>
          <w:sz w:val="36"/>
          <w:szCs w:val="36"/>
        </w:rPr>
      </w:pPr>
      <w:r w:rsidRPr="003E378C">
        <w:rPr>
          <w:rFonts w:ascii="Arial" w:hAnsi="Arial" w:cs="Arial"/>
          <w:b/>
          <w:bCs/>
          <w:color w:val="00B0F0"/>
          <w:sz w:val="36"/>
          <w:szCs w:val="36"/>
        </w:rPr>
        <w:t>Practice Direction</w:t>
      </w:r>
      <w:r w:rsidR="00D901B9">
        <w:rPr>
          <w:rFonts w:ascii="Arial" w:hAnsi="Arial" w:cs="Arial"/>
          <w:b/>
          <w:bCs/>
          <w:color w:val="00B0F0"/>
          <w:sz w:val="36"/>
          <w:szCs w:val="36"/>
        </w:rPr>
        <w:t>:</w:t>
      </w:r>
    </w:p>
    <w:p w14:paraId="37BA6401" w14:textId="4B01FD94" w:rsidR="00D901B9" w:rsidRPr="003E378C" w:rsidRDefault="00D901B9" w:rsidP="003B1E50">
      <w:pPr>
        <w:jc w:val="center"/>
        <w:rPr>
          <w:rFonts w:ascii="Arial" w:hAnsi="Arial" w:cs="Arial"/>
          <w:b/>
          <w:bCs/>
          <w:color w:val="00B0F0"/>
          <w:sz w:val="36"/>
          <w:szCs w:val="36"/>
        </w:rPr>
      </w:pPr>
      <w:r>
        <w:rPr>
          <w:rFonts w:ascii="Arial" w:hAnsi="Arial" w:cs="Arial"/>
          <w:b/>
          <w:bCs/>
          <w:color w:val="00B0F0"/>
          <w:sz w:val="36"/>
          <w:szCs w:val="36"/>
        </w:rPr>
        <w:t>M</w:t>
      </w:r>
      <w:r w:rsidRPr="00D901B9">
        <w:rPr>
          <w:rFonts w:ascii="Arial" w:hAnsi="Arial" w:cs="Arial"/>
          <w:b/>
          <w:bCs/>
          <w:color w:val="00B0F0"/>
          <w:sz w:val="36"/>
          <w:szCs w:val="36"/>
        </w:rPr>
        <w:t>eaning and use of the term</w:t>
      </w:r>
      <w:r>
        <w:rPr>
          <w:rFonts w:ascii="Arial" w:hAnsi="Arial" w:cs="Arial"/>
          <w:b/>
          <w:bCs/>
          <w:color w:val="00B0F0"/>
          <w:sz w:val="36"/>
          <w:szCs w:val="36"/>
        </w:rPr>
        <w:t>s</w:t>
      </w:r>
      <w:r w:rsidRPr="00D901B9">
        <w:rPr>
          <w:rFonts w:ascii="Arial" w:hAnsi="Arial" w:cs="Arial"/>
          <w:b/>
          <w:bCs/>
          <w:color w:val="00B0F0"/>
          <w:sz w:val="36"/>
          <w:szCs w:val="36"/>
        </w:rPr>
        <w:t xml:space="preserve"> “disclosure” and “allegation”</w:t>
      </w:r>
    </w:p>
    <w:p w14:paraId="21ACA670" w14:textId="77777777" w:rsidR="003B1E50" w:rsidRPr="000832D8" w:rsidRDefault="003B1E50" w:rsidP="003B1E50">
      <w:pPr>
        <w:rPr>
          <w:rFonts w:ascii="Arial" w:hAnsi="Arial" w:cs="Arial"/>
          <w:sz w:val="24"/>
          <w:szCs w:val="24"/>
        </w:rPr>
      </w:pPr>
    </w:p>
    <w:p w14:paraId="7779E283" w14:textId="77777777" w:rsidR="003B1E50" w:rsidRPr="000832D8" w:rsidRDefault="003B1E50" w:rsidP="003B1E50">
      <w:pPr>
        <w:rPr>
          <w:rFonts w:ascii="Arial" w:hAnsi="Arial" w:cs="Arial"/>
          <w:sz w:val="24"/>
          <w:szCs w:val="24"/>
        </w:rPr>
      </w:pPr>
      <w:r w:rsidRPr="000832D8">
        <w:rPr>
          <w:rFonts w:ascii="Arial" w:hAnsi="Arial" w:cs="Arial"/>
          <w:color w:val="00B0F0"/>
          <w:sz w:val="28"/>
          <w:szCs w:val="28"/>
        </w:rPr>
        <w:t>Practice Directions</w:t>
      </w:r>
      <w:r w:rsidRPr="000832D8">
        <w:rPr>
          <w:rFonts w:ascii="Arial" w:hAnsi="Arial" w:cs="Arial"/>
          <w:color w:val="00B0F0"/>
          <w:sz w:val="24"/>
          <w:szCs w:val="24"/>
        </w:rPr>
        <w:t xml:space="preserve"> </w:t>
      </w:r>
      <w:r w:rsidRPr="000832D8">
        <w:rPr>
          <w:rFonts w:ascii="Arial" w:hAnsi="Arial" w:cs="Arial"/>
          <w:sz w:val="24"/>
          <w:szCs w:val="24"/>
        </w:rPr>
        <w:t xml:space="preserve">are supported by: </w:t>
      </w:r>
    </w:p>
    <w:p w14:paraId="19F3C067" w14:textId="3374627C" w:rsidR="003B1E50" w:rsidRPr="000832D8" w:rsidRDefault="003B1E50" w:rsidP="003B1E50">
      <w:pPr>
        <w:pStyle w:val="ListParagraph"/>
        <w:numPr>
          <w:ilvl w:val="0"/>
          <w:numId w:val="1"/>
        </w:numPr>
        <w:rPr>
          <w:rFonts w:ascii="Arial" w:hAnsi="Arial" w:cs="Arial"/>
        </w:rPr>
      </w:pPr>
      <w:r w:rsidRPr="000832D8">
        <w:rPr>
          <w:rFonts w:ascii="Arial" w:hAnsi="Arial" w:cs="Arial"/>
        </w:rPr>
        <w:t>Working Together 201</w:t>
      </w:r>
      <w:r w:rsidR="000832D8" w:rsidRPr="000832D8">
        <w:rPr>
          <w:rFonts w:ascii="Arial" w:hAnsi="Arial" w:cs="Arial"/>
        </w:rPr>
        <w:t>8</w:t>
      </w:r>
    </w:p>
    <w:p w14:paraId="3728F494" w14:textId="4C6E92A8" w:rsidR="003B1E50" w:rsidRPr="000832D8" w:rsidRDefault="000832D8" w:rsidP="003B1E50">
      <w:pPr>
        <w:pStyle w:val="ListParagraph"/>
        <w:numPr>
          <w:ilvl w:val="0"/>
          <w:numId w:val="1"/>
        </w:numPr>
        <w:rPr>
          <w:rFonts w:ascii="Arial" w:hAnsi="Arial" w:cs="Arial"/>
        </w:rPr>
      </w:pPr>
      <w:r w:rsidRPr="000832D8">
        <w:rPr>
          <w:rFonts w:ascii="Arial" w:hAnsi="Arial" w:cs="Arial"/>
        </w:rPr>
        <w:t>Professional Social Work S</w:t>
      </w:r>
      <w:r w:rsidR="003B1E50" w:rsidRPr="000832D8">
        <w:rPr>
          <w:rFonts w:ascii="Arial" w:hAnsi="Arial" w:cs="Arial"/>
        </w:rPr>
        <w:t>tandards</w:t>
      </w:r>
    </w:p>
    <w:p w14:paraId="393B9E58" w14:textId="77777777" w:rsidR="003B1E50" w:rsidRPr="000832D8" w:rsidRDefault="003B1E50" w:rsidP="003B1E50">
      <w:pPr>
        <w:pStyle w:val="ListParagraph"/>
        <w:numPr>
          <w:ilvl w:val="0"/>
          <w:numId w:val="1"/>
        </w:numPr>
        <w:rPr>
          <w:rFonts w:ascii="Arial" w:hAnsi="Arial" w:cs="Arial"/>
        </w:rPr>
      </w:pPr>
      <w:r w:rsidRPr="000832D8">
        <w:rPr>
          <w:rFonts w:ascii="Arial" w:hAnsi="Arial" w:cs="Arial"/>
        </w:rPr>
        <w:t>South West Child Protection Procedures</w:t>
      </w:r>
    </w:p>
    <w:p w14:paraId="3F3661DF" w14:textId="034E4493" w:rsidR="003B1E50" w:rsidRPr="000832D8" w:rsidRDefault="000832D8" w:rsidP="003B1E50">
      <w:pPr>
        <w:pStyle w:val="ListParagraph"/>
        <w:numPr>
          <w:ilvl w:val="0"/>
          <w:numId w:val="1"/>
        </w:numPr>
        <w:rPr>
          <w:rFonts w:ascii="Arial" w:hAnsi="Arial" w:cs="Arial"/>
        </w:rPr>
      </w:pPr>
      <w:r w:rsidRPr="000832D8">
        <w:rPr>
          <w:rFonts w:ascii="Arial" w:hAnsi="Arial" w:cs="Arial"/>
        </w:rPr>
        <w:t xml:space="preserve">Gloucestershire Children’s Services </w:t>
      </w:r>
      <w:r w:rsidR="00BB1B48">
        <w:rPr>
          <w:rFonts w:ascii="Arial" w:hAnsi="Arial" w:cs="Arial"/>
        </w:rPr>
        <w:t xml:space="preserve">Practice Standards and </w:t>
      </w:r>
      <w:r w:rsidR="003B1E50" w:rsidRPr="000832D8">
        <w:rPr>
          <w:rFonts w:ascii="Arial" w:hAnsi="Arial" w:cs="Arial"/>
        </w:rPr>
        <w:t>Quality Assurance Framework</w:t>
      </w:r>
    </w:p>
    <w:p w14:paraId="245581ED" w14:textId="3932F7DD" w:rsidR="000258C6" w:rsidRPr="000832D8" w:rsidRDefault="003B1E50">
      <w:pPr>
        <w:rPr>
          <w:rFonts w:ascii="Arial" w:hAnsi="Arial" w:cs="Arial"/>
        </w:rPr>
      </w:pPr>
      <w:r w:rsidRPr="000832D8">
        <w:rPr>
          <w:rFonts w:ascii="Arial" w:hAnsi="Arial" w:cs="Arial"/>
          <w:color w:val="00B0F0"/>
          <w:sz w:val="28"/>
          <w:szCs w:val="28"/>
        </w:rPr>
        <w:t>Objective:</w:t>
      </w:r>
      <w:r w:rsidR="00085552" w:rsidRPr="000832D8">
        <w:rPr>
          <w:rFonts w:ascii="Arial" w:hAnsi="Arial" w:cs="Arial"/>
          <w:color w:val="00B0F0"/>
        </w:rPr>
        <w:t xml:space="preserve">  </w:t>
      </w:r>
      <w:r w:rsidRPr="000832D8">
        <w:rPr>
          <w:rFonts w:ascii="Arial" w:hAnsi="Arial" w:cs="Arial"/>
        </w:rPr>
        <w:t xml:space="preserve">Practice Directions are intended to provide clarity </w:t>
      </w:r>
      <w:r w:rsidR="000832D8" w:rsidRPr="000832D8">
        <w:rPr>
          <w:rFonts w:ascii="Arial" w:hAnsi="Arial" w:cs="Arial"/>
        </w:rPr>
        <w:t xml:space="preserve">about </w:t>
      </w:r>
      <w:r w:rsidRPr="000832D8">
        <w:rPr>
          <w:rFonts w:ascii="Arial" w:hAnsi="Arial" w:cs="Arial"/>
        </w:rPr>
        <w:t xml:space="preserve">any change of expectations in practice OR clarity on elements of practice where there is confusion.  Practice Directions are intended for </w:t>
      </w:r>
      <w:r w:rsidR="000832D8" w:rsidRPr="000832D8">
        <w:rPr>
          <w:rFonts w:ascii="Arial" w:hAnsi="Arial" w:cs="Arial"/>
        </w:rPr>
        <w:t xml:space="preserve">social work </w:t>
      </w:r>
      <w:r w:rsidRPr="000832D8">
        <w:rPr>
          <w:rFonts w:ascii="Arial" w:hAnsi="Arial" w:cs="Arial"/>
        </w:rPr>
        <w:t>practitioners and managers</w:t>
      </w:r>
      <w:r w:rsidR="000832D8" w:rsidRPr="000832D8">
        <w:rPr>
          <w:rFonts w:ascii="Arial" w:hAnsi="Arial" w:cs="Arial"/>
        </w:rPr>
        <w:t xml:space="preserve"> and provide a</w:t>
      </w:r>
      <w:r w:rsidRPr="000832D8">
        <w:rPr>
          <w:rFonts w:ascii="Arial" w:hAnsi="Arial" w:cs="Arial"/>
        </w:rPr>
        <w:t>n audit</w:t>
      </w:r>
      <w:r w:rsidR="000832D8" w:rsidRPr="000832D8">
        <w:rPr>
          <w:rFonts w:ascii="Arial" w:hAnsi="Arial" w:cs="Arial"/>
        </w:rPr>
        <w:t>able</w:t>
      </w:r>
      <w:r w:rsidRPr="000832D8">
        <w:rPr>
          <w:rFonts w:ascii="Arial" w:hAnsi="Arial" w:cs="Arial"/>
        </w:rPr>
        <w:t xml:space="preserve"> trail </w:t>
      </w:r>
      <w:r w:rsidR="000832D8" w:rsidRPr="000832D8">
        <w:rPr>
          <w:rFonts w:ascii="Arial" w:hAnsi="Arial" w:cs="Arial"/>
        </w:rPr>
        <w:t xml:space="preserve">from which any </w:t>
      </w:r>
      <w:r w:rsidRPr="000832D8">
        <w:rPr>
          <w:rFonts w:ascii="Arial" w:hAnsi="Arial" w:cs="Arial"/>
        </w:rPr>
        <w:t>change</w:t>
      </w:r>
      <w:r w:rsidR="000832D8" w:rsidRPr="000832D8">
        <w:rPr>
          <w:rFonts w:ascii="Arial" w:hAnsi="Arial" w:cs="Arial"/>
        </w:rPr>
        <w:t>d</w:t>
      </w:r>
      <w:r w:rsidRPr="000832D8">
        <w:rPr>
          <w:rFonts w:ascii="Arial" w:hAnsi="Arial" w:cs="Arial"/>
        </w:rPr>
        <w:t xml:space="preserve"> </w:t>
      </w:r>
      <w:r w:rsidR="000832D8" w:rsidRPr="000832D8">
        <w:rPr>
          <w:rFonts w:ascii="Arial" w:hAnsi="Arial" w:cs="Arial"/>
        </w:rPr>
        <w:t xml:space="preserve">practice </w:t>
      </w:r>
      <w:r w:rsidRPr="000832D8">
        <w:rPr>
          <w:rFonts w:ascii="Arial" w:hAnsi="Arial" w:cs="Arial"/>
        </w:rPr>
        <w:t>expectations</w:t>
      </w:r>
      <w:r w:rsidR="000832D8" w:rsidRPr="000832D8">
        <w:rPr>
          <w:rFonts w:ascii="Arial" w:hAnsi="Arial" w:cs="Arial"/>
        </w:rPr>
        <w:t xml:space="preserve"> can be measured</w:t>
      </w:r>
      <w:r w:rsidRPr="000832D8">
        <w:rPr>
          <w:rFonts w:ascii="Arial" w:hAnsi="Arial" w:cs="Arial"/>
        </w:rPr>
        <w:t xml:space="preserve">.   </w:t>
      </w:r>
    </w:p>
    <w:p w14:paraId="78DB3546" w14:textId="0CBE6636" w:rsidR="00404322" w:rsidRDefault="00404322" w:rsidP="000832D8">
      <w:pPr>
        <w:rPr>
          <w:rFonts w:ascii="Arial" w:hAnsi="Arial" w:cs="Arial"/>
          <w:color w:val="00B0F0"/>
          <w:sz w:val="28"/>
          <w:szCs w:val="28"/>
        </w:rPr>
      </w:pPr>
      <w:r w:rsidRPr="00404322">
        <w:rPr>
          <w:rFonts w:ascii="Arial" w:hAnsi="Arial" w:cs="Arial"/>
          <w:noProof/>
          <w:color w:val="00B0F0"/>
          <w:sz w:val="28"/>
          <w:szCs w:val="28"/>
        </w:rPr>
        <mc:AlternateContent>
          <mc:Choice Requires="wps">
            <w:drawing>
              <wp:anchor distT="45720" distB="45720" distL="114300" distR="114300" simplePos="0" relativeHeight="251659264" behindDoc="0" locked="0" layoutInCell="1" allowOverlap="1" wp14:anchorId="4B5F16FB" wp14:editId="6B89925F">
                <wp:simplePos x="0" y="0"/>
                <wp:positionH relativeFrom="column">
                  <wp:posOffset>0</wp:posOffset>
                </wp:positionH>
                <wp:positionV relativeFrom="paragraph">
                  <wp:posOffset>438150</wp:posOffset>
                </wp:positionV>
                <wp:extent cx="6021070" cy="82867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828675"/>
                        </a:xfrm>
                        <a:prstGeom prst="rect">
                          <a:avLst/>
                        </a:prstGeom>
                        <a:solidFill>
                          <a:srgbClr val="FFFFFF"/>
                        </a:solidFill>
                        <a:ln w="9525">
                          <a:solidFill>
                            <a:srgbClr val="000000"/>
                          </a:solidFill>
                          <a:miter lim="800000"/>
                          <a:headEnd/>
                          <a:tailEnd/>
                        </a:ln>
                      </wps:spPr>
                      <wps:txbx>
                        <w:txbxContent>
                          <w:p w14:paraId="26DF364E" w14:textId="1E486E25" w:rsidR="00E47E12" w:rsidRPr="00E47E12" w:rsidRDefault="00E47E12" w:rsidP="00E47E12">
                            <w:pPr>
                              <w:jc w:val="both"/>
                              <w:rPr>
                                <w:rFonts w:ascii="Arial" w:hAnsi="Arial" w:cs="Arial"/>
                              </w:rPr>
                            </w:pPr>
                            <w:r w:rsidRPr="006C6CA4">
                              <w:rPr>
                                <w:rFonts w:ascii="Arial" w:hAnsi="Arial" w:cs="Arial"/>
                                <w:i/>
                                <w:iCs/>
                              </w:rPr>
                              <w:t>We need to understand the difference between a disclosure and an allegation. We must not use the word disclosure in records, reports and court documents to refer to something that is unsubstantiated. Instead, we need to use less ambiguous  language, for example “the child shared” or “the child said” or “told’’</w:t>
                            </w:r>
                            <w:r w:rsidRPr="00E47E12">
                              <w:rPr>
                                <w:rFonts w:ascii="Arial" w:hAnsi="Arial" w:cs="Arial"/>
                              </w:rPr>
                              <w:t>.</w:t>
                            </w:r>
                          </w:p>
                          <w:p w14:paraId="5C4D5F62" w14:textId="11DE004E" w:rsidR="00404322" w:rsidRPr="00404322" w:rsidRDefault="00404322">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F16FB" id="_x0000_t202" coordsize="21600,21600" o:spt="202" path="m,l,21600r21600,l21600,xe">
                <v:stroke joinstyle="miter"/>
                <v:path gradientshapeok="t" o:connecttype="rect"/>
              </v:shapetype>
              <v:shape id="Text Box 2" o:spid="_x0000_s1026" type="#_x0000_t202" style="position:absolute;margin-left:0;margin-top:34.5pt;width:474.1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">
                <v:textbox>
                  <w:txbxContent>
                    <w:p w14:paraId="26DF364E" w14:textId="1E486E25" w:rsidR="00E47E12" w:rsidRPr="00E47E12" w:rsidRDefault="00E47E12" w:rsidP="00E47E12">
                      <w:pPr>
                        <w:jc w:val="both"/>
                        <w:rPr>
                          <w:rFonts w:ascii="Arial" w:hAnsi="Arial" w:cs="Arial"/>
                        </w:rPr>
                      </w:pPr>
                      <w:r w:rsidRPr="006C6CA4">
                        <w:rPr>
                          <w:rFonts w:ascii="Arial" w:hAnsi="Arial" w:cs="Arial"/>
                          <w:i/>
                          <w:iCs/>
                        </w:rPr>
                        <w:t>We need to understand the difference between a disclosure and an allegation. We must not use the word disclosure in records, reports and court documents to refer to something that is unsubstantiated. Instead, we need to use less ambiguous  language, for example “the child shared” or “the child said” or “told’’</w:t>
                      </w:r>
                      <w:r w:rsidRPr="00E47E12">
                        <w:rPr>
                          <w:rFonts w:ascii="Arial" w:hAnsi="Arial" w:cs="Arial"/>
                        </w:rPr>
                        <w:t>.</w:t>
                      </w:r>
                    </w:p>
                    <w:p w14:paraId="5C4D5F62" w14:textId="11DE004E" w:rsidR="00404322" w:rsidRPr="00404322" w:rsidRDefault="00404322">
                      <w:pPr>
                        <w:rPr>
                          <w:b/>
                          <w:bCs/>
                        </w:rPr>
                      </w:pPr>
                    </w:p>
                  </w:txbxContent>
                </v:textbox>
                <w10:wrap type="square"/>
              </v:shape>
            </w:pict>
          </mc:Fallback>
        </mc:AlternateContent>
      </w:r>
      <w:r w:rsidR="003B1E50" w:rsidRPr="000832D8">
        <w:rPr>
          <w:rFonts w:ascii="Arial" w:hAnsi="Arial" w:cs="Arial"/>
          <w:color w:val="00B0F0"/>
          <w:sz w:val="28"/>
          <w:szCs w:val="28"/>
        </w:rPr>
        <w:t>Practice Change</w:t>
      </w:r>
      <w:r w:rsidR="00E47E12">
        <w:rPr>
          <w:rFonts w:ascii="Arial" w:hAnsi="Arial" w:cs="Arial"/>
          <w:color w:val="00B0F0"/>
          <w:sz w:val="28"/>
          <w:szCs w:val="28"/>
        </w:rPr>
        <w:t xml:space="preserve"> </w:t>
      </w:r>
      <w:r>
        <w:rPr>
          <w:rFonts w:ascii="Arial" w:hAnsi="Arial" w:cs="Arial"/>
          <w:color w:val="00B0F0"/>
          <w:sz w:val="28"/>
          <w:szCs w:val="28"/>
        </w:rPr>
        <w:t>1</w:t>
      </w:r>
      <w:r w:rsidR="003B1E50" w:rsidRPr="000832D8">
        <w:rPr>
          <w:rFonts w:ascii="Arial" w:hAnsi="Arial" w:cs="Arial"/>
          <w:color w:val="00B0F0"/>
          <w:sz w:val="28"/>
          <w:szCs w:val="28"/>
        </w:rPr>
        <w:t>:</w:t>
      </w:r>
    </w:p>
    <w:p w14:paraId="15D73BFA" w14:textId="77777777" w:rsidR="00404322" w:rsidRDefault="00404322" w:rsidP="000832D8">
      <w:pPr>
        <w:rPr>
          <w:rFonts w:ascii="Arial" w:hAnsi="Arial" w:cs="Arial"/>
        </w:rPr>
      </w:pPr>
    </w:p>
    <w:p w14:paraId="3A7D2020" w14:textId="66CB06F8" w:rsidR="000832D8" w:rsidRPr="000832D8" w:rsidRDefault="000832D8" w:rsidP="000832D8">
      <w:pPr>
        <w:rPr>
          <w:rFonts w:ascii="Arial" w:hAnsi="Arial" w:cs="Arial"/>
        </w:rPr>
      </w:pPr>
      <w:r w:rsidRPr="000832D8">
        <w:rPr>
          <w:rFonts w:ascii="Arial" w:hAnsi="Arial" w:cs="Arial"/>
        </w:rPr>
        <w:t xml:space="preserve">This practice direction arises from a </w:t>
      </w:r>
      <w:r w:rsidR="00C930EE">
        <w:rPr>
          <w:rFonts w:ascii="Arial" w:hAnsi="Arial" w:cs="Arial"/>
        </w:rPr>
        <w:t xml:space="preserve">Bristol Family Court </w:t>
      </w:r>
      <w:r w:rsidRPr="000832D8">
        <w:rPr>
          <w:rFonts w:ascii="Arial" w:hAnsi="Arial" w:cs="Arial"/>
        </w:rPr>
        <w:t>judgment regarding care proceedings for four siblings</w:t>
      </w:r>
      <w:r w:rsidR="00EA3CDA">
        <w:rPr>
          <w:rFonts w:ascii="Arial" w:hAnsi="Arial" w:cs="Arial"/>
        </w:rPr>
        <w:t xml:space="preserve"> in Gloucestershire</w:t>
      </w:r>
      <w:r w:rsidR="007D42CF">
        <w:rPr>
          <w:rFonts w:ascii="Arial" w:hAnsi="Arial" w:cs="Arial"/>
        </w:rPr>
        <w:t xml:space="preserve"> </w:t>
      </w:r>
      <w:r w:rsidR="00EA3CDA">
        <w:rPr>
          <w:rFonts w:ascii="Arial" w:hAnsi="Arial" w:cs="Arial"/>
        </w:rPr>
        <w:t xml:space="preserve">and results from </w:t>
      </w:r>
      <w:r w:rsidRPr="000832D8">
        <w:rPr>
          <w:rFonts w:ascii="Arial" w:hAnsi="Arial" w:cs="Arial"/>
        </w:rPr>
        <w:t xml:space="preserve">a direct request </w:t>
      </w:r>
      <w:r w:rsidR="00EA3CDA">
        <w:rPr>
          <w:rFonts w:ascii="Arial" w:hAnsi="Arial" w:cs="Arial"/>
        </w:rPr>
        <w:t>from the Judge to alert managers and practitioners to the findings made</w:t>
      </w:r>
      <w:r w:rsidR="00EA3CDA">
        <w:rPr>
          <w:rStyle w:val="FootnoteReference"/>
          <w:rFonts w:ascii="Arial" w:hAnsi="Arial" w:cs="Arial"/>
        </w:rPr>
        <w:footnoteReference w:id="1"/>
      </w:r>
      <w:r w:rsidRPr="000832D8">
        <w:rPr>
          <w:rFonts w:ascii="Arial" w:hAnsi="Arial" w:cs="Arial"/>
        </w:rPr>
        <w:t xml:space="preserve">. </w:t>
      </w:r>
    </w:p>
    <w:p w14:paraId="0A49CBFA" w14:textId="6D68D20A" w:rsidR="000832D8" w:rsidRPr="00401DE0" w:rsidRDefault="00EA3CDA" w:rsidP="000832D8">
      <w:pPr>
        <w:rPr>
          <w:rFonts w:ascii="Arial" w:hAnsi="Arial" w:cs="Arial"/>
        </w:rPr>
      </w:pPr>
      <w:r>
        <w:rPr>
          <w:rFonts w:ascii="Arial" w:hAnsi="Arial" w:cs="Arial"/>
        </w:rPr>
        <w:t xml:space="preserve">The Judge highlighted </w:t>
      </w:r>
      <w:r w:rsidRPr="00A83EB2">
        <w:rPr>
          <w:rFonts w:ascii="Arial" w:hAnsi="Arial" w:cs="Arial"/>
          <w:b/>
          <w:bCs/>
        </w:rPr>
        <w:t>the difference in meaning and use of the term “disclosure” and “allegation”</w:t>
      </w:r>
      <w:r w:rsidRPr="00401DE0">
        <w:rPr>
          <w:rFonts w:ascii="Arial" w:hAnsi="Arial" w:cs="Arial"/>
        </w:rPr>
        <w:t>, specifically commenting on</w:t>
      </w:r>
      <w:r w:rsidR="000832D8" w:rsidRPr="00401DE0">
        <w:rPr>
          <w:rFonts w:ascii="Arial" w:hAnsi="Arial" w:cs="Arial"/>
        </w:rPr>
        <w:t xml:space="preserve"> the need for a clear distinction between</w:t>
      </w:r>
      <w:r w:rsidR="00B40ED4" w:rsidRPr="00401DE0">
        <w:rPr>
          <w:rFonts w:ascii="Arial" w:hAnsi="Arial" w:cs="Arial"/>
        </w:rPr>
        <w:t xml:space="preserve"> a disclosure when a child’s reported experience is known to be true and the child is believed completely a</w:t>
      </w:r>
      <w:r w:rsidR="000832D8" w:rsidRPr="00401DE0">
        <w:rPr>
          <w:rFonts w:ascii="Arial" w:hAnsi="Arial" w:cs="Arial"/>
        </w:rPr>
        <w:t xml:space="preserve">nd taking the child seriously when allegations are made. </w:t>
      </w:r>
    </w:p>
    <w:p w14:paraId="7592F54B" w14:textId="7CFEA2AD" w:rsidR="000832D8" w:rsidRDefault="000832D8" w:rsidP="000832D8">
      <w:pPr>
        <w:rPr>
          <w:rFonts w:ascii="Arial" w:hAnsi="Arial" w:cs="Arial"/>
        </w:rPr>
      </w:pPr>
      <w:r w:rsidRPr="000832D8">
        <w:rPr>
          <w:rFonts w:ascii="Arial" w:hAnsi="Arial" w:cs="Arial"/>
        </w:rPr>
        <w:t xml:space="preserve">The </w:t>
      </w:r>
      <w:r w:rsidR="00A769A6">
        <w:rPr>
          <w:rFonts w:ascii="Arial" w:hAnsi="Arial" w:cs="Arial"/>
        </w:rPr>
        <w:t>“</w:t>
      </w:r>
      <w:r w:rsidRPr="000832D8">
        <w:rPr>
          <w:rFonts w:ascii="Arial" w:hAnsi="Arial" w:cs="Arial"/>
        </w:rPr>
        <w:t>uncritical acceptance and reliance</w:t>
      </w:r>
      <w:r w:rsidR="00A769A6">
        <w:rPr>
          <w:rFonts w:ascii="Arial" w:hAnsi="Arial" w:cs="Arial"/>
        </w:rPr>
        <w:t>”</w:t>
      </w:r>
      <w:r w:rsidRPr="000832D8">
        <w:rPr>
          <w:rFonts w:ascii="Arial" w:hAnsi="Arial" w:cs="Arial"/>
        </w:rPr>
        <w:t xml:space="preserve"> of the local authority on </w:t>
      </w:r>
      <w:r w:rsidR="003030EF">
        <w:rPr>
          <w:rFonts w:ascii="Arial" w:hAnsi="Arial" w:cs="Arial"/>
        </w:rPr>
        <w:t>what was an unproven allegation made by the children</w:t>
      </w:r>
      <w:r w:rsidR="00B2274A">
        <w:rPr>
          <w:rFonts w:ascii="Arial" w:hAnsi="Arial" w:cs="Arial"/>
        </w:rPr>
        <w:t xml:space="preserve"> </w:t>
      </w:r>
      <w:r w:rsidR="00A769A6">
        <w:rPr>
          <w:rFonts w:ascii="Arial" w:hAnsi="Arial" w:cs="Arial"/>
        </w:rPr>
        <w:t xml:space="preserve">and </w:t>
      </w:r>
      <w:r w:rsidR="00B2274A">
        <w:rPr>
          <w:rFonts w:ascii="Arial" w:hAnsi="Arial" w:cs="Arial"/>
        </w:rPr>
        <w:t xml:space="preserve">termed a “disclosure” </w:t>
      </w:r>
      <w:r w:rsidR="00A769A6">
        <w:rPr>
          <w:rFonts w:ascii="Arial" w:hAnsi="Arial" w:cs="Arial"/>
        </w:rPr>
        <w:t xml:space="preserve">by the independent social worker </w:t>
      </w:r>
      <w:r w:rsidR="00B2274A">
        <w:rPr>
          <w:rFonts w:ascii="Arial" w:hAnsi="Arial" w:cs="Arial"/>
        </w:rPr>
        <w:lastRenderedPageBreak/>
        <w:t xml:space="preserve">was </w:t>
      </w:r>
      <w:r w:rsidR="00CB4963">
        <w:rPr>
          <w:rFonts w:ascii="Arial" w:hAnsi="Arial" w:cs="Arial"/>
        </w:rPr>
        <w:t xml:space="preserve">criticised </w:t>
      </w:r>
      <w:r w:rsidR="00B2274A">
        <w:rPr>
          <w:rFonts w:ascii="Arial" w:hAnsi="Arial" w:cs="Arial"/>
        </w:rPr>
        <w:t xml:space="preserve">in the judgment. </w:t>
      </w:r>
      <w:r w:rsidRPr="000832D8">
        <w:rPr>
          <w:rFonts w:ascii="Arial" w:hAnsi="Arial" w:cs="Arial"/>
        </w:rPr>
        <w:t xml:space="preserve">It is </w:t>
      </w:r>
      <w:r w:rsidR="00C7209A">
        <w:rPr>
          <w:rFonts w:ascii="Arial" w:hAnsi="Arial" w:cs="Arial"/>
        </w:rPr>
        <w:t xml:space="preserve">an </w:t>
      </w:r>
      <w:r w:rsidRPr="000832D8">
        <w:rPr>
          <w:rFonts w:ascii="Arial" w:hAnsi="Arial" w:cs="Arial"/>
        </w:rPr>
        <w:t xml:space="preserve">important, and significant </w:t>
      </w:r>
      <w:r w:rsidR="00C7209A">
        <w:rPr>
          <w:rFonts w:ascii="Arial" w:hAnsi="Arial" w:cs="Arial"/>
        </w:rPr>
        <w:t>feature in the</w:t>
      </w:r>
      <w:r w:rsidRPr="000832D8">
        <w:rPr>
          <w:rFonts w:ascii="Arial" w:hAnsi="Arial" w:cs="Arial"/>
        </w:rPr>
        <w:t xml:space="preserve"> learning from this case highlighted by the Judge that greater attention </w:t>
      </w:r>
      <w:r w:rsidR="00C7209A">
        <w:rPr>
          <w:rFonts w:ascii="Arial" w:hAnsi="Arial" w:cs="Arial"/>
        </w:rPr>
        <w:t>be</w:t>
      </w:r>
      <w:r w:rsidRPr="000832D8">
        <w:rPr>
          <w:rFonts w:ascii="Arial" w:hAnsi="Arial" w:cs="Arial"/>
        </w:rPr>
        <w:t xml:space="preserve"> paid to the use and implications of the two words.</w:t>
      </w:r>
    </w:p>
    <w:p w14:paraId="423514C1" w14:textId="7138AC43" w:rsidR="00613F5B" w:rsidRDefault="00E94A0C" w:rsidP="000832D8">
      <w:pPr>
        <w:rPr>
          <w:rFonts w:ascii="Arial" w:hAnsi="Arial" w:cs="Arial"/>
        </w:rPr>
      </w:pPr>
      <w:r>
        <w:rPr>
          <w:rFonts w:ascii="Arial" w:hAnsi="Arial" w:cs="Arial"/>
        </w:rPr>
        <w:t>The implication of the</w:t>
      </w:r>
      <w:r w:rsidR="00CF1BE9">
        <w:rPr>
          <w:rFonts w:ascii="Arial" w:hAnsi="Arial" w:cs="Arial"/>
        </w:rPr>
        <w:t xml:space="preserve"> use of the</w:t>
      </w:r>
      <w:r>
        <w:rPr>
          <w:rFonts w:ascii="Arial" w:hAnsi="Arial" w:cs="Arial"/>
        </w:rPr>
        <w:t xml:space="preserve"> word “disclosure”</w:t>
      </w:r>
      <w:r w:rsidR="000832D8" w:rsidRPr="000832D8">
        <w:rPr>
          <w:rFonts w:ascii="Arial" w:hAnsi="Arial" w:cs="Arial"/>
        </w:rPr>
        <w:t xml:space="preserve"> in recording the views and experiences relayed in formal or informal discussions with children can imply that these statements are ‘</w:t>
      </w:r>
      <w:r w:rsidR="000832D8" w:rsidRPr="000832D8">
        <w:rPr>
          <w:rFonts w:ascii="Arial" w:hAnsi="Arial" w:cs="Arial"/>
          <w:i/>
          <w:iCs/>
        </w:rPr>
        <w:t>revelations of the truth’</w:t>
      </w:r>
      <w:r w:rsidR="000832D8" w:rsidRPr="000832D8">
        <w:rPr>
          <w:rFonts w:ascii="Arial" w:hAnsi="Arial" w:cs="Arial"/>
        </w:rPr>
        <w:t xml:space="preserve"> and in consequence not considered with sufficient curiosity or rigour to reliably inform decision</w:t>
      </w:r>
      <w:r w:rsidR="00E84843">
        <w:rPr>
          <w:rFonts w:ascii="Arial" w:hAnsi="Arial" w:cs="Arial"/>
        </w:rPr>
        <w:t>-</w:t>
      </w:r>
      <w:r w:rsidR="000832D8" w:rsidRPr="000832D8">
        <w:rPr>
          <w:rFonts w:ascii="Arial" w:hAnsi="Arial" w:cs="Arial"/>
        </w:rPr>
        <w:t xml:space="preserve">making. This can then reinforce unsubstantiated </w:t>
      </w:r>
      <w:r w:rsidR="00E84843">
        <w:rPr>
          <w:rFonts w:ascii="Arial" w:hAnsi="Arial" w:cs="Arial"/>
        </w:rPr>
        <w:t xml:space="preserve">and sometimes </w:t>
      </w:r>
      <w:r w:rsidR="007E2709">
        <w:rPr>
          <w:rFonts w:ascii="Arial" w:hAnsi="Arial" w:cs="Arial"/>
        </w:rPr>
        <w:t xml:space="preserve">inaccurate </w:t>
      </w:r>
      <w:r w:rsidR="000832D8" w:rsidRPr="000832D8">
        <w:rPr>
          <w:rFonts w:ascii="Arial" w:hAnsi="Arial" w:cs="Arial"/>
        </w:rPr>
        <w:t xml:space="preserve">conclusions </w:t>
      </w:r>
      <w:r w:rsidR="007E2709">
        <w:rPr>
          <w:rFonts w:ascii="Arial" w:hAnsi="Arial" w:cs="Arial"/>
        </w:rPr>
        <w:t>drawn from what becomes misconstrued as fact, no matter how likely</w:t>
      </w:r>
      <w:r w:rsidR="003F04AB">
        <w:rPr>
          <w:rFonts w:ascii="Arial" w:hAnsi="Arial" w:cs="Arial"/>
        </w:rPr>
        <w:t xml:space="preserve">, in turn having </w:t>
      </w:r>
      <w:r w:rsidR="000832D8" w:rsidRPr="000832D8">
        <w:rPr>
          <w:rFonts w:ascii="Arial" w:hAnsi="Arial" w:cs="Arial"/>
        </w:rPr>
        <w:t>implications</w:t>
      </w:r>
      <w:r w:rsidR="00613F5B">
        <w:rPr>
          <w:rFonts w:ascii="Arial" w:hAnsi="Arial" w:cs="Arial"/>
        </w:rPr>
        <w:t xml:space="preserve"> in c</w:t>
      </w:r>
      <w:r w:rsidR="00065580">
        <w:rPr>
          <w:rFonts w:ascii="Arial" w:hAnsi="Arial" w:cs="Arial"/>
        </w:rPr>
        <w:t>o</w:t>
      </w:r>
      <w:r w:rsidR="00613F5B">
        <w:rPr>
          <w:rFonts w:ascii="Arial" w:hAnsi="Arial" w:cs="Arial"/>
        </w:rPr>
        <w:t xml:space="preserve">urt and for the child’s relationships and understanding of their life-story. </w:t>
      </w:r>
    </w:p>
    <w:p w14:paraId="2B2EE980" w14:textId="4ABBFED8" w:rsidR="000832D8" w:rsidRPr="000832D8" w:rsidRDefault="009668ED" w:rsidP="000832D8">
      <w:pPr>
        <w:rPr>
          <w:rFonts w:ascii="Arial" w:hAnsi="Arial" w:cs="Arial"/>
        </w:rPr>
      </w:pPr>
      <w:r>
        <w:rPr>
          <w:rFonts w:ascii="Arial" w:hAnsi="Arial" w:cs="Arial"/>
        </w:rPr>
        <w:t>I</w:t>
      </w:r>
      <w:r w:rsidR="000832D8" w:rsidRPr="000832D8">
        <w:rPr>
          <w:rFonts w:ascii="Arial" w:hAnsi="Arial" w:cs="Arial"/>
        </w:rPr>
        <w:t xml:space="preserve">n </w:t>
      </w:r>
      <w:r>
        <w:rPr>
          <w:rFonts w:ascii="Arial" w:hAnsi="Arial" w:cs="Arial"/>
        </w:rPr>
        <w:t xml:space="preserve">the judgment </w:t>
      </w:r>
      <w:r w:rsidR="000832D8" w:rsidRPr="000832D8">
        <w:rPr>
          <w:rFonts w:ascii="Arial" w:hAnsi="Arial" w:cs="Arial"/>
        </w:rPr>
        <w:t>the learning and guidance arising from both the Cleveland and Orkney child abuse enquiries in the late 1980’s and early 1990’s</w:t>
      </w:r>
      <w:r>
        <w:rPr>
          <w:rFonts w:ascii="Arial" w:hAnsi="Arial" w:cs="Arial"/>
        </w:rPr>
        <w:t xml:space="preserve"> was referenced</w:t>
      </w:r>
      <w:r w:rsidR="000832D8" w:rsidRPr="000832D8">
        <w:rPr>
          <w:rFonts w:ascii="Arial" w:hAnsi="Arial" w:cs="Arial"/>
        </w:rPr>
        <w:t xml:space="preserve">. Within these there is an emphasis on key factors that need to inform how we approach the distinction between an </w:t>
      </w:r>
      <w:r w:rsidR="000832D8" w:rsidRPr="000832D8">
        <w:rPr>
          <w:rFonts w:ascii="Arial" w:hAnsi="Arial" w:cs="Arial"/>
          <w:i/>
          <w:iCs/>
        </w:rPr>
        <w:t>allegation</w:t>
      </w:r>
      <w:r w:rsidR="000832D8" w:rsidRPr="000832D8">
        <w:rPr>
          <w:rFonts w:ascii="Arial" w:hAnsi="Arial" w:cs="Arial"/>
        </w:rPr>
        <w:t xml:space="preserve"> and a </w:t>
      </w:r>
      <w:r w:rsidR="000832D8" w:rsidRPr="000832D8">
        <w:rPr>
          <w:rFonts w:ascii="Arial" w:hAnsi="Arial" w:cs="Arial"/>
          <w:i/>
          <w:iCs/>
        </w:rPr>
        <w:t>disclosure</w:t>
      </w:r>
      <w:r w:rsidR="000832D8" w:rsidRPr="000832D8">
        <w:rPr>
          <w:rFonts w:ascii="Arial" w:hAnsi="Arial" w:cs="Arial"/>
        </w:rPr>
        <w:t>:</w:t>
      </w:r>
    </w:p>
    <w:p w14:paraId="12EFCC05" w14:textId="72C09DA3" w:rsidR="000832D8" w:rsidRPr="000832D8" w:rsidRDefault="0077020C" w:rsidP="0077020C">
      <w:pPr>
        <w:ind w:left="720"/>
        <w:rPr>
          <w:rFonts w:ascii="Arial" w:hAnsi="Arial" w:cs="Arial"/>
        </w:rPr>
      </w:pPr>
      <w:r>
        <w:rPr>
          <w:rFonts w:ascii="Arial" w:hAnsi="Arial" w:cs="Arial"/>
          <w:i/>
          <w:iCs/>
        </w:rPr>
        <w:t>“</w:t>
      </w:r>
      <w:r w:rsidR="000832D8" w:rsidRPr="000832D8">
        <w:rPr>
          <w:rFonts w:ascii="Arial" w:hAnsi="Arial" w:cs="Arial"/>
          <w:i/>
          <w:iCs/>
        </w:rPr>
        <w:t>to take the allegation seriously does mean not mean that i</w:t>
      </w:r>
      <w:r w:rsidR="00EA3B31">
        <w:rPr>
          <w:rFonts w:ascii="Arial" w:hAnsi="Arial" w:cs="Arial"/>
          <w:i/>
          <w:iCs/>
        </w:rPr>
        <w:t>t is</w:t>
      </w:r>
      <w:r w:rsidR="000832D8" w:rsidRPr="000832D8">
        <w:rPr>
          <w:rFonts w:ascii="Arial" w:hAnsi="Arial" w:cs="Arial"/>
          <w:i/>
          <w:iCs/>
        </w:rPr>
        <w:t xml:space="preserve"> necessarily to be believed…</w:t>
      </w:r>
      <w:r w:rsidR="000832D8" w:rsidRPr="000832D8">
        <w:rPr>
          <w:rFonts w:ascii="Arial" w:hAnsi="Arial" w:cs="Arial"/>
          <w:i/>
          <w:iCs/>
          <w:u w:val="single"/>
        </w:rPr>
        <w:t>it still needs to be scrutinised, assessed and evaluated</w:t>
      </w:r>
      <w:r w:rsidR="000832D8" w:rsidRPr="000832D8">
        <w:rPr>
          <w:rFonts w:ascii="Arial" w:hAnsi="Arial" w:cs="Arial"/>
          <w:i/>
          <w:iCs/>
        </w:rPr>
        <w:t>.</w:t>
      </w:r>
      <w:r>
        <w:rPr>
          <w:rFonts w:ascii="Arial" w:hAnsi="Arial" w:cs="Arial"/>
          <w:i/>
          <w:iCs/>
        </w:rPr>
        <w:t>”</w:t>
      </w:r>
      <w:r w:rsidR="000832D8" w:rsidRPr="000832D8">
        <w:rPr>
          <w:rFonts w:ascii="Arial" w:hAnsi="Arial" w:cs="Arial"/>
        </w:rPr>
        <w:t xml:space="preserve"> </w:t>
      </w:r>
    </w:p>
    <w:p w14:paraId="0B968EE9" w14:textId="23A131EE" w:rsidR="000832D8" w:rsidRDefault="000832D8" w:rsidP="000832D8">
      <w:pPr>
        <w:rPr>
          <w:rFonts w:ascii="Arial" w:hAnsi="Arial" w:cs="Arial"/>
          <w:b/>
          <w:bCs/>
        </w:rPr>
      </w:pPr>
      <w:r w:rsidRPr="000832D8">
        <w:rPr>
          <w:rFonts w:ascii="Arial" w:hAnsi="Arial" w:cs="Arial"/>
        </w:rPr>
        <w:t xml:space="preserve">Whilst use of the word </w:t>
      </w:r>
      <w:r w:rsidR="00225834">
        <w:rPr>
          <w:rFonts w:ascii="Arial" w:hAnsi="Arial" w:cs="Arial"/>
        </w:rPr>
        <w:t>“</w:t>
      </w:r>
      <w:r w:rsidRPr="000832D8">
        <w:rPr>
          <w:rFonts w:ascii="Arial" w:hAnsi="Arial" w:cs="Arial"/>
        </w:rPr>
        <w:t>disclosure</w:t>
      </w:r>
      <w:r w:rsidR="00225834">
        <w:rPr>
          <w:rFonts w:ascii="Arial" w:hAnsi="Arial" w:cs="Arial"/>
        </w:rPr>
        <w:t>”</w:t>
      </w:r>
      <w:r w:rsidRPr="000832D8">
        <w:rPr>
          <w:rFonts w:ascii="Arial" w:hAnsi="Arial" w:cs="Arial"/>
        </w:rPr>
        <w:t xml:space="preserve"> in relaying and assessing the views and experiences of a child may indicate a genuine intent to engage with, respect and listen to the child, it risks avoiding the necessary analysis, hypothesising and critical thinking necessary to understand and inform the conclusions of any assessment and </w:t>
      </w:r>
      <w:r w:rsidR="0031276F" w:rsidRPr="000832D8">
        <w:rPr>
          <w:rFonts w:ascii="Arial" w:hAnsi="Arial" w:cs="Arial"/>
        </w:rPr>
        <w:t>subsequent plans</w:t>
      </w:r>
      <w:r w:rsidRPr="000832D8">
        <w:rPr>
          <w:rFonts w:ascii="Arial" w:hAnsi="Arial" w:cs="Arial"/>
        </w:rPr>
        <w:t xml:space="preserve">. </w:t>
      </w:r>
      <w:r w:rsidR="0031276F">
        <w:rPr>
          <w:rFonts w:ascii="Arial" w:hAnsi="Arial" w:cs="Arial"/>
        </w:rPr>
        <w:t>W</w:t>
      </w:r>
      <w:r w:rsidRPr="000832D8">
        <w:rPr>
          <w:rFonts w:ascii="Arial" w:hAnsi="Arial" w:cs="Arial"/>
        </w:rPr>
        <w:t xml:space="preserve">hereas use of the word </w:t>
      </w:r>
      <w:r w:rsidR="0031276F">
        <w:rPr>
          <w:rFonts w:ascii="Arial" w:hAnsi="Arial" w:cs="Arial"/>
        </w:rPr>
        <w:t>“</w:t>
      </w:r>
      <w:r w:rsidRPr="000832D8">
        <w:rPr>
          <w:rFonts w:ascii="Arial" w:hAnsi="Arial" w:cs="Arial"/>
        </w:rPr>
        <w:t>allegation</w:t>
      </w:r>
      <w:r w:rsidR="0031276F">
        <w:rPr>
          <w:rFonts w:ascii="Arial" w:hAnsi="Arial" w:cs="Arial"/>
        </w:rPr>
        <w:t>”</w:t>
      </w:r>
      <w:r w:rsidRPr="000832D8">
        <w:rPr>
          <w:rFonts w:ascii="Arial" w:hAnsi="Arial" w:cs="Arial"/>
        </w:rPr>
        <w:t xml:space="preserve"> implies a caution about whether something happened or not</w:t>
      </w:r>
      <w:r w:rsidR="004158BD">
        <w:rPr>
          <w:rFonts w:ascii="Arial" w:hAnsi="Arial" w:cs="Arial"/>
        </w:rPr>
        <w:t xml:space="preserve"> and conveys the responsibility </w:t>
      </w:r>
      <w:r w:rsidRPr="000832D8">
        <w:rPr>
          <w:rFonts w:ascii="Arial" w:hAnsi="Arial" w:cs="Arial"/>
        </w:rPr>
        <w:t xml:space="preserve">to </w:t>
      </w:r>
      <w:r w:rsidR="009B60A5">
        <w:rPr>
          <w:rFonts w:ascii="Arial" w:hAnsi="Arial" w:cs="Arial"/>
        </w:rPr>
        <w:t xml:space="preserve">try to establish what happened. </w:t>
      </w:r>
      <w:r w:rsidR="00E122BA">
        <w:rPr>
          <w:rFonts w:ascii="Arial" w:hAnsi="Arial" w:cs="Arial"/>
        </w:rPr>
        <w:t>This is</w:t>
      </w:r>
      <w:r w:rsidRPr="000832D8">
        <w:rPr>
          <w:rFonts w:ascii="Arial" w:hAnsi="Arial" w:cs="Arial"/>
        </w:rPr>
        <w:t xml:space="preserve"> a key feature of our </w:t>
      </w:r>
      <w:r w:rsidRPr="00E122BA">
        <w:rPr>
          <w:rFonts w:ascii="Arial" w:hAnsi="Arial" w:cs="Arial"/>
          <w:b/>
          <w:bCs/>
        </w:rPr>
        <w:t xml:space="preserve">Essentials programme </w:t>
      </w:r>
      <w:r w:rsidRPr="00E122BA">
        <w:rPr>
          <w:rFonts w:ascii="Arial" w:hAnsi="Arial" w:cs="Arial"/>
        </w:rPr>
        <w:t>and the use of the</w:t>
      </w:r>
      <w:r w:rsidRPr="00E122BA">
        <w:rPr>
          <w:rFonts w:ascii="Arial" w:hAnsi="Arial" w:cs="Arial"/>
          <w:b/>
          <w:bCs/>
        </w:rPr>
        <w:t xml:space="preserve"> Anchor Principles for assessment.</w:t>
      </w:r>
    </w:p>
    <w:p w14:paraId="55C95576" w14:textId="36797C5D" w:rsidR="00A051FF" w:rsidRDefault="00A051FF" w:rsidP="000832D8">
      <w:pPr>
        <w:rPr>
          <w:rFonts w:ascii="Arial" w:hAnsi="Arial" w:cs="Arial"/>
          <w:b/>
          <w:bCs/>
        </w:rPr>
      </w:pPr>
      <w:r w:rsidRPr="00602C91">
        <w:rPr>
          <w:rFonts w:ascii="Arial" w:hAnsi="Arial" w:cs="Arial"/>
          <w:b/>
          <w:bCs/>
        </w:rPr>
        <w:t>Do we need to use this language at all in our recording?</w:t>
      </w:r>
    </w:p>
    <w:p w14:paraId="62F2109B" w14:textId="2CBF8298" w:rsidR="00AC331E" w:rsidRDefault="00AC331E" w:rsidP="00AC331E">
      <w:pPr>
        <w:rPr>
          <w:rFonts w:ascii="Arial" w:hAnsi="Arial" w:cs="Arial"/>
        </w:rPr>
      </w:pPr>
      <w:r>
        <w:rPr>
          <w:rFonts w:ascii="Arial" w:hAnsi="Arial" w:cs="Arial"/>
        </w:rPr>
        <w:t xml:space="preserve">The non-statutory learning review undertaken by the Gloucestershire Safeguarding Partnership following the judgment identified the use of the term “disclosure” when, according to the above definitions, “allegation” is meant, to be a common feature across partnership and national policy documents. </w:t>
      </w:r>
    </w:p>
    <w:p w14:paraId="6DA4D3F9" w14:textId="28617E5D" w:rsidR="00602C91" w:rsidRDefault="002F3CAA" w:rsidP="000832D8">
      <w:pPr>
        <w:rPr>
          <w:rFonts w:ascii="Arial" w:hAnsi="Arial" w:cs="Arial"/>
        </w:rPr>
      </w:pPr>
      <w:r>
        <w:rPr>
          <w:rFonts w:ascii="Arial" w:hAnsi="Arial" w:cs="Arial"/>
        </w:rPr>
        <w:t xml:space="preserve">The learning review established </w:t>
      </w:r>
      <w:r w:rsidR="009C1797">
        <w:rPr>
          <w:rFonts w:ascii="Arial" w:hAnsi="Arial" w:cs="Arial"/>
        </w:rPr>
        <w:t xml:space="preserve">that we will follow our principles to </w:t>
      </w:r>
      <w:r w:rsidR="00602C91">
        <w:rPr>
          <w:rFonts w:ascii="Arial" w:hAnsi="Arial" w:cs="Arial"/>
        </w:rPr>
        <w:t>use</w:t>
      </w:r>
      <w:r w:rsidR="009C1797">
        <w:rPr>
          <w:rFonts w:ascii="Arial" w:hAnsi="Arial" w:cs="Arial"/>
        </w:rPr>
        <w:t xml:space="preserve"> ‘language that cares</w:t>
      </w:r>
      <w:r w:rsidR="002C5713">
        <w:rPr>
          <w:rFonts w:ascii="Arial" w:hAnsi="Arial" w:cs="Arial"/>
        </w:rPr>
        <w:t xml:space="preserve">’, that is to say that we will use </w:t>
      </w:r>
      <w:r w:rsidR="00B2723B">
        <w:rPr>
          <w:rFonts w:ascii="Arial" w:hAnsi="Arial" w:cs="Arial"/>
        </w:rPr>
        <w:t>plain English</w:t>
      </w:r>
      <w:r w:rsidR="009C1797">
        <w:rPr>
          <w:rFonts w:ascii="Arial" w:hAnsi="Arial" w:cs="Arial"/>
        </w:rPr>
        <w:t xml:space="preserve"> and </w:t>
      </w:r>
      <w:r w:rsidR="00150339">
        <w:rPr>
          <w:rFonts w:ascii="Arial" w:hAnsi="Arial" w:cs="Arial"/>
        </w:rPr>
        <w:t>reduce t</w:t>
      </w:r>
      <w:r w:rsidR="00602C91">
        <w:rPr>
          <w:rFonts w:ascii="Arial" w:hAnsi="Arial" w:cs="Arial"/>
        </w:rPr>
        <w:t>he professional discourse of power</w:t>
      </w:r>
      <w:r w:rsidR="002C5713">
        <w:rPr>
          <w:rFonts w:ascii="Arial" w:hAnsi="Arial" w:cs="Arial"/>
        </w:rPr>
        <w:t xml:space="preserve"> by</w:t>
      </w:r>
      <w:r w:rsidR="00A005C6">
        <w:rPr>
          <w:rFonts w:ascii="Arial" w:hAnsi="Arial" w:cs="Arial"/>
        </w:rPr>
        <w:t xml:space="preserve"> us</w:t>
      </w:r>
      <w:r w:rsidR="002C5713">
        <w:rPr>
          <w:rFonts w:ascii="Arial" w:hAnsi="Arial" w:cs="Arial"/>
        </w:rPr>
        <w:t>ing</w:t>
      </w:r>
      <w:r w:rsidR="00A005C6">
        <w:rPr>
          <w:rFonts w:ascii="Arial" w:hAnsi="Arial" w:cs="Arial"/>
        </w:rPr>
        <w:t xml:space="preserve"> of a simple</w:t>
      </w:r>
      <w:r w:rsidR="002C5713">
        <w:rPr>
          <w:rFonts w:ascii="Arial" w:hAnsi="Arial" w:cs="Arial"/>
        </w:rPr>
        <w:t>r</w:t>
      </w:r>
      <w:r w:rsidR="00A005C6">
        <w:rPr>
          <w:rFonts w:ascii="Arial" w:hAnsi="Arial" w:cs="Arial"/>
        </w:rPr>
        <w:t xml:space="preserve"> description </w:t>
      </w:r>
      <w:r w:rsidR="002C5713">
        <w:rPr>
          <w:rFonts w:ascii="Arial" w:hAnsi="Arial" w:cs="Arial"/>
        </w:rPr>
        <w:t xml:space="preserve">of what has been said by describing it as such, </w:t>
      </w:r>
      <w:r w:rsidR="00055B86">
        <w:rPr>
          <w:rFonts w:ascii="Arial" w:hAnsi="Arial" w:cs="Arial"/>
        </w:rPr>
        <w:t xml:space="preserve">for example, </w:t>
      </w:r>
      <w:r w:rsidR="00C41672">
        <w:rPr>
          <w:rFonts w:ascii="Arial" w:hAnsi="Arial" w:cs="Arial"/>
        </w:rPr>
        <w:t>“</w:t>
      </w:r>
      <w:r w:rsidR="00055B86">
        <w:rPr>
          <w:rFonts w:ascii="Arial" w:hAnsi="Arial" w:cs="Arial"/>
        </w:rPr>
        <w:t xml:space="preserve">the child </w:t>
      </w:r>
      <w:r w:rsidR="00C41672">
        <w:rPr>
          <w:rFonts w:ascii="Arial" w:hAnsi="Arial" w:cs="Arial"/>
        </w:rPr>
        <w:t>s</w:t>
      </w:r>
      <w:r w:rsidR="0009144E">
        <w:rPr>
          <w:rFonts w:ascii="Arial" w:hAnsi="Arial" w:cs="Arial"/>
        </w:rPr>
        <w:t>hared</w:t>
      </w:r>
      <w:r w:rsidR="00C41672">
        <w:rPr>
          <w:rFonts w:ascii="Arial" w:hAnsi="Arial" w:cs="Arial"/>
        </w:rPr>
        <w:t>”</w:t>
      </w:r>
      <w:r w:rsidR="00216124">
        <w:rPr>
          <w:rFonts w:ascii="Arial" w:hAnsi="Arial" w:cs="Arial"/>
        </w:rPr>
        <w:t xml:space="preserve"> </w:t>
      </w:r>
      <w:r w:rsidR="00055B86">
        <w:rPr>
          <w:rFonts w:ascii="Arial" w:hAnsi="Arial" w:cs="Arial"/>
        </w:rPr>
        <w:t xml:space="preserve">or </w:t>
      </w:r>
      <w:r w:rsidR="00C41672">
        <w:rPr>
          <w:rFonts w:ascii="Arial" w:hAnsi="Arial" w:cs="Arial"/>
        </w:rPr>
        <w:t>“</w:t>
      </w:r>
      <w:r w:rsidR="00055B86">
        <w:rPr>
          <w:rFonts w:ascii="Arial" w:hAnsi="Arial" w:cs="Arial"/>
        </w:rPr>
        <w:t xml:space="preserve">the child </w:t>
      </w:r>
      <w:r w:rsidR="0009144E">
        <w:rPr>
          <w:rFonts w:ascii="Arial" w:hAnsi="Arial" w:cs="Arial"/>
        </w:rPr>
        <w:t>said” or “</w:t>
      </w:r>
      <w:r w:rsidR="00C41672">
        <w:rPr>
          <w:rFonts w:ascii="Arial" w:hAnsi="Arial" w:cs="Arial"/>
        </w:rPr>
        <w:t>told</w:t>
      </w:r>
      <w:r w:rsidR="000266F8">
        <w:rPr>
          <w:rFonts w:ascii="Arial" w:hAnsi="Arial" w:cs="Arial"/>
        </w:rPr>
        <w:t xml:space="preserve"> me</w:t>
      </w:r>
      <w:r w:rsidR="00C41672">
        <w:rPr>
          <w:rFonts w:ascii="Arial" w:hAnsi="Arial" w:cs="Arial"/>
        </w:rPr>
        <w:t>”</w:t>
      </w:r>
      <w:r w:rsidR="000266F8">
        <w:rPr>
          <w:rFonts w:ascii="Arial" w:hAnsi="Arial" w:cs="Arial"/>
        </w:rPr>
        <w:t>, rem</w:t>
      </w:r>
      <w:r w:rsidR="00F3621C">
        <w:rPr>
          <w:rFonts w:ascii="Arial" w:hAnsi="Arial" w:cs="Arial"/>
        </w:rPr>
        <w:t>aining curious, checking whether this is the first time that information has been shared and taking whatever appropriate action is necessary about what has been said</w:t>
      </w:r>
      <w:r w:rsidR="009914E0">
        <w:rPr>
          <w:rFonts w:ascii="Arial" w:hAnsi="Arial" w:cs="Arial"/>
        </w:rPr>
        <w:t>, for example to move to a strategy discussion and section 47 enquiries</w:t>
      </w:r>
      <w:r w:rsidR="0070063C">
        <w:rPr>
          <w:rFonts w:ascii="Arial" w:hAnsi="Arial" w:cs="Arial"/>
        </w:rPr>
        <w:t xml:space="preserve"> or single assessment</w:t>
      </w:r>
      <w:r w:rsidR="00F3621C">
        <w:rPr>
          <w:rFonts w:ascii="Arial" w:hAnsi="Arial" w:cs="Arial"/>
        </w:rPr>
        <w:t>.</w:t>
      </w:r>
      <w:r w:rsidR="00216124">
        <w:rPr>
          <w:rFonts w:ascii="Arial" w:hAnsi="Arial" w:cs="Arial"/>
        </w:rPr>
        <w:t xml:space="preserve"> </w:t>
      </w:r>
      <w:r w:rsidR="00C41672">
        <w:rPr>
          <w:rFonts w:ascii="Arial" w:hAnsi="Arial" w:cs="Arial"/>
        </w:rPr>
        <w:t xml:space="preserve"> </w:t>
      </w:r>
    </w:p>
    <w:p w14:paraId="56E745AC" w14:textId="26C2A09D" w:rsidR="009914E0" w:rsidRDefault="009914E0" w:rsidP="000832D8">
      <w:pPr>
        <w:rPr>
          <w:rFonts w:ascii="Arial" w:hAnsi="Arial" w:cs="Arial"/>
          <w:b/>
          <w:bCs/>
        </w:rPr>
      </w:pPr>
      <w:r>
        <w:rPr>
          <w:rFonts w:ascii="Arial" w:hAnsi="Arial" w:cs="Arial"/>
          <w:b/>
          <w:bCs/>
        </w:rPr>
        <w:t xml:space="preserve">Further </w:t>
      </w:r>
      <w:r w:rsidR="007D42CF">
        <w:rPr>
          <w:rFonts w:ascii="Arial" w:hAnsi="Arial" w:cs="Arial"/>
          <w:b/>
          <w:bCs/>
        </w:rPr>
        <w:t>reading</w:t>
      </w:r>
    </w:p>
    <w:p w14:paraId="1B1319F7" w14:textId="2B89BEDB" w:rsidR="000832D8" w:rsidRDefault="00D92ECF" w:rsidP="000832D8">
      <w:pPr>
        <w:rPr>
          <w:rFonts w:ascii="Arial" w:hAnsi="Arial" w:cs="Arial"/>
        </w:rPr>
      </w:pPr>
      <w:r>
        <w:rPr>
          <w:rFonts w:ascii="Arial" w:hAnsi="Arial" w:cs="Arial"/>
        </w:rPr>
        <w:t xml:space="preserve">Articles considering the use of the term “disclosure” and allegation </w:t>
      </w:r>
      <w:r w:rsidR="00BD5F07">
        <w:rPr>
          <w:rFonts w:ascii="Arial" w:hAnsi="Arial" w:cs="Arial"/>
        </w:rPr>
        <w:t>in social work recording:</w:t>
      </w:r>
    </w:p>
    <w:p w14:paraId="1B032D00" w14:textId="77777777" w:rsidR="00353DB5" w:rsidRDefault="006C6CA4" w:rsidP="00353DB5">
      <w:hyperlink r:id="rId8" w:history="1">
        <w:r w:rsidR="00353DB5">
          <w:rPr>
            <w:rStyle w:val="Hyperlink"/>
          </w:rPr>
          <w:t>https://www.childprotectionprofessionals.org.uk/our-language-matters-why-we-should-stop-using-the-term-disclosure-in-child-protection/</w:t>
        </w:r>
      </w:hyperlink>
    </w:p>
    <w:p w14:paraId="0F730F73" w14:textId="7C0A464D" w:rsidR="00653196" w:rsidRDefault="006C6CA4" w:rsidP="00653196">
      <w:pPr>
        <w:rPr>
          <w:rStyle w:val="Hyperlink"/>
          <w:color w:val="4F81BD" w:themeColor="accent1"/>
        </w:rPr>
      </w:pPr>
      <w:hyperlink r:id="rId9" w:history="1">
        <w:r w:rsidR="00653196" w:rsidRPr="00F90BE0">
          <w:rPr>
            <w:rStyle w:val="Hyperlink"/>
            <w:color w:val="4F81BD" w:themeColor="accent1"/>
          </w:rPr>
          <w:t>Social Work News (mysocialworknews.com)</w:t>
        </w:r>
      </w:hyperlink>
    </w:p>
    <w:p w14:paraId="0A873E51" w14:textId="77777777" w:rsidR="00B93B32" w:rsidRDefault="00B93B32" w:rsidP="000832D8">
      <w:pPr>
        <w:rPr>
          <w:rFonts w:ascii="Arial" w:hAnsi="Arial" w:cs="Arial"/>
          <w:b/>
          <w:bCs/>
        </w:rPr>
      </w:pPr>
      <w:r>
        <w:rPr>
          <w:rFonts w:ascii="Arial" w:hAnsi="Arial" w:cs="Arial"/>
          <w:b/>
          <w:bCs/>
        </w:rPr>
        <w:lastRenderedPageBreak/>
        <w:t>Additionally</w:t>
      </w:r>
    </w:p>
    <w:p w14:paraId="7ED682AB" w14:textId="18E15023" w:rsidR="009D1940" w:rsidRDefault="005532EB" w:rsidP="005532EB">
      <w:pPr>
        <w:rPr>
          <w:rFonts w:ascii="Arial" w:hAnsi="Arial" w:cs="Arial"/>
        </w:rPr>
      </w:pPr>
      <w:r>
        <w:rPr>
          <w:rFonts w:ascii="Arial" w:hAnsi="Arial" w:cs="Arial"/>
        </w:rPr>
        <w:t xml:space="preserve">In this case, the mother died and for a period, the father was suspected of murdering the mother.  This was subsequently </w:t>
      </w:r>
      <w:r w:rsidR="00A71D09">
        <w:rPr>
          <w:rFonts w:ascii="Arial" w:hAnsi="Arial" w:cs="Arial"/>
        </w:rPr>
        <w:t xml:space="preserve">proved not to be the </w:t>
      </w:r>
      <w:r w:rsidR="006C6CA4">
        <w:rPr>
          <w:rFonts w:ascii="Arial" w:hAnsi="Arial" w:cs="Arial"/>
        </w:rPr>
        <w:t>case;</w:t>
      </w:r>
      <w:r w:rsidR="00A71D09">
        <w:rPr>
          <w:rFonts w:ascii="Arial" w:hAnsi="Arial" w:cs="Arial"/>
        </w:rPr>
        <w:t xml:space="preserve"> however, the Judge highlighted </w:t>
      </w:r>
      <w:r>
        <w:rPr>
          <w:rFonts w:ascii="Arial" w:hAnsi="Arial" w:cs="Arial"/>
        </w:rPr>
        <w:t xml:space="preserve">the judgment of </w:t>
      </w:r>
      <w:r w:rsidRPr="000832D8">
        <w:rPr>
          <w:rFonts w:ascii="Arial" w:hAnsi="Arial" w:cs="Arial"/>
        </w:rPr>
        <w:t>Mrs Justice Hogg </w:t>
      </w:r>
      <w:r>
        <w:rPr>
          <w:rFonts w:ascii="Arial" w:hAnsi="Arial" w:cs="Arial"/>
        </w:rPr>
        <w:t xml:space="preserve">in </w:t>
      </w:r>
      <w:r w:rsidRPr="000832D8">
        <w:rPr>
          <w:rFonts w:ascii="Arial" w:hAnsi="Arial" w:cs="Arial"/>
        </w:rPr>
        <w:t>Re A&amp;B (2010) EWHC 3824</w:t>
      </w:r>
      <w:r>
        <w:rPr>
          <w:rFonts w:ascii="Arial" w:hAnsi="Arial" w:cs="Arial"/>
        </w:rPr>
        <w:t xml:space="preserve"> i</w:t>
      </w:r>
      <w:r w:rsidRPr="000832D8">
        <w:rPr>
          <w:rFonts w:ascii="Arial" w:hAnsi="Arial" w:cs="Arial"/>
        </w:rPr>
        <w:t>ntended to inform and direct national practice when there is an allegation that one parent has killed another parent</w:t>
      </w:r>
      <w:r w:rsidR="00B90E27">
        <w:rPr>
          <w:rFonts w:ascii="Arial" w:hAnsi="Arial" w:cs="Arial"/>
        </w:rPr>
        <w:t>.</w:t>
      </w:r>
    </w:p>
    <w:p w14:paraId="228A71EF" w14:textId="706E17EE" w:rsidR="005532EB" w:rsidRDefault="00B90E27" w:rsidP="005532EB">
      <w:pPr>
        <w:rPr>
          <w:rFonts w:ascii="Arial" w:hAnsi="Arial" w:cs="Arial"/>
        </w:rPr>
      </w:pPr>
      <w:r>
        <w:rPr>
          <w:rFonts w:ascii="Arial" w:hAnsi="Arial" w:cs="Arial"/>
        </w:rPr>
        <w:t xml:space="preserve">The specific part of Mrs Justice Hogg’s ruling that the Judge highlighted </w:t>
      </w:r>
      <w:r w:rsidR="009D1940">
        <w:rPr>
          <w:rFonts w:ascii="Arial" w:hAnsi="Arial" w:cs="Arial"/>
        </w:rPr>
        <w:t xml:space="preserve">related to the need to </w:t>
      </w:r>
      <w:r w:rsidR="005532EB">
        <w:rPr>
          <w:rFonts w:ascii="Arial" w:hAnsi="Arial" w:cs="Arial"/>
        </w:rPr>
        <w:t>ensur</w:t>
      </w:r>
      <w:r w:rsidR="009D1940">
        <w:rPr>
          <w:rFonts w:ascii="Arial" w:hAnsi="Arial" w:cs="Arial"/>
        </w:rPr>
        <w:t>e</w:t>
      </w:r>
      <w:r w:rsidR="005532EB">
        <w:rPr>
          <w:rFonts w:ascii="Arial" w:hAnsi="Arial" w:cs="Arial"/>
        </w:rPr>
        <w:t xml:space="preserve"> the</w:t>
      </w:r>
      <w:r w:rsidR="005532EB" w:rsidRPr="000832D8">
        <w:rPr>
          <w:rFonts w:ascii="Arial" w:hAnsi="Arial" w:cs="Arial"/>
        </w:rPr>
        <w:t xml:space="preserve"> </w:t>
      </w:r>
      <w:r w:rsidR="005532EB">
        <w:rPr>
          <w:rFonts w:ascii="Arial" w:hAnsi="Arial" w:cs="Arial"/>
        </w:rPr>
        <w:t xml:space="preserve">specialist </w:t>
      </w:r>
      <w:r w:rsidR="005532EB" w:rsidRPr="000832D8">
        <w:rPr>
          <w:rFonts w:ascii="Arial" w:hAnsi="Arial" w:cs="Arial"/>
        </w:rPr>
        <w:t>therapeutic help that the children involved may need</w:t>
      </w:r>
      <w:r w:rsidR="005532EB">
        <w:rPr>
          <w:rFonts w:ascii="Arial" w:hAnsi="Arial" w:cs="Arial"/>
        </w:rPr>
        <w:t xml:space="preserve"> was put in place</w:t>
      </w:r>
      <w:r w:rsidR="009D1940">
        <w:rPr>
          <w:rFonts w:ascii="Arial" w:hAnsi="Arial" w:cs="Arial"/>
        </w:rPr>
        <w:t>. You can read the ruling and a summary of it by following these links</w:t>
      </w:r>
      <w:r w:rsidR="005532EB">
        <w:rPr>
          <w:rFonts w:ascii="Arial" w:hAnsi="Arial" w:cs="Arial"/>
        </w:rPr>
        <w:t>:</w:t>
      </w:r>
    </w:p>
    <w:p w14:paraId="3441951F" w14:textId="77777777" w:rsidR="005532EB" w:rsidRDefault="006C6CA4" w:rsidP="005532EB">
      <w:pPr>
        <w:rPr>
          <w:rFonts w:ascii="Arial" w:hAnsi="Arial" w:cs="Arial"/>
        </w:rPr>
      </w:pPr>
      <w:hyperlink r:id="rId10" w:history="1">
        <w:r w:rsidR="005532EB">
          <w:rPr>
            <w:rStyle w:val="Hyperlink"/>
          </w:rPr>
          <w:t>Family Law Week: In the Matter of A and B [2010] EWHC 3824</w:t>
        </w:r>
      </w:hyperlink>
    </w:p>
    <w:p w14:paraId="5302A20C" w14:textId="77777777" w:rsidR="005532EB" w:rsidRDefault="006C6CA4" w:rsidP="005532EB">
      <w:pPr>
        <w:rPr>
          <w:rFonts w:ascii="Arial" w:hAnsi="Arial" w:cs="Arial"/>
        </w:rPr>
      </w:pPr>
      <w:hyperlink r:id="rId11" w:history="1">
        <w:r w:rsidR="005532EB">
          <w:rPr>
            <w:rStyle w:val="Hyperlink"/>
          </w:rPr>
          <w:t>A and B, Re (Guidance) [2010] EWHC 3824 (Fam) (07 September 2010) (bailii.org)</w:t>
        </w:r>
      </w:hyperlink>
    </w:p>
    <w:p w14:paraId="673C8D63" w14:textId="003AED3F" w:rsidR="009D1940" w:rsidRPr="004C0EB2" w:rsidRDefault="004C0EB2" w:rsidP="000832D8">
      <w:pPr>
        <w:rPr>
          <w:rFonts w:ascii="Arial" w:hAnsi="Arial" w:cs="Arial"/>
          <w:b/>
          <w:bCs/>
        </w:rPr>
      </w:pPr>
      <w:r>
        <w:rPr>
          <w:rFonts w:ascii="Arial" w:hAnsi="Arial" w:cs="Arial"/>
          <w:b/>
          <w:bCs/>
        </w:rPr>
        <w:t>To support practitioners in implementing this practice direction</w:t>
      </w:r>
    </w:p>
    <w:p w14:paraId="27ECC3D4" w14:textId="4A98E957" w:rsidR="00BD5F07" w:rsidRPr="00BD5F07" w:rsidRDefault="00FC6904" w:rsidP="000832D8">
      <w:pPr>
        <w:rPr>
          <w:rFonts w:ascii="Arial" w:hAnsi="Arial" w:cs="Arial"/>
        </w:rPr>
      </w:pPr>
      <w:r>
        <w:rPr>
          <w:rFonts w:ascii="Arial" w:hAnsi="Arial" w:cs="Arial"/>
        </w:rPr>
        <w:t xml:space="preserve">A learning lunch will be organised to disseminate findings from the </w:t>
      </w:r>
      <w:r w:rsidR="009A52C1">
        <w:rPr>
          <w:rFonts w:ascii="Arial" w:hAnsi="Arial" w:cs="Arial"/>
        </w:rPr>
        <w:t xml:space="preserve">non-statutory learning review undertaken by the Gloucestershire Safeguarding Partnership and explore its themes </w:t>
      </w:r>
      <w:r w:rsidR="00F25F21">
        <w:rPr>
          <w:rFonts w:ascii="Arial" w:hAnsi="Arial" w:cs="Arial"/>
        </w:rPr>
        <w:t xml:space="preserve">in relation to current practice. </w:t>
      </w:r>
      <w:r w:rsidR="006B5807">
        <w:rPr>
          <w:rFonts w:ascii="Arial" w:hAnsi="Arial" w:cs="Arial"/>
        </w:rPr>
        <w:t xml:space="preserve">Practitioners and managers are asked to hold in mind </w:t>
      </w:r>
      <w:r w:rsidR="00F25F21">
        <w:rPr>
          <w:rFonts w:ascii="Arial" w:hAnsi="Arial" w:cs="Arial"/>
        </w:rPr>
        <w:t>the difference between “allegation” and “disclosure” in recording</w:t>
      </w:r>
      <w:r w:rsidR="00590C97">
        <w:rPr>
          <w:rFonts w:ascii="Arial" w:hAnsi="Arial" w:cs="Arial"/>
        </w:rPr>
        <w:t xml:space="preserve">, to be particularly careful in any statements or assessments that will be put before the court and, in </w:t>
      </w:r>
      <w:r w:rsidR="0070063C">
        <w:rPr>
          <w:rFonts w:ascii="Arial" w:hAnsi="Arial" w:cs="Arial"/>
        </w:rPr>
        <w:t>day-to-day</w:t>
      </w:r>
      <w:r w:rsidR="00590C97">
        <w:rPr>
          <w:rFonts w:ascii="Arial" w:hAnsi="Arial" w:cs="Arial"/>
        </w:rPr>
        <w:t xml:space="preserve"> recording, to </w:t>
      </w:r>
      <w:r w:rsidR="00F25F21">
        <w:rPr>
          <w:rFonts w:ascii="Arial" w:hAnsi="Arial" w:cs="Arial"/>
        </w:rPr>
        <w:t>consider using alternatives such as “said” or “told</w:t>
      </w:r>
      <w:r w:rsidR="00590C97">
        <w:rPr>
          <w:rFonts w:ascii="Arial" w:hAnsi="Arial" w:cs="Arial"/>
        </w:rPr>
        <w:t>” to describe what has been said to you</w:t>
      </w:r>
      <w:r w:rsidR="006B5807">
        <w:rPr>
          <w:rFonts w:ascii="Arial" w:hAnsi="Arial" w:cs="Arial"/>
        </w:rPr>
        <w:t>.</w:t>
      </w:r>
    </w:p>
    <w:p w14:paraId="3BBDFCF5" w14:textId="54AA0F20" w:rsidR="000832D8" w:rsidRPr="000832D8" w:rsidRDefault="000832D8" w:rsidP="000832D8">
      <w:pPr>
        <w:rPr>
          <w:rFonts w:ascii="Arial" w:hAnsi="Arial" w:cs="Arial"/>
          <w:color w:val="00B0F0"/>
        </w:rPr>
      </w:pPr>
      <w:r w:rsidRPr="000832D8">
        <w:rPr>
          <w:rFonts w:ascii="Arial" w:hAnsi="Arial" w:cs="Arial"/>
          <w:color w:val="00B0F0"/>
          <w:sz w:val="28"/>
          <w:szCs w:val="28"/>
        </w:rPr>
        <w:t>Process:</w:t>
      </w:r>
      <w:r w:rsidRPr="000832D8">
        <w:rPr>
          <w:rFonts w:ascii="Arial" w:hAnsi="Arial" w:cs="Arial"/>
          <w:color w:val="00B0F0"/>
        </w:rPr>
        <w:t xml:space="preserve">  </w:t>
      </w:r>
    </w:p>
    <w:p w14:paraId="0F2295CA" w14:textId="77777777" w:rsidR="000832D8" w:rsidRPr="000832D8" w:rsidRDefault="000832D8" w:rsidP="000832D8">
      <w:pPr>
        <w:pStyle w:val="ListParagraph"/>
        <w:numPr>
          <w:ilvl w:val="0"/>
          <w:numId w:val="3"/>
        </w:numPr>
        <w:rPr>
          <w:rFonts w:ascii="Arial" w:hAnsi="Arial" w:cs="Arial"/>
        </w:rPr>
      </w:pPr>
      <w:r w:rsidRPr="000832D8">
        <w:rPr>
          <w:rFonts w:ascii="Arial" w:hAnsi="Arial" w:cs="Arial"/>
        </w:rPr>
        <w:t xml:space="preserve">Children’s Leadership Team will consider and approve Practice Directions.  </w:t>
      </w:r>
    </w:p>
    <w:p w14:paraId="4676F417" w14:textId="2B81017B" w:rsidR="000832D8" w:rsidRPr="000832D8" w:rsidRDefault="000832D8" w:rsidP="000832D8">
      <w:pPr>
        <w:pStyle w:val="ListParagraph"/>
        <w:numPr>
          <w:ilvl w:val="0"/>
          <w:numId w:val="3"/>
        </w:numPr>
        <w:rPr>
          <w:rFonts w:ascii="Arial" w:hAnsi="Arial" w:cs="Arial"/>
        </w:rPr>
      </w:pPr>
      <w:r w:rsidRPr="000832D8">
        <w:rPr>
          <w:rFonts w:ascii="Arial" w:hAnsi="Arial" w:cs="Arial"/>
        </w:rPr>
        <w:t xml:space="preserve">Practice Directions will be entered onto Tri-X.  </w:t>
      </w:r>
    </w:p>
    <w:p w14:paraId="738782C5" w14:textId="77777777" w:rsidR="003B1E50" w:rsidRPr="000832D8" w:rsidRDefault="000258C6">
      <w:pPr>
        <w:rPr>
          <w:rFonts w:ascii="Arial" w:hAnsi="Arial" w:cs="Arial"/>
          <w:sz w:val="24"/>
          <w:szCs w:val="24"/>
        </w:rPr>
      </w:pPr>
      <w:r w:rsidRPr="000832D8">
        <w:rPr>
          <w:rFonts w:ascii="Arial" w:hAnsi="Arial" w:cs="Arial"/>
          <w:color w:val="00B0F0"/>
          <w:sz w:val="28"/>
          <w:szCs w:val="28"/>
        </w:rPr>
        <w:t>Quality Assurance of practice change:</w:t>
      </w:r>
    </w:p>
    <w:p w14:paraId="30B0ABEA" w14:textId="37747EE0" w:rsidR="003B1E50" w:rsidRPr="000832D8" w:rsidRDefault="003B1E50" w:rsidP="003B1E50">
      <w:pPr>
        <w:rPr>
          <w:rFonts w:ascii="Arial" w:hAnsi="Arial" w:cs="Arial"/>
        </w:rPr>
      </w:pPr>
      <w:r w:rsidRPr="000832D8">
        <w:rPr>
          <w:rFonts w:ascii="Arial" w:hAnsi="Arial" w:cs="Arial"/>
        </w:rPr>
        <w:t xml:space="preserve">Compliance with </w:t>
      </w:r>
      <w:r w:rsidR="00DC1470" w:rsidRPr="000832D8">
        <w:rPr>
          <w:rFonts w:ascii="Arial" w:hAnsi="Arial" w:cs="Arial"/>
        </w:rPr>
        <w:t>this Practice Direction</w:t>
      </w:r>
      <w:r w:rsidRPr="000832D8">
        <w:rPr>
          <w:rFonts w:ascii="Arial" w:hAnsi="Arial" w:cs="Arial"/>
        </w:rPr>
        <w:t xml:space="preserve"> will be monitored </w:t>
      </w:r>
      <w:r w:rsidR="000832D8" w:rsidRPr="000832D8">
        <w:rPr>
          <w:rFonts w:ascii="Arial" w:hAnsi="Arial" w:cs="Arial"/>
        </w:rPr>
        <w:t xml:space="preserve">through audit, performance indicators and other activity such as practice weeks. </w:t>
      </w:r>
      <w:r w:rsidR="000258C6" w:rsidRPr="000832D8">
        <w:rPr>
          <w:rFonts w:ascii="Arial" w:hAnsi="Arial" w:cs="Arial"/>
        </w:rPr>
        <w:t xml:space="preserve"> </w:t>
      </w:r>
    </w:p>
    <w:p w14:paraId="04BFFCAA" w14:textId="0B3439FC" w:rsidR="003B1E50" w:rsidRPr="000832D8" w:rsidRDefault="003B1E50">
      <w:pPr>
        <w:rPr>
          <w:rFonts w:ascii="Arial" w:hAnsi="Arial" w:cs="Arial"/>
          <w:color w:val="00B0F0"/>
          <w:sz w:val="28"/>
          <w:szCs w:val="28"/>
        </w:rPr>
      </w:pPr>
      <w:r w:rsidRPr="000832D8">
        <w:rPr>
          <w:rFonts w:ascii="Arial" w:hAnsi="Arial" w:cs="Arial"/>
          <w:color w:val="00B0F0"/>
          <w:sz w:val="28"/>
          <w:szCs w:val="28"/>
        </w:rPr>
        <w:t xml:space="preserve">Service Areas / roles applicable:  </w:t>
      </w:r>
    </w:p>
    <w:p w14:paraId="6DA12D85" w14:textId="307CB2EC" w:rsidR="000832D8" w:rsidRPr="000832D8" w:rsidRDefault="000832D8">
      <w:pPr>
        <w:rPr>
          <w:rFonts w:ascii="Arial" w:hAnsi="Arial" w:cs="Arial"/>
        </w:rPr>
      </w:pPr>
      <w:r w:rsidRPr="000832D8">
        <w:rPr>
          <w:rFonts w:ascii="Arial" w:hAnsi="Arial" w:cs="Arial"/>
        </w:rPr>
        <w:t>This practice direction applies to all service areas and is particularly important for children’s assessment</w:t>
      </w:r>
      <w:r w:rsidR="00F2278A">
        <w:rPr>
          <w:rFonts w:ascii="Arial" w:hAnsi="Arial" w:cs="Arial"/>
        </w:rPr>
        <w:t>,</w:t>
      </w:r>
      <w:r w:rsidRPr="000832D8">
        <w:rPr>
          <w:rFonts w:ascii="Arial" w:hAnsi="Arial" w:cs="Arial"/>
        </w:rPr>
        <w:t xml:space="preserve"> safeguarding</w:t>
      </w:r>
      <w:r w:rsidR="00F2278A">
        <w:rPr>
          <w:rFonts w:ascii="Arial" w:hAnsi="Arial" w:cs="Arial"/>
        </w:rPr>
        <w:t xml:space="preserve"> and permanence teams</w:t>
      </w:r>
      <w:r w:rsidRPr="000832D8">
        <w:rPr>
          <w:rFonts w:ascii="Arial" w:hAnsi="Arial" w:cs="Arial"/>
        </w:rPr>
        <w:t xml:space="preserve">. </w:t>
      </w:r>
    </w:p>
    <w:p w14:paraId="4E906F71" w14:textId="13E32D6A" w:rsidR="003B1E50" w:rsidRPr="000832D8" w:rsidRDefault="003B1E50">
      <w:pPr>
        <w:rPr>
          <w:rFonts w:ascii="Arial" w:hAnsi="Arial" w:cs="Arial"/>
          <w:color w:val="00B0F0"/>
          <w:sz w:val="28"/>
          <w:szCs w:val="28"/>
        </w:rPr>
      </w:pPr>
      <w:r w:rsidRPr="000832D8">
        <w:rPr>
          <w:rFonts w:ascii="Arial" w:hAnsi="Arial" w:cs="Arial"/>
          <w:color w:val="00B0F0"/>
          <w:sz w:val="28"/>
          <w:szCs w:val="28"/>
        </w:rPr>
        <w:t xml:space="preserve">Date of Change: </w:t>
      </w:r>
      <w:r w:rsidR="000832D8" w:rsidRPr="000832D8">
        <w:rPr>
          <w:rFonts w:ascii="Arial" w:hAnsi="Arial" w:cs="Arial"/>
        </w:rPr>
        <w:t>0</w:t>
      </w:r>
      <w:r w:rsidR="00F2278A">
        <w:rPr>
          <w:rFonts w:ascii="Arial" w:hAnsi="Arial" w:cs="Arial"/>
        </w:rPr>
        <w:t>5</w:t>
      </w:r>
      <w:r w:rsidR="000832D8" w:rsidRPr="000832D8">
        <w:rPr>
          <w:rFonts w:ascii="Arial" w:hAnsi="Arial" w:cs="Arial"/>
        </w:rPr>
        <w:t>-Nov-2022</w:t>
      </w:r>
    </w:p>
    <w:p w14:paraId="16101320" w14:textId="77777777" w:rsidR="000258C6" w:rsidRPr="000832D8" w:rsidRDefault="000258C6">
      <w:pPr>
        <w:rPr>
          <w:rFonts w:ascii="Arial" w:hAnsi="Arial" w:cs="Arial"/>
          <w:color w:val="00B0F0"/>
          <w:sz w:val="28"/>
          <w:szCs w:val="28"/>
        </w:rPr>
      </w:pPr>
    </w:p>
    <w:sectPr w:rsidR="000258C6" w:rsidRPr="000832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4486" w14:textId="77777777" w:rsidR="00BD4BE1" w:rsidRDefault="00BD4BE1" w:rsidP="00EA3CDA">
      <w:pPr>
        <w:spacing w:after="0" w:line="240" w:lineRule="auto"/>
      </w:pPr>
      <w:r>
        <w:separator/>
      </w:r>
    </w:p>
  </w:endnote>
  <w:endnote w:type="continuationSeparator" w:id="0">
    <w:p w14:paraId="2E8F04B9" w14:textId="77777777" w:rsidR="00BD4BE1" w:rsidRDefault="00BD4BE1" w:rsidP="00EA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7990" w14:textId="77777777" w:rsidR="00BD4BE1" w:rsidRDefault="00BD4BE1" w:rsidP="00EA3CDA">
      <w:pPr>
        <w:spacing w:after="0" w:line="240" w:lineRule="auto"/>
      </w:pPr>
      <w:r>
        <w:separator/>
      </w:r>
    </w:p>
  </w:footnote>
  <w:footnote w:type="continuationSeparator" w:id="0">
    <w:p w14:paraId="192B9EB7" w14:textId="77777777" w:rsidR="00BD4BE1" w:rsidRDefault="00BD4BE1" w:rsidP="00EA3CDA">
      <w:pPr>
        <w:spacing w:after="0" w:line="240" w:lineRule="auto"/>
      </w:pPr>
      <w:r>
        <w:continuationSeparator/>
      </w:r>
    </w:p>
  </w:footnote>
  <w:footnote w:id="1">
    <w:p w14:paraId="244442E9" w14:textId="31B11328" w:rsidR="00EA3CDA" w:rsidRDefault="00EA3CDA">
      <w:pPr>
        <w:pStyle w:val="FootnoteText"/>
      </w:pPr>
      <w:r>
        <w:rPr>
          <w:rStyle w:val="FootnoteReference"/>
        </w:rPr>
        <w:footnoteRef/>
      </w:r>
      <w:r>
        <w:t xml:space="preserve"> A multiagency learning review regarding the children in this case </w:t>
      </w:r>
      <w:r w:rsidR="00065580">
        <w:t>took place at the</w:t>
      </w:r>
      <w:r>
        <w:t xml:space="preserve"> end </w:t>
      </w:r>
      <w:r w:rsidR="00065580">
        <w:t xml:space="preserve">of </w:t>
      </w:r>
      <w:r>
        <w:t xml:space="preserve">October </w:t>
      </w:r>
      <w:r w:rsidR="00065580">
        <w:t xml:space="preserve">2022 </w:t>
      </w:r>
      <w:r>
        <w:t xml:space="preserve">and relevant authorities have been informed of the judgment.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A01"/>
    <w:multiLevelType w:val="hybridMultilevel"/>
    <w:tmpl w:val="10109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7C2D1F2">
      <w:start w:val="1"/>
      <w:numFmt w:val="decimal"/>
      <w:lvlText w:val="%3."/>
      <w:lvlJc w:val="right"/>
      <w:pPr>
        <w:ind w:left="2160" w:hanging="180"/>
      </w:pPr>
      <w:rPr>
        <w:rFonts w:asciiTheme="minorHAnsi" w:eastAsiaTheme="minorHAnsi" w:hAnsiTheme="minorHAnsi" w:cstheme="minorBid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503A4"/>
    <w:multiLevelType w:val="hybridMultilevel"/>
    <w:tmpl w:val="B43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630C2"/>
    <w:multiLevelType w:val="hybridMultilevel"/>
    <w:tmpl w:val="76C8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71236">
    <w:abstractNumId w:val="1"/>
  </w:num>
  <w:num w:numId="2" w16cid:durableId="423305688">
    <w:abstractNumId w:val="0"/>
  </w:num>
  <w:num w:numId="3" w16cid:durableId="867568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E50"/>
    <w:rsid w:val="00025698"/>
    <w:rsid w:val="000258C6"/>
    <w:rsid w:val="000266F8"/>
    <w:rsid w:val="00055528"/>
    <w:rsid w:val="00055B86"/>
    <w:rsid w:val="00065580"/>
    <w:rsid w:val="000832D8"/>
    <w:rsid w:val="00085552"/>
    <w:rsid w:val="0009144E"/>
    <w:rsid w:val="001066F7"/>
    <w:rsid w:val="00150339"/>
    <w:rsid w:val="00195482"/>
    <w:rsid w:val="0021057E"/>
    <w:rsid w:val="00216124"/>
    <w:rsid w:val="00225834"/>
    <w:rsid w:val="00252122"/>
    <w:rsid w:val="0028611E"/>
    <w:rsid w:val="002A5503"/>
    <w:rsid w:val="002C5713"/>
    <w:rsid w:val="002F3CAA"/>
    <w:rsid w:val="003030EF"/>
    <w:rsid w:val="003126E8"/>
    <w:rsid w:val="0031276F"/>
    <w:rsid w:val="0032566C"/>
    <w:rsid w:val="003269EF"/>
    <w:rsid w:val="003512A2"/>
    <w:rsid w:val="00353DB5"/>
    <w:rsid w:val="003B1E50"/>
    <w:rsid w:val="003E378C"/>
    <w:rsid w:val="003F04AB"/>
    <w:rsid w:val="00401DE0"/>
    <w:rsid w:val="00404322"/>
    <w:rsid w:val="004158BD"/>
    <w:rsid w:val="00473DCE"/>
    <w:rsid w:val="004A4353"/>
    <w:rsid w:val="004B465E"/>
    <w:rsid w:val="004C0EB2"/>
    <w:rsid w:val="0054494C"/>
    <w:rsid w:val="005532EB"/>
    <w:rsid w:val="00590C97"/>
    <w:rsid w:val="00592744"/>
    <w:rsid w:val="00602C91"/>
    <w:rsid w:val="00613F5B"/>
    <w:rsid w:val="00653196"/>
    <w:rsid w:val="006B5807"/>
    <w:rsid w:val="006C6A53"/>
    <w:rsid w:val="006C6CA4"/>
    <w:rsid w:val="006E1903"/>
    <w:rsid w:val="006E34BA"/>
    <w:rsid w:val="006F1A6F"/>
    <w:rsid w:val="0070063C"/>
    <w:rsid w:val="0077020C"/>
    <w:rsid w:val="007A0B80"/>
    <w:rsid w:val="007C75B9"/>
    <w:rsid w:val="007D1F44"/>
    <w:rsid w:val="007D42CF"/>
    <w:rsid w:val="007E2709"/>
    <w:rsid w:val="0086745C"/>
    <w:rsid w:val="009668ED"/>
    <w:rsid w:val="009914E0"/>
    <w:rsid w:val="009A52C1"/>
    <w:rsid w:val="009B60A5"/>
    <w:rsid w:val="009C1797"/>
    <w:rsid w:val="009D1940"/>
    <w:rsid w:val="009F31C3"/>
    <w:rsid w:val="00A005C6"/>
    <w:rsid w:val="00A051FF"/>
    <w:rsid w:val="00A419BA"/>
    <w:rsid w:val="00A71D09"/>
    <w:rsid w:val="00A769A6"/>
    <w:rsid w:val="00A83EB2"/>
    <w:rsid w:val="00AC331E"/>
    <w:rsid w:val="00B2274A"/>
    <w:rsid w:val="00B2723B"/>
    <w:rsid w:val="00B40ED4"/>
    <w:rsid w:val="00B90E27"/>
    <w:rsid w:val="00B93B32"/>
    <w:rsid w:val="00BB1B48"/>
    <w:rsid w:val="00BD4BE1"/>
    <w:rsid w:val="00BD5F07"/>
    <w:rsid w:val="00C41672"/>
    <w:rsid w:val="00C567FC"/>
    <w:rsid w:val="00C7209A"/>
    <w:rsid w:val="00C930EE"/>
    <w:rsid w:val="00CB4963"/>
    <w:rsid w:val="00CF1BE9"/>
    <w:rsid w:val="00D901B9"/>
    <w:rsid w:val="00D92ECF"/>
    <w:rsid w:val="00DA6784"/>
    <w:rsid w:val="00DC1470"/>
    <w:rsid w:val="00E122BA"/>
    <w:rsid w:val="00E302A7"/>
    <w:rsid w:val="00E47E12"/>
    <w:rsid w:val="00E84843"/>
    <w:rsid w:val="00E94A0C"/>
    <w:rsid w:val="00EA3B31"/>
    <w:rsid w:val="00EA3CDA"/>
    <w:rsid w:val="00EA5DDE"/>
    <w:rsid w:val="00EF191A"/>
    <w:rsid w:val="00F2278A"/>
    <w:rsid w:val="00F25F21"/>
    <w:rsid w:val="00F3621C"/>
    <w:rsid w:val="00F514E4"/>
    <w:rsid w:val="00F76B4E"/>
    <w:rsid w:val="00F90BE0"/>
    <w:rsid w:val="00FA1C6C"/>
    <w:rsid w:val="00FC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61AE"/>
  <w15:docId w15:val="{15718113-1AF5-49BA-B275-BC3D6779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50"/>
    <w:pPr>
      <w:ind w:left="720"/>
      <w:contextualSpacing/>
    </w:pPr>
  </w:style>
  <w:style w:type="character" w:styleId="Hyperlink">
    <w:name w:val="Hyperlink"/>
    <w:basedOn w:val="DefaultParagraphFont"/>
    <w:uiPriority w:val="99"/>
    <w:semiHidden/>
    <w:unhideWhenUsed/>
    <w:rsid w:val="000832D8"/>
    <w:rPr>
      <w:color w:val="0563C1"/>
      <w:u w:val="single"/>
    </w:rPr>
  </w:style>
  <w:style w:type="paragraph" w:styleId="FootnoteText">
    <w:name w:val="footnote text"/>
    <w:basedOn w:val="Normal"/>
    <w:link w:val="FootnoteTextChar"/>
    <w:uiPriority w:val="99"/>
    <w:semiHidden/>
    <w:unhideWhenUsed/>
    <w:rsid w:val="00EA3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CDA"/>
    <w:rPr>
      <w:sz w:val="20"/>
      <w:szCs w:val="20"/>
    </w:rPr>
  </w:style>
  <w:style w:type="character" w:styleId="FootnoteReference">
    <w:name w:val="footnote reference"/>
    <w:basedOn w:val="DefaultParagraphFont"/>
    <w:uiPriority w:val="99"/>
    <w:semiHidden/>
    <w:unhideWhenUsed/>
    <w:rsid w:val="00EA3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0919">
      <w:bodyDiv w:val="1"/>
      <w:marLeft w:val="0"/>
      <w:marRight w:val="0"/>
      <w:marTop w:val="0"/>
      <w:marBottom w:val="0"/>
      <w:divBdr>
        <w:top w:val="none" w:sz="0" w:space="0" w:color="auto"/>
        <w:left w:val="none" w:sz="0" w:space="0" w:color="auto"/>
        <w:bottom w:val="none" w:sz="0" w:space="0" w:color="auto"/>
        <w:right w:val="none" w:sz="0" w:space="0" w:color="auto"/>
      </w:divBdr>
    </w:div>
    <w:div w:id="431710641">
      <w:bodyDiv w:val="1"/>
      <w:marLeft w:val="0"/>
      <w:marRight w:val="0"/>
      <w:marTop w:val="0"/>
      <w:marBottom w:val="0"/>
      <w:divBdr>
        <w:top w:val="none" w:sz="0" w:space="0" w:color="auto"/>
        <w:left w:val="none" w:sz="0" w:space="0" w:color="auto"/>
        <w:bottom w:val="none" w:sz="0" w:space="0" w:color="auto"/>
        <w:right w:val="none" w:sz="0" w:space="0" w:color="auto"/>
      </w:divBdr>
    </w:div>
    <w:div w:id="545527955">
      <w:bodyDiv w:val="1"/>
      <w:marLeft w:val="0"/>
      <w:marRight w:val="0"/>
      <w:marTop w:val="0"/>
      <w:marBottom w:val="0"/>
      <w:divBdr>
        <w:top w:val="none" w:sz="0" w:space="0" w:color="auto"/>
        <w:left w:val="none" w:sz="0" w:space="0" w:color="auto"/>
        <w:bottom w:val="none" w:sz="0" w:space="0" w:color="auto"/>
        <w:right w:val="none" w:sz="0" w:space="0" w:color="auto"/>
      </w:divBdr>
    </w:div>
    <w:div w:id="19007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protectionprofessionals.org.uk/our-language-matters-why-we-should-stop-using-the-term-disclosure-in-child-prote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lii.org/ew/cases/EWHC/Fam/2010/3824.html" TargetMode="External"/><Relationship Id="rId5" Type="http://schemas.openxmlformats.org/officeDocument/2006/relationships/webSettings" Target="webSettings.xml"/><Relationship Id="rId10" Type="http://schemas.openxmlformats.org/officeDocument/2006/relationships/hyperlink" Target="https://www.familylawweek.co.uk/site.aspx?i=ed82614" TargetMode="External"/><Relationship Id="rId4" Type="http://schemas.openxmlformats.org/officeDocument/2006/relationships/settings" Target="settings.xml"/><Relationship Id="rId9" Type="http://schemas.openxmlformats.org/officeDocument/2006/relationships/hyperlink" Target="https://www.mysocialworknews.com/article/do-you-know-the-difference-between-a-disclosure-and-an-allegation?fbclid=IwAR10xOH0WjsS5jtbFt2f09zob8aFhmZ2_XlicOqe62ExvFdJUZ_UCx24o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D882-76E1-439A-8025-0C86821A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Jensen</dc:creator>
  <cp:keywords/>
  <cp:lastModifiedBy>TYRRELL, Rob</cp:lastModifiedBy>
  <cp:revision>3</cp:revision>
  <dcterms:created xsi:type="dcterms:W3CDTF">2022-11-10T16:50:00Z</dcterms:created>
  <dcterms:modified xsi:type="dcterms:W3CDTF">2022-11-11T13:14:00Z</dcterms:modified>
</cp:coreProperties>
</file>