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B2DA9" w14:textId="741D4436" w:rsidR="0007594F" w:rsidRPr="00315971" w:rsidRDefault="0007594F" w:rsidP="001B779A">
      <w:pPr>
        <w:overflowPunct w:val="0"/>
        <w:autoSpaceDE w:val="0"/>
        <w:autoSpaceDN w:val="0"/>
        <w:adjustRightInd w:val="0"/>
        <w:spacing w:after="0" w:line="240" w:lineRule="auto"/>
        <w:ind w:left="720"/>
        <w:jc w:val="center"/>
        <w:textAlignment w:val="baseline"/>
        <w:rPr>
          <w:rFonts w:cstheme="minorHAnsi"/>
          <w:b/>
          <w:bCs/>
          <w:sz w:val="26"/>
          <w:szCs w:val="26"/>
          <w:u w:val="single"/>
        </w:rPr>
      </w:pPr>
      <w:bookmarkStart w:id="0" w:name="_GoBack"/>
      <w:bookmarkEnd w:id="0"/>
    </w:p>
    <w:p w14:paraId="124C0D0C" w14:textId="77777777" w:rsidR="001B779A" w:rsidRPr="00315971" w:rsidRDefault="001B779A" w:rsidP="001B779A">
      <w:pPr>
        <w:pStyle w:val="Header"/>
        <w:jc w:val="center"/>
        <w:rPr>
          <w:b/>
          <w:bCs/>
          <w:noProof/>
          <w:sz w:val="26"/>
          <w:szCs w:val="26"/>
          <w:u w:val="single"/>
        </w:rPr>
      </w:pPr>
      <w:r w:rsidRPr="00315971">
        <w:rPr>
          <w:b/>
          <w:bCs/>
          <w:sz w:val="26"/>
          <w:szCs w:val="26"/>
          <w:u w:val="single"/>
        </w:rPr>
        <w:t>Contacting and disclosing information to family and friends in pre proceedings when parents oppose.</w:t>
      </w:r>
    </w:p>
    <w:p w14:paraId="21CEB6EB" w14:textId="77777777" w:rsidR="001B779A" w:rsidRPr="000065FD" w:rsidRDefault="001B779A" w:rsidP="002F11EB">
      <w:pPr>
        <w:overflowPunct w:val="0"/>
        <w:autoSpaceDE w:val="0"/>
        <w:autoSpaceDN w:val="0"/>
        <w:adjustRightInd w:val="0"/>
        <w:spacing w:after="0" w:line="240" w:lineRule="auto"/>
        <w:jc w:val="both"/>
        <w:textAlignment w:val="baseline"/>
        <w:rPr>
          <w:rFonts w:cstheme="minorHAnsi"/>
          <w:sz w:val="24"/>
          <w:szCs w:val="24"/>
        </w:rPr>
      </w:pPr>
    </w:p>
    <w:p w14:paraId="101F5677" w14:textId="3CC05C37" w:rsidR="00E7206F" w:rsidRPr="00315971" w:rsidRDefault="00E7206F" w:rsidP="00315971">
      <w:pPr>
        <w:pStyle w:val="jus"/>
        <w:ind w:left="-57"/>
        <w:jc w:val="both"/>
        <w:rPr>
          <w:rFonts w:ascii="Calibri" w:hAnsi="Calibri" w:cs="Calibri"/>
          <w:b/>
          <w:iCs/>
          <w:color w:val="000000"/>
          <w:u w:val="single"/>
        </w:rPr>
      </w:pPr>
      <w:r w:rsidRPr="00315971">
        <w:rPr>
          <w:rFonts w:ascii="Calibri" w:hAnsi="Calibri" w:cs="Calibri"/>
          <w:b/>
          <w:iCs/>
          <w:color w:val="000000"/>
          <w:u w:val="single"/>
        </w:rPr>
        <w:t>Introd</w:t>
      </w:r>
      <w:r w:rsidR="002F11EB">
        <w:rPr>
          <w:rFonts w:ascii="Calibri" w:hAnsi="Calibri" w:cs="Calibri"/>
          <w:b/>
          <w:iCs/>
          <w:color w:val="000000"/>
          <w:u w:val="single"/>
        </w:rPr>
        <w:t>u</w:t>
      </w:r>
      <w:r w:rsidRPr="00315971">
        <w:rPr>
          <w:rFonts w:ascii="Calibri" w:hAnsi="Calibri" w:cs="Calibri"/>
          <w:b/>
          <w:iCs/>
          <w:color w:val="000000"/>
          <w:u w:val="single"/>
        </w:rPr>
        <w:t xml:space="preserve">ction </w:t>
      </w:r>
    </w:p>
    <w:p w14:paraId="1D44CB5B" w14:textId="3576C40F" w:rsidR="00E7206F" w:rsidRPr="003256DE" w:rsidRDefault="00E7206F" w:rsidP="00E7206F">
      <w:pPr>
        <w:pStyle w:val="jus"/>
        <w:numPr>
          <w:ilvl w:val="1"/>
          <w:numId w:val="21"/>
        </w:numPr>
        <w:ind w:left="-57"/>
        <w:jc w:val="both"/>
        <w:rPr>
          <w:rFonts w:ascii="Calibri" w:hAnsi="Calibri" w:cs="Calibri"/>
          <w:bCs/>
          <w:iCs/>
          <w:color w:val="000000"/>
        </w:rPr>
      </w:pPr>
      <w:r w:rsidRPr="003256DE">
        <w:rPr>
          <w:rFonts w:ascii="Calibri" w:hAnsi="Calibri" w:cs="Calibri"/>
          <w:bCs/>
          <w:iCs/>
          <w:color w:val="000000"/>
        </w:rPr>
        <w:t xml:space="preserve">During workshops in 2019 on the Pre-Proceedings process social workers continually raised that they could not approach family members because parents would not agree to this. This briefing makes it clear that this is not the case, explains why and how to approach information sharing in these circumstances. </w:t>
      </w:r>
    </w:p>
    <w:p w14:paraId="733A1768" w14:textId="77777777" w:rsidR="00E7206F" w:rsidRPr="00FB2A7A" w:rsidRDefault="00E7206F" w:rsidP="00E7206F">
      <w:pPr>
        <w:pStyle w:val="jus"/>
        <w:ind w:left="-57"/>
        <w:jc w:val="both"/>
        <w:rPr>
          <w:rFonts w:ascii="Calibri" w:hAnsi="Calibri" w:cs="Calibri"/>
          <w:b/>
          <w:color w:val="000000"/>
        </w:rPr>
      </w:pPr>
      <w:proofErr w:type="gramStart"/>
      <w:r w:rsidRPr="00FB2A7A">
        <w:rPr>
          <w:rFonts w:ascii="Calibri" w:hAnsi="Calibri" w:cs="Calibri"/>
          <w:b/>
          <w:color w:val="000000"/>
        </w:rPr>
        <w:t>Key Case.</w:t>
      </w:r>
      <w:proofErr w:type="gramEnd"/>
    </w:p>
    <w:p w14:paraId="16A0D736" w14:textId="77777777" w:rsidR="00E7206F" w:rsidRPr="00FB2A7A" w:rsidRDefault="00E7206F" w:rsidP="00E7206F">
      <w:pPr>
        <w:pStyle w:val="jus"/>
        <w:numPr>
          <w:ilvl w:val="0"/>
          <w:numId w:val="21"/>
        </w:numPr>
        <w:ind w:left="-57"/>
        <w:jc w:val="both"/>
        <w:rPr>
          <w:rFonts w:ascii="Calibri" w:hAnsi="Calibri" w:cs="Calibri"/>
          <w:b/>
          <w:bCs/>
          <w:color w:val="000000"/>
        </w:rPr>
      </w:pPr>
      <w:r w:rsidRPr="00FB2A7A">
        <w:rPr>
          <w:rFonts w:ascii="Calibri" w:hAnsi="Calibri" w:cs="Calibri"/>
          <w:b/>
          <w:bCs/>
          <w:lang w:val="en"/>
        </w:rPr>
        <w:t>Re H (Care and Adoption - Assessment of wider family) [2019] EWFC Cobb J</w:t>
      </w:r>
    </w:p>
    <w:p w14:paraId="619248CF" w14:textId="7CB439B1" w:rsidR="003256DE" w:rsidRDefault="00E7206F" w:rsidP="002F11EB">
      <w:pPr>
        <w:pStyle w:val="jus"/>
        <w:numPr>
          <w:ilvl w:val="1"/>
          <w:numId w:val="21"/>
        </w:numPr>
        <w:ind w:left="-57"/>
        <w:jc w:val="both"/>
        <w:rPr>
          <w:rFonts w:ascii="Calibri" w:hAnsi="Calibri" w:cs="Calibri"/>
          <w:color w:val="000000"/>
        </w:rPr>
      </w:pPr>
      <w:r w:rsidRPr="00FB2A7A">
        <w:rPr>
          <w:rFonts w:ascii="Calibri" w:hAnsi="Calibri" w:cs="Calibri"/>
          <w:color w:val="000000"/>
        </w:rPr>
        <w:t xml:space="preserve">Mr Justice Cobb considered a case where a father in care proceedings did not want his family to know of the existence of his child.  The Judge reviewed statute, guidance and case law asking the question what a court, local authority or adoption agency should do when faced with this dilemma. </w:t>
      </w:r>
    </w:p>
    <w:p w14:paraId="29164638" w14:textId="77777777" w:rsidR="002F11EB" w:rsidRPr="002F11EB" w:rsidRDefault="002F11EB" w:rsidP="002F11EB">
      <w:pPr>
        <w:pStyle w:val="jus"/>
        <w:ind w:left="-57"/>
        <w:jc w:val="both"/>
        <w:rPr>
          <w:rFonts w:ascii="Calibri" w:hAnsi="Calibri" w:cs="Calibri"/>
          <w:color w:val="000000"/>
        </w:rPr>
      </w:pPr>
    </w:p>
    <w:p w14:paraId="730574A9" w14:textId="77777777" w:rsidR="00E7206F" w:rsidRPr="00FB2A7A" w:rsidRDefault="00E7206F" w:rsidP="00E7206F">
      <w:pPr>
        <w:pStyle w:val="jus"/>
        <w:numPr>
          <w:ilvl w:val="0"/>
          <w:numId w:val="21"/>
        </w:numPr>
        <w:ind w:left="-57"/>
        <w:jc w:val="both"/>
        <w:rPr>
          <w:rFonts w:ascii="Calibri" w:hAnsi="Calibri" w:cs="Calibri"/>
          <w:b/>
          <w:bCs/>
          <w:color w:val="000000"/>
        </w:rPr>
      </w:pPr>
      <w:r w:rsidRPr="00FB2A7A">
        <w:rPr>
          <w:rFonts w:ascii="Calibri" w:hAnsi="Calibri" w:cs="Calibri"/>
          <w:b/>
          <w:bCs/>
          <w:color w:val="000000"/>
        </w:rPr>
        <w:t>Statute</w:t>
      </w:r>
    </w:p>
    <w:p w14:paraId="335959C7" w14:textId="77777777" w:rsidR="00E7206F" w:rsidRDefault="00E7206F" w:rsidP="00E7206F">
      <w:pPr>
        <w:pStyle w:val="jus"/>
        <w:numPr>
          <w:ilvl w:val="1"/>
          <w:numId w:val="21"/>
        </w:numPr>
        <w:ind w:left="-57"/>
        <w:jc w:val="both"/>
        <w:rPr>
          <w:rFonts w:ascii="Calibri" w:hAnsi="Calibri" w:cs="Calibri"/>
          <w:color w:val="000000"/>
        </w:rPr>
      </w:pPr>
      <w:r w:rsidRPr="00FB2A7A">
        <w:rPr>
          <w:rFonts w:ascii="Calibri" w:hAnsi="Calibri" w:cs="Calibri"/>
          <w:color w:val="000000"/>
        </w:rPr>
        <w:t>Statute gives strong indicators of the importance of wider family engagement in assessment, pre proceedings and decision making but there are no provisions of either the </w:t>
      </w:r>
      <w:r w:rsidRPr="00FB2A7A">
        <w:rPr>
          <w:rStyle w:val="Emphasis"/>
          <w:rFonts w:ascii="Calibri" w:hAnsi="Calibri" w:cs="Calibri"/>
          <w:color w:val="000000"/>
        </w:rPr>
        <w:t>CA 1989</w:t>
      </w:r>
      <w:r w:rsidRPr="00FB2A7A">
        <w:rPr>
          <w:rFonts w:ascii="Calibri" w:hAnsi="Calibri" w:cs="Calibri"/>
          <w:color w:val="000000"/>
        </w:rPr>
        <w:t> or the </w:t>
      </w:r>
      <w:r w:rsidRPr="00FB2A7A">
        <w:rPr>
          <w:rStyle w:val="Emphasis"/>
          <w:rFonts w:ascii="Calibri" w:hAnsi="Calibri" w:cs="Calibri"/>
          <w:color w:val="000000"/>
        </w:rPr>
        <w:t>ACA 2002</w:t>
      </w:r>
      <w:r w:rsidRPr="00FB2A7A">
        <w:rPr>
          <w:rFonts w:ascii="Calibri" w:hAnsi="Calibri" w:cs="Calibri"/>
          <w:color w:val="000000"/>
        </w:rPr>
        <w:t>, the </w:t>
      </w:r>
      <w:r w:rsidRPr="00FB2A7A">
        <w:rPr>
          <w:rStyle w:val="Emphasis"/>
          <w:rFonts w:ascii="Calibri" w:hAnsi="Calibri" w:cs="Calibri"/>
          <w:color w:val="000000"/>
        </w:rPr>
        <w:t>AAR 2005</w:t>
      </w:r>
      <w:r w:rsidRPr="00FB2A7A">
        <w:rPr>
          <w:rFonts w:ascii="Calibri" w:hAnsi="Calibri" w:cs="Calibri"/>
          <w:color w:val="000000"/>
        </w:rPr>
        <w:t>, or associated Practice Directions, which absolutely </w:t>
      </w:r>
      <w:r w:rsidRPr="00FB2A7A">
        <w:rPr>
          <w:rFonts w:ascii="Calibri" w:hAnsi="Calibri" w:cs="Calibri"/>
          <w:color w:val="000000"/>
          <w:u w:val="single"/>
        </w:rPr>
        <w:t>require</w:t>
      </w:r>
      <w:r w:rsidRPr="00FB2A7A">
        <w:rPr>
          <w:rFonts w:ascii="Calibri" w:hAnsi="Calibri" w:cs="Calibri"/>
          <w:color w:val="000000"/>
        </w:rPr>
        <w:t> or </w:t>
      </w:r>
      <w:r w:rsidRPr="00FB2A7A">
        <w:rPr>
          <w:rFonts w:ascii="Calibri" w:hAnsi="Calibri" w:cs="Calibri"/>
          <w:color w:val="000000"/>
          <w:u w:val="single"/>
        </w:rPr>
        <w:t>place a duty on</w:t>
      </w:r>
      <w:r w:rsidRPr="00FB2A7A">
        <w:rPr>
          <w:rFonts w:ascii="Calibri" w:hAnsi="Calibri" w:cs="Calibri"/>
          <w:color w:val="000000"/>
        </w:rPr>
        <w:t> a local authority to inform, consult, assess or otherwise consider members of the wider family.  </w:t>
      </w:r>
    </w:p>
    <w:p w14:paraId="05D5EDCE" w14:textId="77777777" w:rsidR="00E7206F" w:rsidRPr="00FB2A7A" w:rsidRDefault="00E7206F" w:rsidP="00E7206F">
      <w:pPr>
        <w:pStyle w:val="jus"/>
        <w:ind w:left="-57"/>
        <w:jc w:val="both"/>
        <w:rPr>
          <w:rFonts w:ascii="Calibri" w:hAnsi="Calibri" w:cs="Calibri"/>
          <w:color w:val="000000"/>
        </w:rPr>
      </w:pPr>
    </w:p>
    <w:p w14:paraId="7B10A863" w14:textId="77777777" w:rsidR="00E7206F" w:rsidRPr="00FB2A7A" w:rsidRDefault="00E7206F" w:rsidP="00E7206F">
      <w:pPr>
        <w:pStyle w:val="jus"/>
        <w:numPr>
          <w:ilvl w:val="0"/>
          <w:numId w:val="21"/>
        </w:numPr>
        <w:ind w:left="-57"/>
        <w:jc w:val="both"/>
        <w:rPr>
          <w:rFonts w:ascii="Calibri" w:hAnsi="Calibri" w:cs="Calibri"/>
          <w:b/>
          <w:bCs/>
          <w:color w:val="000000"/>
        </w:rPr>
      </w:pPr>
      <w:r w:rsidRPr="00FB2A7A">
        <w:rPr>
          <w:rFonts w:ascii="Calibri" w:hAnsi="Calibri" w:cs="Calibri"/>
          <w:b/>
          <w:bCs/>
          <w:color w:val="000000"/>
        </w:rPr>
        <w:t>Guidance</w:t>
      </w:r>
    </w:p>
    <w:p w14:paraId="768B3139" w14:textId="77461874" w:rsidR="00F565EB" w:rsidRDefault="00E7206F" w:rsidP="00F565EB">
      <w:pPr>
        <w:pStyle w:val="jus"/>
        <w:numPr>
          <w:ilvl w:val="1"/>
          <w:numId w:val="21"/>
        </w:numPr>
        <w:ind w:left="-57"/>
        <w:jc w:val="both"/>
        <w:rPr>
          <w:rFonts w:ascii="Calibri" w:hAnsi="Calibri" w:cs="Calibri"/>
          <w:color w:val="000000"/>
        </w:rPr>
      </w:pPr>
      <w:r w:rsidRPr="00FB2A7A">
        <w:rPr>
          <w:rFonts w:ascii="Calibri" w:hAnsi="Calibri" w:cs="Calibri"/>
          <w:color w:val="000000"/>
        </w:rPr>
        <w:t>Emphasises the unique role which family and friends play in enabling children and young people to remain with people they know and trust if they cannot, for whatever reason, live with their parents.  Sets out good practice for Local Authorities working with families and the need to identify and prioritise family placements and ensure families contribute to decisions. Sets out the need to work in partnership with parents and family members.</w:t>
      </w:r>
    </w:p>
    <w:p w14:paraId="572514F2" w14:textId="77777777" w:rsidR="00F565EB" w:rsidRPr="00F565EB" w:rsidRDefault="00F565EB" w:rsidP="00F565EB">
      <w:pPr>
        <w:pStyle w:val="jus"/>
        <w:ind w:left="-57"/>
        <w:jc w:val="both"/>
        <w:rPr>
          <w:rFonts w:ascii="Calibri" w:hAnsi="Calibri" w:cs="Calibri"/>
          <w:color w:val="000000"/>
        </w:rPr>
      </w:pPr>
    </w:p>
    <w:p w14:paraId="585AFD06" w14:textId="77777777" w:rsidR="00E7206F" w:rsidRPr="00FB2A7A" w:rsidRDefault="00E7206F" w:rsidP="00E7206F">
      <w:pPr>
        <w:pStyle w:val="jus"/>
        <w:numPr>
          <w:ilvl w:val="1"/>
          <w:numId w:val="21"/>
        </w:numPr>
        <w:ind w:left="-57"/>
        <w:jc w:val="both"/>
        <w:rPr>
          <w:rFonts w:ascii="Calibri" w:hAnsi="Calibri" w:cs="Calibri"/>
          <w:color w:val="000000"/>
        </w:rPr>
      </w:pPr>
      <w:r w:rsidRPr="00FB2A7A">
        <w:rPr>
          <w:rFonts w:ascii="Calibri" w:hAnsi="Calibri" w:cs="Calibri"/>
          <w:color w:val="000000"/>
        </w:rPr>
        <w:t>'</w:t>
      </w:r>
      <w:r w:rsidRPr="00FB2A7A">
        <w:rPr>
          <w:rStyle w:val="Emphasis"/>
          <w:rFonts w:ascii="Calibri" w:hAnsi="Calibri" w:cs="Calibri"/>
          <w:color w:val="000000"/>
        </w:rPr>
        <w:t>Family and Friends Care: Statutory Guidance for Local Authorities'</w:t>
      </w:r>
      <w:r w:rsidRPr="00FB2A7A">
        <w:rPr>
          <w:rFonts w:ascii="Calibri" w:hAnsi="Calibri" w:cs="Calibri"/>
          <w:color w:val="000000"/>
        </w:rPr>
        <w:t> requires local authorities to publish a policy setting out its approach towards meeting the needs of children living with family and friends' carers.  Such a policy should be designed (</w:t>
      </w:r>
      <w:proofErr w:type="spellStart"/>
      <w:r w:rsidRPr="00FB2A7A">
        <w:rPr>
          <w:rFonts w:ascii="Calibri" w:hAnsi="Calibri" w:cs="Calibri"/>
          <w:color w:val="000000"/>
        </w:rPr>
        <w:t>para</w:t>
      </w:r>
      <w:proofErr w:type="spellEnd"/>
      <w:r w:rsidRPr="00FB2A7A">
        <w:rPr>
          <w:rFonts w:ascii="Calibri" w:hAnsi="Calibri" w:cs="Calibri"/>
          <w:color w:val="000000"/>
        </w:rPr>
        <w:t xml:space="preserve"> [4.5]) to "promote </w:t>
      </w:r>
      <w:r w:rsidRPr="00FB2A7A">
        <w:rPr>
          <w:rFonts w:ascii="Calibri" w:hAnsi="Calibri" w:cs="Calibri"/>
          <w:color w:val="000000"/>
        </w:rPr>
        <w:lastRenderedPageBreak/>
        <w:t>permanence for children by seeking to enable those who cannot live with their parents to remain with members of their extended family or friends".  This Guidance contains this further important passage:</w:t>
      </w:r>
    </w:p>
    <w:p w14:paraId="4BA2F582" w14:textId="55B535E7" w:rsidR="00E7206F" w:rsidRPr="00F565EB" w:rsidRDefault="00E7206F" w:rsidP="00F565EB">
      <w:pPr>
        <w:pStyle w:val="ind"/>
        <w:numPr>
          <w:ilvl w:val="2"/>
          <w:numId w:val="21"/>
        </w:numPr>
        <w:rPr>
          <w:rFonts w:ascii="Calibri" w:hAnsi="Calibri" w:cs="Calibri"/>
          <w:i/>
          <w:iCs/>
          <w:color w:val="000000"/>
        </w:rPr>
      </w:pPr>
      <w:r w:rsidRPr="00F565EB">
        <w:rPr>
          <w:rFonts w:ascii="Calibri" w:hAnsi="Calibri" w:cs="Calibri"/>
          <w:i/>
          <w:iCs/>
          <w:color w:val="000000"/>
        </w:rPr>
        <w:t>"[2.18] … voluntary arrangements for the provision of services to children and families, including the consideration of potential alternative carers, </w:t>
      </w:r>
      <w:r w:rsidRPr="00F565EB">
        <w:rPr>
          <w:rFonts w:ascii="Calibri" w:hAnsi="Calibri" w:cs="Calibri"/>
          <w:i/>
          <w:iCs/>
          <w:color w:val="000000"/>
          <w:u w:val="single"/>
        </w:rPr>
        <w:t>should always be fully explored</w:t>
      </w:r>
      <w:r w:rsidRPr="00F565EB">
        <w:rPr>
          <w:rFonts w:ascii="Calibri" w:hAnsi="Calibri" w:cs="Calibri"/>
          <w:i/>
          <w:iCs/>
          <w:color w:val="000000"/>
        </w:rPr>
        <w:t> before any application is made under </w:t>
      </w:r>
      <w:r w:rsidRPr="00F565EB">
        <w:rPr>
          <w:rStyle w:val="Emphasis"/>
          <w:rFonts w:ascii="Calibri" w:hAnsi="Calibri" w:cs="Calibri"/>
          <w:i w:val="0"/>
          <w:iCs w:val="0"/>
          <w:color w:val="000000"/>
        </w:rPr>
        <w:t>section 31 of the 1989 Act</w:t>
      </w:r>
      <w:r w:rsidRPr="00F565EB">
        <w:rPr>
          <w:rFonts w:ascii="Calibri" w:hAnsi="Calibri" w:cs="Calibri"/>
          <w:i/>
          <w:iCs/>
          <w:color w:val="000000"/>
        </w:rPr>
        <w:t> for a care or supervision order. Statutory </w:t>
      </w:r>
      <w:r w:rsidRPr="00F565EB">
        <w:rPr>
          <w:rStyle w:val="Emphasis"/>
          <w:rFonts w:ascii="Calibri" w:hAnsi="Calibri" w:cs="Calibri"/>
          <w:i w:val="0"/>
          <w:iCs w:val="0"/>
          <w:color w:val="000000"/>
        </w:rPr>
        <w:t>Children Act 1989</w:t>
      </w:r>
      <w:r w:rsidRPr="00F565EB">
        <w:rPr>
          <w:rFonts w:ascii="Calibri" w:hAnsi="Calibri" w:cs="Calibri"/>
          <w:i/>
          <w:iCs/>
          <w:color w:val="000000"/>
        </w:rPr>
        <w:t> guidance on court orders requires that a local authority should take steps as soon as possible, perhaps through a family group conference or other family meeting, to explore whether care for the child can be safely provided by a relative or friend, assessing the suitability of possible arrangements and considering the most appropriate legal status of such arrangements."</w:t>
      </w:r>
    </w:p>
    <w:p w14:paraId="23E1B550" w14:textId="77777777" w:rsidR="00F565EB" w:rsidRPr="00F565EB" w:rsidRDefault="00F565EB" w:rsidP="00F565EB">
      <w:pPr>
        <w:pStyle w:val="ind"/>
        <w:ind w:left="1224"/>
        <w:rPr>
          <w:rFonts w:ascii="Calibri" w:hAnsi="Calibri" w:cs="Calibri"/>
          <w:color w:val="000000"/>
        </w:rPr>
      </w:pPr>
    </w:p>
    <w:p w14:paraId="45B16CEB" w14:textId="77777777" w:rsidR="00E7206F" w:rsidRPr="00FB2A7A" w:rsidRDefault="00E7206F" w:rsidP="00E7206F">
      <w:pPr>
        <w:pStyle w:val="ind"/>
        <w:numPr>
          <w:ilvl w:val="0"/>
          <w:numId w:val="21"/>
        </w:numPr>
        <w:ind w:left="-57"/>
        <w:rPr>
          <w:rFonts w:ascii="Calibri" w:hAnsi="Calibri" w:cs="Calibri"/>
          <w:b/>
          <w:bCs/>
          <w:color w:val="000000"/>
        </w:rPr>
      </w:pPr>
      <w:r w:rsidRPr="00FB2A7A">
        <w:rPr>
          <w:rFonts w:ascii="Calibri" w:hAnsi="Calibri" w:cs="Calibri"/>
          <w:b/>
          <w:bCs/>
          <w:color w:val="000000"/>
        </w:rPr>
        <w:t>Case Law</w:t>
      </w:r>
    </w:p>
    <w:p w14:paraId="42AC5467" w14:textId="77777777" w:rsidR="00E7206F" w:rsidRPr="00FB2A7A" w:rsidRDefault="00E7206F" w:rsidP="00E7206F">
      <w:pPr>
        <w:pStyle w:val="ind"/>
        <w:numPr>
          <w:ilvl w:val="1"/>
          <w:numId w:val="21"/>
        </w:numPr>
        <w:ind w:left="-57"/>
        <w:rPr>
          <w:rFonts w:ascii="Calibri" w:hAnsi="Calibri" w:cs="Calibri"/>
          <w:color w:val="000000"/>
        </w:rPr>
      </w:pPr>
      <w:r w:rsidRPr="00FB2A7A">
        <w:rPr>
          <w:rFonts w:ascii="Calibri" w:hAnsi="Calibri" w:cs="Calibri"/>
          <w:color w:val="000000"/>
        </w:rPr>
        <w:t xml:space="preserve">Family placements must be fully explored before a plan of adoption can be considered. </w:t>
      </w:r>
    </w:p>
    <w:p w14:paraId="682ED5DF" w14:textId="77777777" w:rsidR="00E7206F" w:rsidRPr="00FB2A7A" w:rsidRDefault="00E7206F" w:rsidP="00E7206F">
      <w:pPr>
        <w:pStyle w:val="ind"/>
        <w:numPr>
          <w:ilvl w:val="1"/>
          <w:numId w:val="21"/>
        </w:numPr>
        <w:ind w:left="-57"/>
        <w:rPr>
          <w:rFonts w:ascii="Calibri" w:hAnsi="Calibri" w:cs="Calibri"/>
          <w:color w:val="000000"/>
        </w:rPr>
      </w:pPr>
      <w:r w:rsidRPr="00FB2A7A">
        <w:rPr>
          <w:rFonts w:ascii="Calibri" w:hAnsi="Calibri" w:cs="Calibri"/>
          <w:color w:val="000000"/>
        </w:rPr>
        <w:t>Not letting a family know about a child is a fundamental step which should only be justified where there are very cogent and compelling circumstances</w:t>
      </w:r>
    </w:p>
    <w:p w14:paraId="67CFBFC6" w14:textId="77777777" w:rsidR="00E7206F" w:rsidRPr="00FB2A7A" w:rsidRDefault="00E7206F" w:rsidP="00E7206F">
      <w:pPr>
        <w:pStyle w:val="ind"/>
        <w:numPr>
          <w:ilvl w:val="1"/>
          <w:numId w:val="21"/>
        </w:numPr>
        <w:ind w:left="-57"/>
        <w:rPr>
          <w:rFonts w:ascii="Calibri" w:hAnsi="Calibri" w:cs="Calibri"/>
          <w:color w:val="000000"/>
        </w:rPr>
      </w:pPr>
      <w:r w:rsidRPr="00FB2A7A">
        <w:rPr>
          <w:rFonts w:ascii="Calibri" w:hAnsi="Calibri" w:cs="Calibri"/>
          <w:color w:val="000000"/>
        </w:rPr>
        <w:t>There are some exceptions relinquished baby cases where a mother’s wish for confidential and discreet arrangements carry significant weight</w:t>
      </w:r>
    </w:p>
    <w:p w14:paraId="27FD011F" w14:textId="77777777" w:rsidR="00E7206F" w:rsidRPr="00FB2A7A" w:rsidRDefault="00E7206F" w:rsidP="00E7206F">
      <w:pPr>
        <w:pStyle w:val="ind"/>
        <w:numPr>
          <w:ilvl w:val="1"/>
          <w:numId w:val="21"/>
        </w:numPr>
        <w:ind w:left="-57"/>
        <w:rPr>
          <w:rFonts w:ascii="Calibri" w:hAnsi="Calibri" w:cs="Calibri"/>
          <w:color w:val="000000"/>
        </w:rPr>
      </w:pPr>
      <w:r w:rsidRPr="00FB2A7A">
        <w:rPr>
          <w:rFonts w:ascii="Calibri" w:hAnsi="Calibri" w:cs="Calibri"/>
          <w:color w:val="000000"/>
        </w:rPr>
        <w:t>Importantly:</w:t>
      </w:r>
    </w:p>
    <w:p w14:paraId="3020D535" w14:textId="77777777" w:rsidR="00E7206F" w:rsidRPr="00FB2A7A" w:rsidRDefault="00E7206F" w:rsidP="00E7206F">
      <w:pPr>
        <w:pStyle w:val="ind"/>
        <w:numPr>
          <w:ilvl w:val="1"/>
          <w:numId w:val="21"/>
        </w:numPr>
        <w:ind w:left="-57"/>
        <w:rPr>
          <w:rFonts w:ascii="Calibri" w:hAnsi="Calibri" w:cs="Calibri"/>
          <w:color w:val="000000"/>
        </w:rPr>
      </w:pPr>
      <w:r w:rsidRPr="00FB2A7A">
        <w:rPr>
          <w:rStyle w:val="Emphasis"/>
          <w:rFonts w:ascii="Calibri" w:hAnsi="Calibri" w:cs="Calibri"/>
          <w:color w:val="000000"/>
        </w:rPr>
        <w:t>YC v United Kingdom</w:t>
      </w:r>
      <w:r w:rsidRPr="00FB2A7A">
        <w:rPr>
          <w:rFonts w:ascii="Calibri" w:hAnsi="Calibri" w:cs="Calibri"/>
          <w:color w:val="000000"/>
        </w:rPr>
        <w:t> (2012) 55 EHRR 33, the court held that the child's best interests will be served by his ties with his family being maintained, except in cases where the family has "proved particularly unfit", adding:</w:t>
      </w:r>
    </w:p>
    <w:p w14:paraId="7A388158" w14:textId="53699F41" w:rsidR="00E7206F" w:rsidRDefault="00E7206F" w:rsidP="002F11EB">
      <w:pPr>
        <w:pStyle w:val="ind"/>
        <w:numPr>
          <w:ilvl w:val="1"/>
          <w:numId w:val="21"/>
        </w:numPr>
        <w:ind w:left="-57"/>
        <w:rPr>
          <w:rFonts w:ascii="Calibri" w:hAnsi="Calibri" w:cs="Calibri"/>
          <w:color w:val="000000"/>
        </w:rPr>
      </w:pPr>
      <w:r w:rsidRPr="00FB2A7A">
        <w:rPr>
          <w:rFonts w:ascii="Calibri" w:hAnsi="Calibri" w:cs="Calibri"/>
          <w:color w:val="000000"/>
        </w:rPr>
        <w:t>"[134] </w:t>
      </w:r>
      <w:r w:rsidRPr="00FB2A7A">
        <w:rPr>
          <w:rFonts w:ascii="Calibri" w:hAnsi="Calibri" w:cs="Calibri"/>
          <w:color w:val="000000"/>
          <w:u w:val="single"/>
        </w:rPr>
        <w:t>It is clear from the foregoing that family ties may only be severed in very exceptional circumstances and that everything must be done to preserve personal relations and, where appropriate, to 'rebuild' the family</w:t>
      </w:r>
      <w:r w:rsidRPr="00FB2A7A">
        <w:rPr>
          <w:rFonts w:ascii="Calibri" w:hAnsi="Calibri" w:cs="Calibri"/>
          <w:color w:val="000000"/>
        </w:rPr>
        <w:t>. It is not enough to show that a child could be placed in a more beneficial environment for his upbringing. However, where the maintenance of family ties would harm the child's health and development, a parent is not entitled under </w:t>
      </w:r>
      <w:r w:rsidRPr="00FB2A7A">
        <w:rPr>
          <w:rStyle w:val="Emphasis"/>
          <w:rFonts w:ascii="Calibri" w:hAnsi="Calibri" w:cs="Calibri"/>
          <w:color w:val="000000"/>
        </w:rPr>
        <w:t>article 8</w:t>
      </w:r>
      <w:r w:rsidRPr="00FB2A7A">
        <w:rPr>
          <w:rFonts w:ascii="Calibri" w:hAnsi="Calibri" w:cs="Calibri"/>
          <w:color w:val="000000"/>
        </w:rPr>
        <w:t> to insist that such ties be maintained."</w:t>
      </w:r>
    </w:p>
    <w:p w14:paraId="160F69BE" w14:textId="77777777" w:rsidR="002F11EB" w:rsidRPr="002F11EB" w:rsidRDefault="002F11EB" w:rsidP="002F11EB">
      <w:pPr>
        <w:pStyle w:val="ind"/>
        <w:ind w:left="-57"/>
        <w:rPr>
          <w:rFonts w:ascii="Calibri" w:hAnsi="Calibri" w:cs="Calibri"/>
          <w:color w:val="000000"/>
        </w:rPr>
      </w:pPr>
    </w:p>
    <w:p w14:paraId="1E5297A6" w14:textId="5CB54FD8" w:rsidR="002F11EB" w:rsidRPr="002F11EB" w:rsidRDefault="00E7206F" w:rsidP="002F11EB">
      <w:pPr>
        <w:pStyle w:val="jus"/>
        <w:numPr>
          <w:ilvl w:val="0"/>
          <w:numId w:val="21"/>
        </w:numPr>
        <w:ind w:left="-57"/>
        <w:jc w:val="both"/>
        <w:rPr>
          <w:rFonts w:ascii="Calibri" w:hAnsi="Calibri" w:cs="Calibri"/>
          <w:b/>
          <w:bCs/>
          <w:i/>
          <w:iCs/>
          <w:color w:val="000000"/>
        </w:rPr>
      </w:pPr>
      <w:r w:rsidRPr="00FB2A7A">
        <w:rPr>
          <w:rFonts w:ascii="Calibri" w:hAnsi="Calibri" w:cs="Calibri"/>
          <w:b/>
          <w:bCs/>
          <w:i/>
          <w:iCs/>
          <w:color w:val="000000"/>
        </w:rPr>
        <w:t>Summary of the position by Mr Justice Cobb</w:t>
      </w:r>
    </w:p>
    <w:p w14:paraId="422BEFEC" w14:textId="68584B6E" w:rsidR="00E7206F" w:rsidRPr="00FB2A7A" w:rsidRDefault="00E7206F" w:rsidP="00E7206F">
      <w:pPr>
        <w:pStyle w:val="jus"/>
        <w:numPr>
          <w:ilvl w:val="1"/>
          <w:numId w:val="21"/>
        </w:numPr>
        <w:ind w:left="-57"/>
        <w:jc w:val="both"/>
        <w:rPr>
          <w:rFonts w:ascii="Calibri" w:hAnsi="Calibri" w:cs="Calibri"/>
          <w:color w:val="000000"/>
        </w:rPr>
      </w:pPr>
      <w:r w:rsidRPr="00FB2A7A">
        <w:rPr>
          <w:rFonts w:ascii="Calibri" w:hAnsi="Calibri" w:cs="Calibri"/>
          <w:color w:val="000000"/>
        </w:rPr>
        <w:t xml:space="preserve">None of the provisions of statute, regulations or rules impose any </w:t>
      </w:r>
      <w:r w:rsidRPr="00FB2A7A">
        <w:rPr>
          <w:rFonts w:ascii="Calibri" w:hAnsi="Calibri" w:cs="Calibri"/>
          <w:b/>
          <w:bCs/>
          <w:color w:val="000000"/>
        </w:rPr>
        <w:t>absolute duty</w:t>
      </w:r>
      <w:r w:rsidRPr="00FB2A7A">
        <w:rPr>
          <w:rFonts w:ascii="Calibri" w:hAnsi="Calibri" w:cs="Calibri"/>
          <w:color w:val="000000"/>
        </w:rPr>
        <w:t xml:space="preserve"> on either a local authority or the Children's Guardian, or indeed the court, to inform or consult members of the extended family about the existence of a child or the plans for the child's adoption However, the ethos of the </w:t>
      </w:r>
      <w:r w:rsidRPr="00FB2A7A">
        <w:rPr>
          <w:rStyle w:val="Emphasis"/>
          <w:rFonts w:ascii="Calibri" w:hAnsi="Calibri" w:cs="Calibri"/>
          <w:color w:val="000000"/>
        </w:rPr>
        <w:t>CA 1989</w:t>
      </w:r>
      <w:r w:rsidRPr="00FB2A7A">
        <w:rPr>
          <w:rFonts w:ascii="Calibri" w:hAnsi="Calibri" w:cs="Calibri"/>
          <w:color w:val="000000"/>
        </w:rPr>
        <w:t> is supportive of wider family involvement in the child's life unless not consistent with his welfare</w:t>
      </w:r>
    </w:p>
    <w:p w14:paraId="2AA00F72" w14:textId="77777777" w:rsidR="00E7206F" w:rsidRPr="00FB2A7A" w:rsidRDefault="00E7206F" w:rsidP="00E7206F">
      <w:pPr>
        <w:pStyle w:val="jus"/>
        <w:numPr>
          <w:ilvl w:val="1"/>
          <w:numId w:val="21"/>
        </w:numPr>
        <w:ind w:left="-57"/>
        <w:jc w:val="both"/>
        <w:rPr>
          <w:rFonts w:ascii="Calibri" w:hAnsi="Calibri" w:cs="Calibri"/>
          <w:b/>
          <w:color w:val="000000"/>
        </w:rPr>
      </w:pPr>
      <w:r w:rsidRPr="00FB2A7A">
        <w:rPr>
          <w:rFonts w:ascii="Calibri" w:hAnsi="Calibri" w:cs="Calibri"/>
          <w:b/>
          <w:color w:val="000000"/>
        </w:rPr>
        <w:t>The court, and/or the local authority or adoption agency, is enabled to exercise its broad judgment on the facts of each individual case, considering all the family circumstances, but making the welfare of the child the primary consideration</w:t>
      </w:r>
    </w:p>
    <w:p w14:paraId="597D52AB" w14:textId="77777777" w:rsidR="00E7206F" w:rsidRPr="00FB2A7A" w:rsidRDefault="00E7206F" w:rsidP="00E7206F">
      <w:pPr>
        <w:pStyle w:val="jus"/>
        <w:numPr>
          <w:ilvl w:val="1"/>
          <w:numId w:val="21"/>
        </w:numPr>
        <w:ind w:left="-57"/>
        <w:jc w:val="both"/>
        <w:rPr>
          <w:rFonts w:ascii="Calibri" w:hAnsi="Calibri" w:cs="Calibri"/>
          <w:color w:val="000000"/>
        </w:rPr>
      </w:pPr>
      <w:r w:rsidRPr="00FB2A7A">
        <w:rPr>
          <w:rFonts w:ascii="Calibri" w:hAnsi="Calibri" w:cs="Calibri"/>
          <w:color w:val="000000"/>
        </w:rPr>
        <w:lastRenderedPageBreak/>
        <w:t>In exercising that broad discretion, it is important to bear in mind</w:t>
      </w:r>
    </w:p>
    <w:p w14:paraId="37D94430" w14:textId="77777777" w:rsidR="00E7206F" w:rsidRPr="00FB2A7A" w:rsidRDefault="00E7206F" w:rsidP="00E7206F">
      <w:pPr>
        <w:pStyle w:val="jus"/>
        <w:numPr>
          <w:ilvl w:val="1"/>
          <w:numId w:val="21"/>
        </w:numPr>
        <w:ind w:left="-57"/>
        <w:jc w:val="both"/>
        <w:rPr>
          <w:rFonts w:ascii="Calibri" w:hAnsi="Calibri" w:cs="Calibri"/>
          <w:color w:val="000000"/>
        </w:rPr>
      </w:pPr>
      <w:r w:rsidRPr="00FB2A7A">
        <w:rPr>
          <w:rFonts w:ascii="Calibri" w:hAnsi="Calibri" w:cs="Calibri"/>
          <w:color w:val="000000"/>
        </w:rPr>
        <w:t xml:space="preserve">There will be cases (if, for instance, there is a history of domestic or family abuse) where it would be unsafe to the child or the parent for the wider family to be involved in the life of the child, or even made aware of the existence of the child.  </w:t>
      </w:r>
    </w:p>
    <w:p w14:paraId="2519A5A7" w14:textId="77777777" w:rsidR="00E7206F" w:rsidRPr="00FB2A7A" w:rsidRDefault="00E7206F" w:rsidP="00E7206F">
      <w:pPr>
        <w:pStyle w:val="jus"/>
        <w:numPr>
          <w:ilvl w:val="1"/>
          <w:numId w:val="21"/>
        </w:numPr>
        <w:ind w:left="-57"/>
        <w:jc w:val="both"/>
        <w:rPr>
          <w:rFonts w:ascii="Calibri" w:hAnsi="Calibri" w:cs="Calibri"/>
          <w:color w:val="000000"/>
        </w:rPr>
      </w:pPr>
      <w:r w:rsidRPr="00FB2A7A">
        <w:rPr>
          <w:rFonts w:ascii="Calibri" w:hAnsi="Calibri" w:cs="Calibri"/>
          <w:color w:val="000000"/>
        </w:rPr>
        <w:t xml:space="preserve">There will be cases where cultural or religious considerations may materially impact on the issue of disclosure.  </w:t>
      </w:r>
    </w:p>
    <w:p w14:paraId="63F4C4B1" w14:textId="77777777" w:rsidR="00E7206F" w:rsidRPr="00FB2A7A" w:rsidRDefault="00E7206F" w:rsidP="00E7206F">
      <w:pPr>
        <w:pStyle w:val="jus"/>
        <w:numPr>
          <w:ilvl w:val="1"/>
          <w:numId w:val="21"/>
        </w:numPr>
        <w:ind w:left="-57"/>
        <w:jc w:val="both"/>
        <w:rPr>
          <w:rFonts w:ascii="Calibri" w:hAnsi="Calibri" w:cs="Calibri"/>
          <w:color w:val="000000"/>
        </w:rPr>
      </w:pPr>
      <w:r w:rsidRPr="00FB2A7A">
        <w:rPr>
          <w:rFonts w:ascii="Calibri" w:hAnsi="Calibri" w:cs="Calibri"/>
          <w:color w:val="000000"/>
        </w:rPr>
        <w:t>There will be further cases where the mental health or well-being of the parent or parents may be imperilled if disclosure were to be ordered, and this may weigh heavy in the evaluation. </w:t>
      </w:r>
    </w:p>
    <w:p w14:paraId="402AB003" w14:textId="77777777" w:rsidR="00E7206F" w:rsidRPr="00FB2A7A" w:rsidRDefault="00E7206F" w:rsidP="00E7206F">
      <w:pPr>
        <w:pStyle w:val="jus"/>
        <w:numPr>
          <w:ilvl w:val="1"/>
          <w:numId w:val="21"/>
        </w:numPr>
        <w:ind w:left="-57"/>
        <w:jc w:val="both"/>
        <w:rPr>
          <w:rFonts w:ascii="Calibri" w:hAnsi="Calibri" w:cs="Calibri"/>
          <w:b/>
          <w:color w:val="000000"/>
        </w:rPr>
      </w:pPr>
      <w:r w:rsidRPr="00FB2A7A">
        <w:rPr>
          <w:rFonts w:ascii="Calibri" w:hAnsi="Calibri" w:cs="Calibri"/>
          <w:color w:val="000000"/>
        </w:rPr>
        <w:t xml:space="preserve">But in exercising judgment – whether that </w:t>
      </w:r>
      <w:proofErr w:type="gramStart"/>
      <w:r w:rsidRPr="00FB2A7A">
        <w:rPr>
          <w:rFonts w:ascii="Calibri" w:hAnsi="Calibri" w:cs="Calibri"/>
          <w:color w:val="000000"/>
        </w:rPr>
        <w:t>be</w:t>
      </w:r>
      <w:proofErr w:type="gramEnd"/>
      <w:r w:rsidRPr="00FB2A7A">
        <w:rPr>
          <w:rFonts w:ascii="Calibri" w:hAnsi="Calibri" w:cs="Calibri"/>
          <w:color w:val="000000"/>
        </w:rPr>
        <w:t xml:space="preserve"> by the local authority, adoption agency or court </w:t>
      </w:r>
      <w:r w:rsidRPr="00FB2A7A">
        <w:rPr>
          <w:rFonts w:ascii="Calibri" w:hAnsi="Calibri" w:cs="Calibri"/>
          <w:b/>
          <w:color w:val="000000"/>
        </w:rPr>
        <w:t xml:space="preserve">–the wider family should not simply be ignored on the say-so of a parent.  </w:t>
      </w:r>
    </w:p>
    <w:p w14:paraId="1FCF5078" w14:textId="1D3D7C83" w:rsidR="00E7206F" w:rsidRDefault="00E7206F" w:rsidP="002F11EB">
      <w:pPr>
        <w:pStyle w:val="jus"/>
        <w:numPr>
          <w:ilvl w:val="1"/>
          <w:numId w:val="21"/>
        </w:numPr>
        <w:ind w:left="-57"/>
        <w:jc w:val="both"/>
        <w:rPr>
          <w:rFonts w:ascii="Calibri" w:hAnsi="Calibri" w:cs="Calibri"/>
          <w:color w:val="000000"/>
        </w:rPr>
      </w:pPr>
      <w:r w:rsidRPr="00FB2A7A">
        <w:rPr>
          <w:rFonts w:ascii="Calibri" w:hAnsi="Calibri" w:cs="Calibri"/>
          <w:color w:val="000000"/>
        </w:rPr>
        <w:t>Generally, the ability and/or willingness of the wider family to provide the child with a secure environment in which to grow (</w:t>
      </w:r>
      <w:r w:rsidRPr="00FB2A7A">
        <w:rPr>
          <w:rStyle w:val="Emphasis"/>
          <w:rFonts w:ascii="Calibri" w:hAnsi="Calibri" w:cs="Calibri"/>
          <w:color w:val="000000"/>
        </w:rPr>
        <w:t>section 1(4)(f)(ii) ACA 2002</w:t>
      </w:r>
      <w:r w:rsidRPr="00FB2A7A">
        <w:rPr>
          <w:rFonts w:ascii="Calibri" w:hAnsi="Calibri" w:cs="Calibri"/>
          <w:color w:val="000000"/>
        </w:rPr>
        <w:t>) should be carefully scrutinised, and the </w:t>
      </w:r>
      <w:r w:rsidRPr="00FB2A7A">
        <w:rPr>
          <w:rStyle w:val="Emphasis"/>
          <w:rFonts w:ascii="Calibri" w:hAnsi="Calibri" w:cs="Calibri"/>
          <w:color w:val="000000"/>
        </w:rPr>
        <w:t>option itself</w:t>
      </w:r>
      <w:r w:rsidRPr="00FB2A7A">
        <w:rPr>
          <w:rFonts w:ascii="Calibri" w:hAnsi="Calibri" w:cs="Calibri"/>
          <w:color w:val="000000"/>
        </w:rPr>
        <w:t xml:space="preserve"> should be "fully explored" </w:t>
      </w:r>
    </w:p>
    <w:p w14:paraId="5ADE7897" w14:textId="77777777" w:rsidR="002F11EB" w:rsidRPr="002F11EB" w:rsidRDefault="002F11EB" w:rsidP="002F11EB">
      <w:pPr>
        <w:pStyle w:val="jus"/>
        <w:ind w:left="-57"/>
        <w:jc w:val="both"/>
        <w:rPr>
          <w:rFonts w:ascii="Calibri" w:hAnsi="Calibri" w:cs="Calibri"/>
          <w:color w:val="000000"/>
        </w:rPr>
      </w:pPr>
    </w:p>
    <w:p w14:paraId="6F4ECBBB" w14:textId="77777777" w:rsidR="00E7206F" w:rsidRPr="00FB2A7A" w:rsidRDefault="00E7206F" w:rsidP="00E7206F">
      <w:pPr>
        <w:pStyle w:val="jus"/>
        <w:numPr>
          <w:ilvl w:val="0"/>
          <w:numId w:val="21"/>
        </w:numPr>
        <w:ind w:left="-57"/>
        <w:jc w:val="both"/>
        <w:rPr>
          <w:rFonts w:ascii="Calibri" w:hAnsi="Calibri" w:cs="Calibri"/>
          <w:b/>
          <w:color w:val="000000"/>
        </w:rPr>
      </w:pPr>
      <w:r w:rsidRPr="00FB2A7A">
        <w:rPr>
          <w:rFonts w:ascii="Calibri" w:hAnsi="Calibri" w:cs="Calibri"/>
          <w:b/>
          <w:color w:val="000000"/>
        </w:rPr>
        <w:t>Information Sharing Guidance – Advice for Practitioners July 2018 – key extracts</w:t>
      </w:r>
    </w:p>
    <w:p w14:paraId="3CEAB15B" w14:textId="77777777" w:rsidR="00E7206F" w:rsidRPr="00FB2A7A" w:rsidRDefault="00E7206F" w:rsidP="00E7206F">
      <w:pPr>
        <w:pStyle w:val="jus"/>
        <w:numPr>
          <w:ilvl w:val="0"/>
          <w:numId w:val="22"/>
        </w:numPr>
        <w:ind w:left="-57"/>
        <w:jc w:val="both"/>
        <w:rPr>
          <w:rFonts w:ascii="Calibri" w:hAnsi="Calibri" w:cs="Calibri"/>
          <w:color w:val="000000"/>
        </w:rPr>
      </w:pPr>
      <w:r w:rsidRPr="00FB2A7A">
        <w:rPr>
          <w:rFonts w:ascii="Calibri" w:hAnsi="Calibri" w:cs="Calibri"/>
          <w:color w:val="000000"/>
        </w:rPr>
        <w:t>Seek agreement to sharing information if possible.</w:t>
      </w:r>
    </w:p>
    <w:p w14:paraId="12A2C39B" w14:textId="77777777" w:rsidR="00E7206F" w:rsidRPr="00FB2A7A" w:rsidRDefault="00E7206F" w:rsidP="00E7206F">
      <w:pPr>
        <w:pStyle w:val="jus"/>
        <w:numPr>
          <w:ilvl w:val="0"/>
          <w:numId w:val="22"/>
        </w:numPr>
        <w:ind w:left="-57"/>
        <w:jc w:val="both"/>
        <w:rPr>
          <w:rFonts w:ascii="Calibri" w:hAnsi="Calibri" w:cs="Calibri"/>
          <w:b/>
          <w:color w:val="000000"/>
        </w:rPr>
      </w:pPr>
      <w:r w:rsidRPr="00FB2A7A">
        <w:rPr>
          <w:rFonts w:ascii="Calibri" w:hAnsi="Calibri" w:cs="Calibri"/>
          <w:b/>
          <w:color w:val="000000"/>
        </w:rPr>
        <w:t>Information may be shared without consent where there is a lawful basis to do so</w:t>
      </w:r>
    </w:p>
    <w:p w14:paraId="0936D918" w14:textId="77777777" w:rsidR="00E7206F" w:rsidRPr="00FB2A7A" w:rsidRDefault="00E7206F" w:rsidP="00E7206F">
      <w:pPr>
        <w:pStyle w:val="jus"/>
        <w:numPr>
          <w:ilvl w:val="0"/>
          <w:numId w:val="22"/>
        </w:numPr>
        <w:ind w:left="-57"/>
        <w:jc w:val="both"/>
        <w:rPr>
          <w:rFonts w:ascii="Calibri" w:hAnsi="Calibri" w:cs="Calibri"/>
          <w:color w:val="000000"/>
        </w:rPr>
      </w:pPr>
      <w:r w:rsidRPr="00FB2A7A">
        <w:rPr>
          <w:rFonts w:ascii="Calibri" w:hAnsi="Calibri" w:cs="Calibri"/>
          <w:color w:val="000000"/>
        </w:rPr>
        <w:t>Base decisions on the safety and well-being of subjects</w:t>
      </w:r>
    </w:p>
    <w:p w14:paraId="183321A6" w14:textId="77777777" w:rsidR="00E7206F" w:rsidRPr="00FB2A7A" w:rsidRDefault="00E7206F" w:rsidP="00E7206F">
      <w:pPr>
        <w:pStyle w:val="jus"/>
        <w:numPr>
          <w:ilvl w:val="0"/>
          <w:numId w:val="22"/>
        </w:numPr>
        <w:ind w:left="-57"/>
        <w:jc w:val="both"/>
        <w:rPr>
          <w:rFonts w:ascii="Calibri" w:hAnsi="Calibri" w:cs="Calibri"/>
          <w:color w:val="000000"/>
        </w:rPr>
      </w:pPr>
      <w:r w:rsidRPr="00FB2A7A">
        <w:rPr>
          <w:rFonts w:ascii="Calibri" w:hAnsi="Calibri" w:cs="Calibri"/>
          <w:color w:val="000000"/>
        </w:rPr>
        <w:t>Ensure that the information shared is necessary for the purpose it is being shared</w:t>
      </w:r>
    </w:p>
    <w:p w14:paraId="7C9E8C0E" w14:textId="77777777" w:rsidR="00E7206F" w:rsidRPr="00FB2A7A" w:rsidRDefault="00E7206F" w:rsidP="00E7206F">
      <w:pPr>
        <w:pStyle w:val="jus"/>
        <w:numPr>
          <w:ilvl w:val="0"/>
          <w:numId w:val="22"/>
        </w:numPr>
        <w:ind w:left="-57"/>
        <w:jc w:val="both"/>
        <w:rPr>
          <w:rFonts w:ascii="Calibri" w:hAnsi="Calibri" w:cs="Calibri"/>
          <w:color w:val="000000"/>
        </w:rPr>
      </w:pPr>
      <w:r w:rsidRPr="00FB2A7A">
        <w:rPr>
          <w:rFonts w:ascii="Calibri" w:hAnsi="Calibri" w:cs="Calibri"/>
          <w:color w:val="000000"/>
        </w:rPr>
        <w:t>Keep a record of the decision and what has been shared.</w:t>
      </w:r>
    </w:p>
    <w:p w14:paraId="091BD2DF" w14:textId="261C31E4" w:rsidR="00E7206F" w:rsidRPr="009D3C4B" w:rsidRDefault="00E7206F" w:rsidP="009D3C4B">
      <w:pPr>
        <w:numPr>
          <w:ilvl w:val="0"/>
          <w:numId w:val="22"/>
        </w:numPr>
        <w:autoSpaceDE w:val="0"/>
        <w:autoSpaceDN w:val="0"/>
        <w:adjustRightInd w:val="0"/>
        <w:spacing w:after="0" w:line="240" w:lineRule="auto"/>
        <w:ind w:left="-57"/>
        <w:rPr>
          <w:rFonts w:cs="Calibri"/>
          <w:bCs/>
          <w:sz w:val="24"/>
          <w:szCs w:val="24"/>
          <w:lang w:eastAsia="en-GB"/>
        </w:rPr>
      </w:pPr>
      <w:r w:rsidRPr="00FB2A7A">
        <w:rPr>
          <w:rFonts w:cs="Calibri"/>
          <w:bCs/>
          <w:sz w:val="24"/>
          <w:szCs w:val="24"/>
          <w:lang w:eastAsia="en-GB"/>
        </w:rPr>
        <w:t>The GDPR and Data Protection Act 2018 do not prevent, or limit, the sharing of information for the purposes of keeping children and young people safe.</w:t>
      </w:r>
    </w:p>
    <w:p w14:paraId="0B75729B" w14:textId="77777777" w:rsidR="00E7206F" w:rsidRPr="00FB2A7A" w:rsidRDefault="00E7206F" w:rsidP="00E7206F">
      <w:pPr>
        <w:numPr>
          <w:ilvl w:val="0"/>
          <w:numId w:val="22"/>
        </w:numPr>
        <w:autoSpaceDE w:val="0"/>
        <w:autoSpaceDN w:val="0"/>
        <w:adjustRightInd w:val="0"/>
        <w:spacing w:after="0" w:line="240" w:lineRule="auto"/>
        <w:ind w:left="-57"/>
        <w:rPr>
          <w:rFonts w:cs="Calibri"/>
          <w:color w:val="000000"/>
          <w:sz w:val="24"/>
          <w:szCs w:val="24"/>
        </w:rPr>
      </w:pPr>
      <w:r w:rsidRPr="00FB2A7A">
        <w:rPr>
          <w:rFonts w:cs="Calibri"/>
          <w:sz w:val="24"/>
          <w:szCs w:val="24"/>
          <w:lang w:eastAsia="en-GB"/>
        </w:rPr>
        <w:t>Relevant personal information can be shared lawfully if it is to keep a child or individual at risk safe from neglect or physical, emotional or mental harm, or if it is protecting their physical, mental, or emotional well-being.</w:t>
      </w:r>
    </w:p>
    <w:p w14:paraId="33BA63A0" w14:textId="77777777" w:rsidR="00E7206F" w:rsidRPr="00FB2A7A" w:rsidRDefault="00E7206F" w:rsidP="00E7206F">
      <w:pPr>
        <w:ind w:left="-57"/>
        <w:rPr>
          <w:rFonts w:cs="Calibri"/>
          <w:sz w:val="24"/>
          <w:szCs w:val="24"/>
        </w:rPr>
      </w:pPr>
    </w:p>
    <w:p w14:paraId="108CB743" w14:textId="77777777" w:rsidR="00E7206F" w:rsidRPr="00FB2A7A" w:rsidRDefault="00E7206F" w:rsidP="00E7206F">
      <w:pPr>
        <w:numPr>
          <w:ilvl w:val="0"/>
          <w:numId w:val="21"/>
        </w:numPr>
        <w:ind w:left="-57"/>
        <w:rPr>
          <w:rFonts w:cs="Calibri"/>
          <w:b/>
          <w:bCs/>
          <w:sz w:val="24"/>
          <w:szCs w:val="24"/>
        </w:rPr>
      </w:pPr>
      <w:r w:rsidRPr="00FB2A7A">
        <w:rPr>
          <w:rFonts w:cs="Calibri"/>
          <w:b/>
          <w:bCs/>
          <w:sz w:val="24"/>
          <w:szCs w:val="24"/>
        </w:rPr>
        <w:t>Conclusion</w:t>
      </w:r>
    </w:p>
    <w:p w14:paraId="38EF0438" w14:textId="77777777" w:rsidR="002F11EB" w:rsidRDefault="00E7206F" w:rsidP="002F11EB">
      <w:pPr>
        <w:numPr>
          <w:ilvl w:val="1"/>
          <w:numId w:val="21"/>
        </w:numPr>
        <w:ind w:left="-57"/>
        <w:rPr>
          <w:rFonts w:cs="Calibri"/>
          <w:sz w:val="24"/>
          <w:szCs w:val="24"/>
        </w:rPr>
      </w:pPr>
      <w:r w:rsidRPr="00FB2A7A">
        <w:rPr>
          <w:rFonts w:cs="Calibri"/>
          <w:sz w:val="24"/>
          <w:szCs w:val="24"/>
        </w:rPr>
        <w:t xml:space="preserve">A decision can be made to approach family members where parents object, but this should be based on a firm footing and consider all the relevant circumstances and possible difficulties. </w:t>
      </w:r>
    </w:p>
    <w:p w14:paraId="3D2A7A90" w14:textId="35F2A69F" w:rsidR="00E7206F" w:rsidRPr="002F11EB" w:rsidRDefault="00E7206F" w:rsidP="002F11EB">
      <w:pPr>
        <w:numPr>
          <w:ilvl w:val="1"/>
          <w:numId w:val="21"/>
        </w:numPr>
        <w:ind w:left="-57"/>
        <w:rPr>
          <w:rFonts w:cs="Calibri"/>
          <w:sz w:val="24"/>
          <w:szCs w:val="24"/>
        </w:rPr>
      </w:pPr>
      <w:r w:rsidRPr="002F11EB">
        <w:rPr>
          <w:rFonts w:cs="Calibri"/>
          <w:sz w:val="24"/>
          <w:szCs w:val="24"/>
        </w:rPr>
        <w:t>Where decisions are made, parents should be given the opportunity to approach family members themselves in the first instance.</w:t>
      </w:r>
    </w:p>
    <w:p w14:paraId="240E3583" w14:textId="2C95EB8D" w:rsidR="00E7206F" w:rsidRPr="002F11EB" w:rsidRDefault="00E7206F" w:rsidP="002F11EB">
      <w:pPr>
        <w:numPr>
          <w:ilvl w:val="1"/>
          <w:numId w:val="21"/>
        </w:numPr>
        <w:ind w:left="-57"/>
        <w:rPr>
          <w:rFonts w:cs="Calibri"/>
          <w:sz w:val="24"/>
          <w:szCs w:val="24"/>
        </w:rPr>
      </w:pPr>
      <w:r w:rsidRPr="00FB2A7A">
        <w:rPr>
          <w:rFonts w:cs="Calibri"/>
          <w:sz w:val="24"/>
          <w:szCs w:val="24"/>
        </w:rPr>
        <w:t>The basis for decisions should be carefully recorded on the child’s file.</w:t>
      </w:r>
    </w:p>
    <w:sectPr w:rsidR="00E7206F" w:rsidRPr="002F11E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1B604" w14:textId="77777777" w:rsidR="00272BB5" w:rsidRDefault="00272BB5" w:rsidP="00FC5FE2">
      <w:pPr>
        <w:spacing w:after="0" w:line="240" w:lineRule="auto"/>
      </w:pPr>
      <w:r>
        <w:separator/>
      </w:r>
    </w:p>
  </w:endnote>
  <w:endnote w:type="continuationSeparator" w:id="0">
    <w:p w14:paraId="76C6D09B" w14:textId="77777777" w:rsidR="00272BB5" w:rsidRDefault="00272BB5" w:rsidP="00FC5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CB4EC" w14:textId="77777777" w:rsidR="002F11EB" w:rsidRDefault="002F1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76944"/>
      <w:docPartObj>
        <w:docPartGallery w:val="Page Numbers (Bottom of Page)"/>
        <w:docPartUnique/>
      </w:docPartObj>
    </w:sdtPr>
    <w:sdtEndPr>
      <w:rPr>
        <w:noProof/>
      </w:rPr>
    </w:sdtEndPr>
    <w:sdtContent>
      <w:p w14:paraId="572F5D0F" w14:textId="77777777" w:rsidR="000B4B3A" w:rsidRDefault="000B4B3A">
        <w:pPr>
          <w:pStyle w:val="Footer"/>
          <w:jc w:val="right"/>
        </w:pPr>
        <w:r>
          <w:fldChar w:fldCharType="begin"/>
        </w:r>
        <w:r>
          <w:instrText xml:space="preserve"> PAGE   \* MERGEFORMAT </w:instrText>
        </w:r>
        <w:r>
          <w:fldChar w:fldCharType="separate"/>
        </w:r>
        <w:r w:rsidR="006151BC">
          <w:rPr>
            <w:noProof/>
          </w:rPr>
          <w:t>1</w:t>
        </w:r>
        <w:r>
          <w:rPr>
            <w:noProof/>
          </w:rPr>
          <w:fldChar w:fldCharType="end"/>
        </w:r>
      </w:p>
    </w:sdtContent>
  </w:sdt>
  <w:p w14:paraId="4F11F399" w14:textId="77777777" w:rsidR="000B4B3A" w:rsidRDefault="000B4B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9D2DA" w14:textId="77777777" w:rsidR="002F11EB" w:rsidRDefault="002F1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6CF05" w14:textId="77777777" w:rsidR="00272BB5" w:rsidRDefault="00272BB5" w:rsidP="00FC5FE2">
      <w:pPr>
        <w:spacing w:after="0" w:line="240" w:lineRule="auto"/>
      </w:pPr>
      <w:r>
        <w:separator/>
      </w:r>
    </w:p>
  </w:footnote>
  <w:footnote w:type="continuationSeparator" w:id="0">
    <w:p w14:paraId="5560D72C" w14:textId="77777777" w:rsidR="00272BB5" w:rsidRDefault="00272BB5" w:rsidP="00FC5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3180C" w14:textId="77777777" w:rsidR="002F11EB" w:rsidRDefault="002F11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9E158" w14:textId="2C28E958" w:rsidR="00A60C9F" w:rsidRDefault="00A60C9F" w:rsidP="00A60C9F">
    <w:pPr>
      <w:pStyle w:val="Header"/>
      <w:rPr>
        <w:sz w:val="28"/>
        <w:szCs w:val="28"/>
      </w:rPr>
    </w:pPr>
    <w:r>
      <w:rPr>
        <w:rFonts w:ascii="Arial" w:hAnsi="Arial" w:cs="Arial"/>
        <w:color w:val="1F497D"/>
      </w:rPr>
      <w:fldChar w:fldCharType="begin"/>
    </w:r>
    <w:r>
      <w:rPr>
        <w:rFonts w:ascii="Arial" w:hAnsi="Arial" w:cs="Arial"/>
        <w:color w:val="1F497D"/>
      </w:rPr>
      <w:instrText xml:space="preserve"> INCLUDEPICTURE  "cid:image002.png@01D52F4C.A5ABD720" \* MERGEFORMATINET </w:instrText>
    </w:r>
    <w:r>
      <w:rPr>
        <w:rFonts w:ascii="Arial" w:hAnsi="Arial" w:cs="Arial"/>
        <w:color w:val="1F497D"/>
      </w:rPr>
      <w:fldChar w:fldCharType="separate"/>
    </w:r>
    <w:r w:rsidR="00024CDF">
      <w:rPr>
        <w:rFonts w:ascii="Arial" w:hAnsi="Arial" w:cs="Arial"/>
        <w:color w:val="1F497D"/>
      </w:rPr>
      <w:fldChar w:fldCharType="begin"/>
    </w:r>
    <w:r w:rsidR="00024CDF">
      <w:rPr>
        <w:rFonts w:ascii="Arial" w:hAnsi="Arial" w:cs="Arial"/>
        <w:color w:val="1F497D"/>
      </w:rPr>
      <w:instrText xml:space="preserve"> INCLUDEPICTURE  "cid:image002.png@01D52F4C.A5ABD720" \* MERGEFORMATINET </w:instrText>
    </w:r>
    <w:r w:rsidR="00024CDF">
      <w:rPr>
        <w:rFonts w:ascii="Arial" w:hAnsi="Arial" w:cs="Arial"/>
        <w:color w:val="1F497D"/>
      </w:rPr>
      <w:fldChar w:fldCharType="separate"/>
    </w:r>
    <w:r w:rsidR="00516949">
      <w:rPr>
        <w:rFonts w:ascii="Arial" w:hAnsi="Arial" w:cs="Arial"/>
        <w:color w:val="1F497D"/>
      </w:rPr>
      <w:fldChar w:fldCharType="begin"/>
    </w:r>
    <w:r w:rsidR="00516949">
      <w:rPr>
        <w:rFonts w:ascii="Arial" w:hAnsi="Arial" w:cs="Arial"/>
        <w:color w:val="1F497D"/>
      </w:rPr>
      <w:instrText xml:space="preserve"> INCLUDEPICTURE  "cid:image002.png@01D52F4C.A5ABD720" \* MERGEFORMATINET </w:instrText>
    </w:r>
    <w:r w:rsidR="00516949">
      <w:rPr>
        <w:rFonts w:ascii="Arial" w:hAnsi="Arial" w:cs="Arial"/>
        <w:color w:val="1F497D"/>
      </w:rPr>
      <w:fldChar w:fldCharType="separate"/>
    </w:r>
    <w:r w:rsidR="0002284E">
      <w:rPr>
        <w:rFonts w:ascii="Arial" w:hAnsi="Arial" w:cs="Arial"/>
        <w:color w:val="1F497D"/>
      </w:rPr>
      <w:fldChar w:fldCharType="begin"/>
    </w:r>
    <w:r w:rsidR="0002284E">
      <w:rPr>
        <w:rFonts w:ascii="Arial" w:hAnsi="Arial" w:cs="Arial"/>
        <w:color w:val="1F497D"/>
      </w:rPr>
      <w:instrText xml:space="preserve"> INCLUDEPICTURE  "cid:image002.png@01D52F4C.A5ABD720" \* MERGEFORMATINET </w:instrText>
    </w:r>
    <w:r w:rsidR="0002284E">
      <w:rPr>
        <w:rFonts w:ascii="Arial" w:hAnsi="Arial" w:cs="Arial"/>
        <w:color w:val="1F497D"/>
      </w:rPr>
      <w:fldChar w:fldCharType="separate"/>
    </w:r>
    <w:r w:rsidR="002B560B">
      <w:rPr>
        <w:rFonts w:ascii="Arial" w:hAnsi="Arial" w:cs="Arial"/>
        <w:color w:val="1F497D"/>
      </w:rPr>
      <w:fldChar w:fldCharType="begin"/>
    </w:r>
    <w:r w:rsidR="002B560B">
      <w:rPr>
        <w:rFonts w:ascii="Arial" w:hAnsi="Arial" w:cs="Arial"/>
        <w:color w:val="1F497D"/>
      </w:rPr>
      <w:instrText xml:space="preserve"> INCLUDEPICTURE  "cid:image002.png@01D52F4C.A5ABD720" \* MERGEFORMATINET </w:instrText>
    </w:r>
    <w:r w:rsidR="002B560B">
      <w:rPr>
        <w:rFonts w:ascii="Arial" w:hAnsi="Arial" w:cs="Arial"/>
        <w:color w:val="1F497D"/>
      </w:rPr>
      <w:fldChar w:fldCharType="separate"/>
    </w:r>
    <w:r w:rsidR="00183C43">
      <w:rPr>
        <w:rFonts w:ascii="Arial" w:hAnsi="Arial" w:cs="Arial"/>
        <w:color w:val="1F497D"/>
      </w:rPr>
      <w:fldChar w:fldCharType="begin"/>
    </w:r>
    <w:r w:rsidR="00183C43">
      <w:rPr>
        <w:rFonts w:ascii="Arial" w:hAnsi="Arial" w:cs="Arial"/>
        <w:color w:val="1F497D"/>
      </w:rPr>
      <w:instrText xml:space="preserve"> INCLUDEPICTURE  "cid:image002.png@01D52F4C.A5ABD720" \* MERGEFORMATINET </w:instrText>
    </w:r>
    <w:r w:rsidR="00183C43">
      <w:rPr>
        <w:rFonts w:ascii="Arial" w:hAnsi="Arial" w:cs="Arial"/>
        <w:color w:val="1F497D"/>
      </w:rPr>
      <w:fldChar w:fldCharType="separate"/>
    </w:r>
    <w:r w:rsidR="002A5E2B">
      <w:rPr>
        <w:rFonts w:ascii="Arial" w:hAnsi="Arial" w:cs="Arial"/>
        <w:color w:val="1F497D"/>
      </w:rPr>
      <w:fldChar w:fldCharType="begin"/>
    </w:r>
    <w:r w:rsidR="002A5E2B">
      <w:rPr>
        <w:rFonts w:ascii="Arial" w:hAnsi="Arial" w:cs="Arial"/>
        <w:color w:val="1F497D"/>
      </w:rPr>
      <w:instrText xml:space="preserve"> INCLUDEPICTURE  "cid:image002.png@01D52F4C.A5ABD720" \* MERGEFORMATINET </w:instrText>
    </w:r>
    <w:r w:rsidR="002A5E2B">
      <w:rPr>
        <w:rFonts w:ascii="Arial" w:hAnsi="Arial" w:cs="Arial"/>
        <w:color w:val="1F497D"/>
      </w:rPr>
      <w:fldChar w:fldCharType="separate"/>
    </w:r>
    <w:r w:rsidR="00A91DBB">
      <w:rPr>
        <w:rFonts w:ascii="Arial" w:hAnsi="Arial" w:cs="Arial"/>
        <w:color w:val="1F497D"/>
      </w:rPr>
      <w:fldChar w:fldCharType="begin"/>
    </w:r>
    <w:r w:rsidR="00A91DBB">
      <w:rPr>
        <w:rFonts w:ascii="Arial" w:hAnsi="Arial" w:cs="Arial"/>
        <w:color w:val="1F497D"/>
      </w:rPr>
      <w:instrText xml:space="preserve"> INCLUDEPICTURE  "cid:image002.png@01D52F4C.A5ABD720" \* MERGEFORMATINET </w:instrText>
    </w:r>
    <w:r w:rsidR="00A91DBB">
      <w:rPr>
        <w:rFonts w:ascii="Arial" w:hAnsi="Arial" w:cs="Arial"/>
        <w:color w:val="1F497D"/>
      </w:rPr>
      <w:fldChar w:fldCharType="separate"/>
    </w:r>
    <w:r w:rsidR="00272BB5">
      <w:rPr>
        <w:rFonts w:ascii="Arial" w:hAnsi="Arial" w:cs="Arial"/>
        <w:color w:val="1F497D"/>
      </w:rPr>
      <w:fldChar w:fldCharType="begin"/>
    </w:r>
    <w:r w:rsidR="00272BB5">
      <w:rPr>
        <w:rFonts w:ascii="Arial" w:hAnsi="Arial" w:cs="Arial"/>
        <w:color w:val="1F497D"/>
      </w:rPr>
      <w:instrText xml:space="preserve"> INCLUDEPICTURE  "cid:image002.png@01D52F4C.A5ABD720" \* MERGEFORMATINET </w:instrText>
    </w:r>
    <w:r w:rsidR="00272BB5">
      <w:rPr>
        <w:rFonts w:ascii="Arial" w:hAnsi="Arial" w:cs="Arial"/>
        <w:color w:val="1F497D"/>
      </w:rPr>
      <w:fldChar w:fldCharType="separate"/>
    </w:r>
    <w:r w:rsidR="002F11EB">
      <w:rPr>
        <w:rFonts w:ascii="Arial" w:hAnsi="Arial" w:cs="Arial"/>
        <w:color w:val="1F497D"/>
      </w:rPr>
      <w:fldChar w:fldCharType="begin"/>
    </w:r>
    <w:r w:rsidR="002F11EB">
      <w:rPr>
        <w:rFonts w:ascii="Arial" w:hAnsi="Arial" w:cs="Arial"/>
        <w:color w:val="1F497D"/>
      </w:rPr>
      <w:instrText xml:space="preserve"> INCLUDEPICTURE  "cid:image002.png@01D52F4C.A5ABD720" \* MERGEFORMATINET </w:instrText>
    </w:r>
    <w:r w:rsidR="002F11EB">
      <w:rPr>
        <w:rFonts w:ascii="Arial" w:hAnsi="Arial" w:cs="Arial"/>
        <w:color w:val="1F497D"/>
      </w:rPr>
      <w:fldChar w:fldCharType="separate"/>
    </w:r>
    <w:r w:rsidR="006151BC">
      <w:rPr>
        <w:rFonts w:ascii="Arial" w:hAnsi="Arial" w:cs="Arial"/>
        <w:color w:val="1F497D"/>
      </w:rPr>
      <w:fldChar w:fldCharType="begin"/>
    </w:r>
    <w:r w:rsidR="006151BC">
      <w:rPr>
        <w:rFonts w:ascii="Arial" w:hAnsi="Arial" w:cs="Arial"/>
        <w:color w:val="1F497D"/>
      </w:rPr>
      <w:instrText xml:space="preserve"> </w:instrText>
    </w:r>
    <w:r w:rsidR="006151BC">
      <w:rPr>
        <w:rFonts w:ascii="Arial" w:hAnsi="Arial" w:cs="Arial"/>
        <w:color w:val="1F497D"/>
      </w:rPr>
      <w:instrText>INCLUDEPICTURE  "cid:image002.png@01D52F4C.A5ABD720" \* MERGEFORMATINET</w:instrText>
    </w:r>
    <w:r w:rsidR="006151BC">
      <w:rPr>
        <w:rFonts w:ascii="Arial" w:hAnsi="Arial" w:cs="Arial"/>
        <w:color w:val="1F497D"/>
      </w:rPr>
      <w:instrText xml:space="preserve"> </w:instrText>
    </w:r>
    <w:r w:rsidR="006151BC">
      <w:rPr>
        <w:rFonts w:ascii="Arial" w:hAnsi="Arial" w:cs="Arial"/>
        <w:color w:val="1F497D"/>
      </w:rPr>
      <w:fldChar w:fldCharType="separate"/>
    </w:r>
    <w:r w:rsidR="006151BC">
      <w:rPr>
        <w:rFonts w:ascii="Arial" w:hAnsi="Arial" w:cs="Arial"/>
        <w:color w:val="1F497D"/>
      </w:rPr>
      <w:pict w14:anchorId="56AB8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ption: BCT logo FOR EMAIL SIGNATURES ONLY" style="width:262.2pt;height:52.9pt">
          <v:imagedata r:id="rId1" r:href="rId2"/>
        </v:shape>
      </w:pict>
    </w:r>
    <w:r w:rsidR="006151BC">
      <w:rPr>
        <w:rFonts w:ascii="Arial" w:hAnsi="Arial" w:cs="Arial"/>
        <w:color w:val="1F497D"/>
      </w:rPr>
      <w:fldChar w:fldCharType="end"/>
    </w:r>
    <w:r w:rsidR="002F11EB">
      <w:rPr>
        <w:rFonts w:ascii="Arial" w:hAnsi="Arial" w:cs="Arial"/>
        <w:color w:val="1F497D"/>
      </w:rPr>
      <w:fldChar w:fldCharType="end"/>
    </w:r>
    <w:r w:rsidR="00272BB5">
      <w:rPr>
        <w:rFonts w:ascii="Arial" w:hAnsi="Arial" w:cs="Arial"/>
        <w:color w:val="1F497D"/>
      </w:rPr>
      <w:fldChar w:fldCharType="end"/>
    </w:r>
    <w:r w:rsidR="00A91DBB">
      <w:rPr>
        <w:rFonts w:ascii="Arial" w:hAnsi="Arial" w:cs="Arial"/>
        <w:color w:val="1F497D"/>
      </w:rPr>
      <w:fldChar w:fldCharType="end"/>
    </w:r>
    <w:r w:rsidR="002A5E2B">
      <w:rPr>
        <w:rFonts w:ascii="Arial" w:hAnsi="Arial" w:cs="Arial"/>
        <w:color w:val="1F497D"/>
      </w:rPr>
      <w:fldChar w:fldCharType="end"/>
    </w:r>
    <w:r w:rsidR="00183C43">
      <w:rPr>
        <w:rFonts w:ascii="Arial" w:hAnsi="Arial" w:cs="Arial"/>
        <w:color w:val="1F497D"/>
      </w:rPr>
      <w:fldChar w:fldCharType="end"/>
    </w:r>
    <w:r w:rsidR="002B560B">
      <w:rPr>
        <w:rFonts w:ascii="Arial" w:hAnsi="Arial" w:cs="Arial"/>
        <w:color w:val="1F497D"/>
      </w:rPr>
      <w:fldChar w:fldCharType="end"/>
    </w:r>
    <w:r w:rsidR="0002284E">
      <w:rPr>
        <w:rFonts w:ascii="Arial" w:hAnsi="Arial" w:cs="Arial"/>
        <w:color w:val="1F497D"/>
      </w:rPr>
      <w:fldChar w:fldCharType="end"/>
    </w:r>
    <w:r w:rsidR="00516949">
      <w:rPr>
        <w:rFonts w:ascii="Arial" w:hAnsi="Arial" w:cs="Arial"/>
        <w:color w:val="1F497D"/>
      </w:rPr>
      <w:fldChar w:fldCharType="end"/>
    </w:r>
    <w:r w:rsidR="00024CDF">
      <w:rPr>
        <w:rFonts w:ascii="Arial" w:hAnsi="Arial" w:cs="Arial"/>
        <w:color w:val="1F497D"/>
      </w:rPr>
      <w:fldChar w:fldCharType="end"/>
    </w:r>
    <w:r>
      <w:rPr>
        <w:rFonts w:ascii="Arial" w:hAnsi="Arial" w:cs="Arial"/>
        <w:color w:val="1F497D"/>
      </w:rPr>
      <w:fldChar w:fldCharType="end"/>
    </w:r>
    <w:r>
      <w:rPr>
        <w:rFonts w:ascii="Arial" w:hAnsi="Arial" w:cs="Arial"/>
        <w:color w:val="1F497D"/>
      </w:rPr>
      <w:t xml:space="preserve"> </w:t>
    </w:r>
  </w:p>
  <w:p w14:paraId="31EE1FEF" w14:textId="725F4E64" w:rsidR="00A60C9F" w:rsidRDefault="00A60C9F">
    <w:pPr>
      <w:pStyle w:val="Header"/>
    </w:pPr>
  </w:p>
  <w:p w14:paraId="5F381F6A" w14:textId="28F5DE3A" w:rsidR="000E52A5" w:rsidRPr="00E86F40" w:rsidRDefault="000E52A5" w:rsidP="000E52A5">
    <w:pPr>
      <w:pStyle w:val="Header"/>
      <w:rPr>
        <w:b/>
        <w:bCs/>
        <w:noProof/>
      </w:rPr>
    </w:pPr>
    <w:r w:rsidRPr="00E86F40">
      <w:rPr>
        <w:b/>
        <w:bCs/>
        <w:noProof/>
      </w:rPr>
      <w:t xml:space="preserve">BCT LEGAL TEAM   </w:t>
    </w:r>
    <w:r w:rsidR="002F11EB">
      <w:rPr>
        <w:b/>
        <w:bCs/>
        <w:noProof/>
      </w:rPr>
      <w:t>JULY 2020</w:t>
    </w:r>
    <w:r w:rsidRPr="00E86F40">
      <w:rPr>
        <w:b/>
        <w:bCs/>
        <w:noProof/>
      </w:rPr>
      <w:t xml:space="preserve">  </w:t>
    </w:r>
  </w:p>
  <w:p w14:paraId="4D4F5827" w14:textId="31FA0254" w:rsidR="00E80706" w:rsidRPr="00E80706" w:rsidRDefault="00E80706">
    <w:pPr>
      <w:pStyle w:val="Head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C57AB" w14:textId="77777777" w:rsidR="002F11EB" w:rsidRDefault="002F11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12D"/>
    <w:multiLevelType w:val="hybridMultilevel"/>
    <w:tmpl w:val="3AA8C7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CF3898"/>
    <w:multiLevelType w:val="hybridMultilevel"/>
    <w:tmpl w:val="C51A33F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074478E2"/>
    <w:multiLevelType w:val="hybridMultilevel"/>
    <w:tmpl w:val="7180BE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0C1A6654"/>
    <w:multiLevelType w:val="hybridMultilevel"/>
    <w:tmpl w:val="DDFE04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C583046"/>
    <w:multiLevelType w:val="hybridMultilevel"/>
    <w:tmpl w:val="78609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8D5803"/>
    <w:multiLevelType w:val="hybridMultilevel"/>
    <w:tmpl w:val="4FAE3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333284"/>
    <w:multiLevelType w:val="hybridMultilevel"/>
    <w:tmpl w:val="81BEF5F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21EB7A21"/>
    <w:multiLevelType w:val="hybridMultilevel"/>
    <w:tmpl w:val="1B0045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266D57D1"/>
    <w:multiLevelType w:val="hybridMultilevel"/>
    <w:tmpl w:val="7CA0AB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AE3066C"/>
    <w:multiLevelType w:val="hybridMultilevel"/>
    <w:tmpl w:val="12B64A9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338A681C"/>
    <w:multiLevelType w:val="hybridMultilevel"/>
    <w:tmpl w:val="99FE32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934B9F"/>
    <w:multiLevelType w:val="multilevel"/>
    <w:tmpl w:val="CD82A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AA0D31"/>
    <w:multiLevelType w:val="hybridMultilevel"/>
    <w:tmpl w:val="88EC54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4CC74222"/>
    <w:multiLevelType w:val="hybridMultilevel"/>
    <w:tmpl w:val="AC6C41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505C1796"/>
    <w:multiLevelType w:val="hybridMultilevel"/>
    <w:tmpl w:val="2B7C97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59D203FE"/>
    <w:multiLevelType w:val="hybridMultilevel"/>
    <w:tmpl w:val="A424957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5B9D715A"/>
    <w:multiLevelType w:val="hybridMultilevel"/>
    <w:tmpl w:val="9078A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765383"/>
    <w:multiLevelType w:val="multilevel"/>
    <w:tmpl w:val="20FA5C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C0C4DF2"/>
    <w:multiLevelType w:val="hybridMultilevel"/>
    <w:tmpl w:val="EB76C36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nsid w:val="706C2EC6"/>
    <w:multiLevelType w:val="hybridMultilevel"/>
    <w:tmpl w:val="2ECCA03A"/>
    <w:lvl w:ilvl="0" w:tplc="0809000F">
      <w:start w:val="1"/>
      <w:numFmt w:val="decimal"/>
      <w:lvlText w:val="%1."/>
      <w:lvlJc w:val="left"/>
      <w:pPr>
        <w:tabs>
          <w:tab w:val="num" w:pos="720"/>
        </w:tabs>
        <w:ind w:left="720" w:hanging="360"/>
      </w:pPr>
      <w:rPr>
        <w:rFonts w:cs="Times New Roman"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748568C7"/>
    <w:multiLevelType w:val="multilevel"/>
    <w:tmpl w:val="CD82A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6857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0"/>
    <w:lvlOverride w:ilvl="0">
      <w:startOverride w:val="74"/>
    </w:lvlOverride>
  </w:num>
  <w:num w:numId="3">
    <w:abstractNumId w:val="11"/>
  </w:num>
  <w:num w:numId="4">
    <w:abstractNumId w:val="6"/>
  </w:num>
  <w:num w:numId="5">
    <w:abstractNumId w:val="2"/>
  </w:num>
  <w:num w:numId="6">
    <w:abstractNumId w:val="4"/>
  </w:num>
  <w:num w:numId="7">
    <w:abstractNumId w:val="8"/>
  </w:num>
  <w:num w:numId="8">
    <w:abstractNumId w:val="3"/>
  </w:num>
  <w:num w:numId="9">
    <w:abstractNumId w:val="13"/>
  </w:num>
  <w:num w:numId="10">
    <w:abstractNumId w:val="12"/>
  </w:num>
  <w:num w:numId="11">
    <w:abstractNumId w:val="14"/>
  </w:num>
  <w:num w:numId="12">
    <w:abstractNumId w:val="15"/>
  </w:num>
  <w:num w:numId="13">
    <w:abstractNumId w:val="7"/>
  </w:num>
  <w:num w:numId="14">
    <w:abstractNumId w:val="16"/>
  </w:num>
  <w:num w:numId="15">
    <w:abstractNumId w:val="18"/>
  </w:num>
  <w:num w:numId="16">
    <w:abstractNumId w:val="0"/>
  </w:num>
  <w:num w:numId="17">
    <w:abstractNumId w:val="9"/>
  </w:num>
  <w:num w:numId="18">
    <w:abstractNumId w:val="5"/>
  </w:num>
  <w:num w:numId="19">
    <w:abstractNumId w:val="1"/>
  </w:num>
  <w:num w:numId="20">
    <w:abstractNumId w:val="10"/>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LastOpened" w:val="08/09/2019 21:40"/>
  </w:docVars>
  <w:rsids>
    <w:rsidRoot w:val="001D091E"/>
    <w:rsid w:val="000065FD"/>
    <w:rsid w:val="00006E8D"/>
    <w:rsid w:val="0001050F"/>
    <w:rsid w:val="00020D37"/>
    <w:rsid w:val="0002284E"/>
    <w:rsid w:val="00024CDF"/>
    <w:rsid w:val="000375B5"/>
    <w:rsid w:val="00060C68"/>
    <w:rsid w:val="00061CDB"/>
    <w:rsid w:val="0007594F"/>
    <w:rsid w:val="0009257B"/>
    <w:rsid w:val="000B4B3A"/>
    <w:rsid w:val="000E52A5"/>
    <w:rsid w:val="001028DC"/>
    <w:rsid w:val="00107205"/>
    <w:rsid w:val="0013569D"/>
    <w:rsid w:val="00147585"/>
    <w:rsid w:val="00157E59"/>
    <w:rsid w:val="00163004"/>
    <w:rsid w:val="00167970"/>
    <w:rsid w:val="001761D5"/>
    <w:rsid w:val="00183C43"/>
    <w:rsid w:val="001847B1"/>
    <w:rsid w:val="001A648A"/>
    <w:rsid w:val="001B1722"/>
    <w:rsid w:val="001B51E5"/>
    <w:rsid w:val="001B549A"/>
    <w:rsid w:val="001B5A3D"/>
    <w:rsid w:val="001B779A"/>
    <w:rsid w:val="001D091E"/>
    <w:rsid w:val="001D77F1"/>
    <w:rsid w:val="002030CC"/>
    <w:rsid w:val="00213787"/>
    <w:rsid w:val="00216852"/>
    <w:rsid w:val="002455E5"/>
    <w:rsid w:val="00266EF3"/>
    <w:rsid w:val="00272BB5"/>
    <w:rsid w:val="00274FD3"/>
    <w:rsid w:val="00283B2E"/>
    <w:rsid w:val="002908C8"/>
    <w:rsid w:val="002A521B"/>
    <w:rsid w:val="002A5E2B"/>
    <w:rsid w:val="002B560B"/>
    <w:rsid w:val="002F11EB"/>
    <w:rsid w:val="002F66D1"/>
    <w:rsid w:val="003024F3"/>
    <w:rsid w:val="00305CD9"/>
    <w:rsid w:val="00315971"/>
    <w:rsid w:val="003256DE"/>
    <w:rsid w:val="00342A2E"/>
    <w:rsid w:val="003552D9"/>
    <w:rsid w:val="00357791"/>
    <w:rsid w:val="003614E7"/>
    <w:rsid w:val="003B5CAB"/>
    <w:rsid w:val="003D4163"/>
    <w:rsid w:val="003E314B"/>
    <w:rsid w:val="003E4231"/>
    <w:rsid w:val="003F4644"/>
    <w:rsid w:val="00403D4B"/>
    <w:rsid w:val="0041515A"/>
    <w:rsid w:val="00427122"/>
    <w:rsid w:val="00433487"/>
    <w:rsid w:val="00495150"/>
    <w:rsid w:val="00495AFB"/>
    <w:rsid w:val="0049605E"/>
    <w:rsid w:val="004D7346"/>
    <w:rsid w:val="004F0A3C"/>
    <w:rsid w:val="004F4F4D"/>
    <w:rsid w:val="004F65BA"/>
    <w:rsid w:val="00505330"/>
    <w:rsid w:val="005053DD"/>
    <w:rsid w:val="005113FE"/>
    <w:rsid w:val="005166DC"/>
    <w:rsid w:val="00516949"/>
    <w:rsid w:val="00533830"/>
    <w:rsid w:val="00535B3C"/>
    <w:rsid w:val="005421EF"/>
    <w:rsid w:val="005633A9"/>
    <w:rsid w:val="00580553"/>
    <w:rsid w:val="00581455"/>
    <w:rsid w:val="0058378D"/>
    <w:rsid w:val="005D721C"/>
    <w:rsid w:val="005E195D"/>
    <w:rsid w:val="005E1CB2"/>
    <w:rsid w:val="005E3007"/>
    <w:rsid w:val="005E6A58"/>
    <w:rsid w:val="005F44F6"/>
    <w:rsid w:val="0060745F"/>
    <w:rsid w:val="006151BC"/>
    <w:rsid w:val="00626233"/>
    <w:rsid w:val="006577C8"/>
    <w:rsid w:val="00660743"/>
    <w:rsid w:val="0067591A"/>
    <w:rsid w:val="006A3144"/>
    <w:rsid w:val="006E77C0"/>
    <w:rsid w:val="006F32BA"/>
    <w:rsid w:val="00716379"/>
    <w:rsid w:val="00720735"/>
    <w:rsid w:val="00724623"/>
    <w:rsid w:val="0072469A"/>
    <w:rsid w:val="00730393"/>
    <w:rsid w:val="007675B9"/>
    <w:rsid w:val="00772818"/>
    <w:rsid w:val="00773248"/>
    <w:rsid w:val="00775666"/>
    <w:rsid w:val="0078056F"/>
    <w:rsid w:val="00782C5F"/>
    <w:rsid w:val="007B0396"/>
    <w:rsid w:val="007F2C7E"/>
    <w:rsid w:val="008070C8"/>
    <w:rsid w:val="008130FA"/>
    <w:rsid w:val="008338F2"/>
    <w:rsid w:val="00841DA1"/>
    <w:rsid w:val="00845D41"/>
    <w:rsid w:val="00864317"/>
    <w:rsid w:val="00871249"/>
    <w:rsid w:val="00876F8E"/>
    <w:rsid w:val="008872CC"/>
    <w:rsid w:val="008A2A5A"/>
    <w:rsid w:val="008A3C9E"/>
    <w:rsid w:val="008A68D0"/>
    <w:rsid w:val="008A6BC7"/>
    <w:rsid w:val="008B2852"/>
    <w:rsid w:val="008B3E61"/>
    <w:rsid w:val="008C7124"/>
    <w:rsid w:val="008F34A9"/>
    <w:rsid w:val="008F6EC3"/>
    <w:rsid w:val="0093324A"/>
    <w:rsid w:val="00936D74"/>
    <w:rsid w:val="00960F0F"/>
    <w:rsid w:val="00972591"/>
    <w:rsid w:val="00976AD7"/>
    <w:rsid w:val="0098462B"/>
    <w:rsid w:val="00995FB7"/>
    <w:rsid w:val="009A33F5"/>
    <w:rsid w:val="009C2844"/>
    <w:rsid w:val="009D3C4B"/>
    <w:rsid w:val="009F16D4"/>
    <w:rsid w:val="009F3096"/>
    <w:rsid w:val="00A3002E"/>
    <w:rsid w:val="00A43CF3"/>
    <w:rsid w:val="00A574E5"/>
    <w:rsid w:val="00A60C9F"/>
    <w:rsid w:val="00A7685B"/>
    <w:rsid w:val="00A91DBB"/>
    <w:rsid w:val="00A955D3"/>
    <w:rsid w:val="00AD174E"/>
    <w:rsid w:val="00AE0A67"/>
    <w:rsid w:val="00AE53C7"/>
    <w:rsid w:val="00AE750D"/>
    <w:rsid w:val="00B06994"/>
    <w:rsid w:val="00B130D6"/>
    <w:rsid w:val="00B6300F"/>
    <w:rsid w:val="00B66657"/>
    <w:rsid w:val="00B82234"/>
    <w:rsid w:val="00BC427C"/>
    <w:rsid w:val="00BC6AAE"/>
    <w:rsid w:val="00BE37E0"/>
    <w:rsid w:val="00BF10A9"/>
    <w:rsid w:val="00BF74D8"/>
    <w:rsid w:val="00C02716"/>
    <w:rsid w:val="00C14A0D"/>
    <w:rsid w:val="00C24F46"/>
    <w:rsid w:val="00C35412"/>
    <w:rsid w:val="00C44B23"/>
    <w:rsid w:val="00C46F09"/>
    <w:rsid w:val="00C55261"/>
    <w:rsid w:val="00C62F7C"/>
    <w:rsid w:val="00C70F51"/>
    <w:rsid w:val="00C82DE9"/>
    <w:rsid w:val="00CD2C74"/>
    <w:rsid w:val="00CE1DA4"/>
    <w:rsid w:val="00CF18EC"/>
    <w:rsid w:val="00D014F7"/>
    <w:rsid w:val="00D06AD9"/>
    <w:rsid w:val="00D074C0"/>
    <w:rsid w:val="00D07A89"/>
    <w:rsid w:val="00D27DC8"/>
    <w:rsid w:val="00D37E08"/>
    <w:rsid w:val="00D706EF"/>
    <w:rsid w:val="00D925EF"/>
    <w:rsid w:val="00DA0C7B"/>
    <w:rsid w:val="00DE2F53"/>
    <w:rsid w:val="00DF6C2B"/>
    <w:rsid w:val="00E22F4D"/>
    <w:rsid w:val="00E317FB"/>
    <w:rsid w:val="00E64C88"/>
    <w:rsid w:val="00E6650F"/>
    <w:rsid w:val="00E7206F"/>
    <w:rsid w:val="00E75353"/>
    <w:rsid w:val="00E80706"/>
    <w:rsid w:val="00E91F1C"/>
    <w:rsid w:val="00EA1AFE"/>
    <w:rsid w:val="00ED6E63"/>
    <w:rsid w:val="00EE57D8"/>
    <w:rsid w:val="00F05C31"/>
    <w:rsid w:val="00F0602B"/>
    <w:rsid w:val="00F101FE"/>
    <w:rsid w:val="00F1103F"/>
    <w:rsid w:val="00F11F04"/>
    <w:rsid w:val="00F123C0"/>
    <w:rsid w:val="00F16D26"/>
    <w:rsid w:val="00F206A9"/>
    <w:rsid w:val="00F46111"/>
    <w:rsid w:val="00F50826"/>
    <w:rsid w:val="00F565EB"/>
    <w:rsid w:val="00F755DE"/>
    <w:rsid w:val="00F969B7"/>
    <w:rsid w:val="00FA1BE3"/>
    <w:rsid w:val="00FB50AF"/>
    <w:rsid w:val="00FC5FE2"/>
    <w:rsid w:val="00FD0A2F"/>
    <w:rsid w:val="00FE29D1"/>
    <w:rsid w:val="00FF6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95C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06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8462B"/>
    <w:rPr>
      <w:color w:val="0000FF"/>
      <w:u w:val="single"/>
    </w:rPr>
  </w:style>
  <w:style w:type="paragraph" w:styleId="Header">
    <w:name w:val="header"/>
    <w:basedOn w:val="Normal"/>
    <w:link w:val="HeaderChar"/>
    <w:uiPriority w:val="99"/>
    <w:unhideWhenUsed/>
    <w:rsid w:val="00FC5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FE2"/>
  </w:style>
  <w:style w:type="paragraph" w:styleId="Footer">
    <w:name w:val="footer"/>
    <w:basedOn w:val="Normal"/>
    <w:link w:val="FooterChar"/>
    <w:uiPriority w:val="99"/>
    <w:unhideWhenUsed/>
    <w:rsid w:val="00FC5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FE2"/>
  </w:style>
  <w:style w:type="paragraph" w:styleId="NormalWeb">
    <w:name w:val="Normal (Web)"/>
    <w:basedOn w:val="Normal"/>
    <w:uiPriority w:val="99"/>
    <w:unhideWhenUsed/>
    <w:rsid w:val="008A3C9E"/>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3614E7"/>
    <w:pPr>
      <w:ind w:left="720"/>
      <w:contextualSpacing/>
    </w:pPr>
  </w:style>
  <w:style w:type="paragraph" w:customStyle="1" w:styleId="jus">
    <w:name w:val="jus"/>
    <w:basedOn w:val="Normal"/>
    <w:rsid w:val="00E7206F"/>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rsid w:val="00E7206F"/>
    <w:rPr>
      <w:i/>
      <w:iCs/>
    </w:rPr>
  </w:style>
  <w:style w:type="paragraph" w:customStyle="1" w:styleId="ind">
    <w:name w:val="ind"/>
    <w:basedOn w:val="Normal"/>
    <w:rsid w:val="00E7206F"/>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06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8462B"/>
    <w:rPr>
      <w:color w:val="0000FF"/>
      <w:u w:val="single"/>
    </w:rPr>
  </w:style>
  <w:style w:type="paragraph" w:styleId="Header">
    <w:name w:val="header"/>
    <w:basedOn w:val="Normal"/>
    <w:link w:val="HeaderChar"/>
    <w:uiPriority w:val="99"/>
    <w:unhideWhenUsed/>
    <w:rsid w:val="00FC5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FE2"/>
  </w:style>
  <w:style w:type="paragraph" w:styleId="Footer">
    <w:name w:val="footer"/>
    <w:basedOn w:val="Normal"/>
    <w:link w:val="FooterChar"/>
    <w:uiPriority w:val="99"/>
    <w:unhideWhenUsed/>
    <w:rsid w:val="00FC5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FE2"/>
  </w:style>
  <w:style w:type="paragraph" w:styleId="NormalWeb">
    <w:name w:val="Normal (Web)"/>
    <w:basedOn w:val="Normal"/>
    <w:uiPriority w:val="99"/>
    <w:unhideWhenUsed/>
    <w:rsid w:val="008A3C9E"/>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3614E7"/>
    <w:pPr>
      <w:ind w:left="720"/>
      <w:contextualSpacing/>
    </w:pPr>
  </w:style>
  <w:style w:type="paragraph" w:customStyle="1" w:styleId="jus">
    <w:name w:val="jus"/>
    <w:basedOn w:val="Normal"/>
    <w:rsid w:val="00E7206F"/>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rsid w:val="00E7206F"/>
    <w:rPr>
      <w:i/>
      <w:iCs/>
    </w:rPr>
  </w:style>
  <w:style w:type="paragraph" w:customStyle="1" w:styleId="ind">
    <w:name w:val="ind"/>
    <w:basedOn w:val="Normal"/>
    <w:rsid w:val="00E7206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79059">
      <w:bodyDiv w:val="1"/>
      <w:marLeft w:val="0"/>
      <w:marRight w:val="0"/>
      <w:marTop w:val="0"/>
      <w:marBottom w:val="0"/>
      <w:divBdr>
        <w:top w:val="none" w:sz="0" w:space="0" w:color="auto"/>
        <w:left w:val="none" w:sz="0" w:space="0" w:color="auto"/>
        <w:bottom w:val="none" w:sz="0" w:space="0" w:color="auto"/>
        <w:right w:val="none" w:sz="0" w:space="0" w:color="auto"/>
      </w:divBdr>
      <w:divsChild>
        <w:div w:id="137917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760094">
      <w:bodyDiv w:val="1"/>
      <w:marLeft w:val="0"/>
      <w:marRight w:val="0"/>
      <w:marTop w:val="0"/>
      <w:marBottom w:val="0"/>
      <w:divBdr>
        <w:top w:val="none" w:sz="0" w:space="0" w:color="auto"/>
        <w:left w:val="none" w:sz="0" w:space="0" w:color="auto"/>
        <w:bottom w:val="none" w:sz="0" w:space="0" w:color="auto"/>
        <w:right w:val="none" w:sz="0" w:space="0" w:color="auto"/>
      </w:divBdr>
    </w:div>
    <w:div w:id="175141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2.png@01D52F4C.A5ABD7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618E886DC8248B467BA3D45E4D97C" ma:contentTypeVersion="7" ma:contentTypeDescription="Create a new document." ma:contentTypeScope="" ma:versionID="3c15e5da5c8930bcb82e3c7b9134297c">
  <xsd:schema xmlns:xsd="http://www.w3.org/2001/XMLSchema" xmlns:xs="http://www.w3.org/2001/XMLSchema" xmlns:p="http://schemas.microsoft.com/office/2006/metadata/properties" xmlns:ns3="cf4fbdc1-3486-4097-bd2f-409effe17552" targetNamespace="http://schemas.microsoft.com/office/2006/metadata/properties" ma:root="true" ma:fieldsID="e2aa7485481ff95b303e2390e9a54bcd" ns3:_="">
    <xsd:import namespace="cf4fbdc1-3486-4097-bd2f-409effe175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bdc1-3486-4097-bd2f-409effe1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4B3FB-2041-47C0-927C-D77E20030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bdc1-3486-4097-bd2f-409effe17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F17BD-FF96-4BE5-A280-F4C9FA0FE618}">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f4fbdc1-3486-4097-bd2f-409effe17552"/>
    <ds:schemaRef ds:uri="http://purl.org/dc/dcmitype/"/>
  </ds:schemaRefs>
</ds:datastoreItem>
</file>

<file path=customXml/itemProps3.xml><?xml version="1.0" encoding="utf-8"?>
<ds:datastoreItem xmlns:ds="http://schemas.openxmlformats.org/officeDocument/2006/customXml" ds:itemID="{4FE01EF7-9E4A-44AD-B8FC-75FBB805A440}">
  <ds:schemaRefs>
    <ds:schemaRef ds:uri="http://schemas.microsoft.com/sharepoint/v3/contenttype/forms"/>
  </ds:schemaRefs>
</ds:datastoreItem>
</file>

<file path=customXml/itemProps4.xml><?xml version="1.0" encoding="utf-8"?>
<ds:datastoreItem xmlns:ds="http://schemas.openxmlformats.org/officeDocument/2006/customXml" ds:itemID="{33481FB1-A471-4B69-A148-E3FCA065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O'Ryan, Jerome (Res)</dc:creator>
  <cp:lastModifiedBy>Jerome O'Ryan</cp:lastModifiedBy>
  <cp:revision>2</cp:revision>
  <dcterms:created xsi:type="dcterms:W3CDTF">2022-10-03T15:47:00Z</dcterms:created>
  <dcterms:modified xsi:type="dcterms:W3CDTF">2022-10-03T15:47:00Z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0x010100991618E886DC8248B467BA3D45E4D97C</vt:lpwstr>
  </property>
</Properties>
</file>