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884A" w14:textId="0A9CB87F" w:rsidR="00304516" w:rsidRDefault="00D415CB" w:rsidP="00304516">
      <w:pPr>
        <w:jc w:val="center"/>
        <w:rPr>
          <w:rFonts w:cstheme="minorHAnsi"/>
          <w:b/>
          <w:bCs/>
          <w:sz w:val="28"/>
          <w:szCs w:val="28"/>
          <w:u w:val="single"/>
        </w:rPr>
      </w:pPr>
      <w:r>
        <w:rPr>
          <w:rFonts w:cstheme="minorHAnsi"/>
          <w:b/>
          <w:bCs/>
          <w:sz w:val="28"/>
          <w:szCs w:val="28"/>
          <w:u w:val="single"/>
        </w:rPr>
        <w:t xml:space="preserve">Complex Strategy Meeting Guidance </w:t>
      </w:r>
    </w:p>
    <w:p w14:paraId="5F886323" w14:textId="77777777" w:rsidR="00304516" w:rsidRPr="00A42324" w:rsidRDefault="00304516" w:rsidP="00304516">
      <w:pPr>
        <w:jc w:val="center"/>
        <w:rPr>
          <w:rFonts w:ascii="Calibri" w:hAnsi="Calibri" w:cs="Calibri"/>
          <w:b/>
        </w:rPr>
      </w:pPr>
      <w:r>
        <w:rPr>
          <w:noProof/>
          <w:lang w:eastAsia="en-GB"/>
        </w:rPr>
        <mc:AlternateContent>
          <mc:Choice Requires="wps">
            <w:drawing>
              <wp:anchor distT="0" distB="0" distL="114300" distR="114300" simplePos="0" relativeHeight="251659264" behindDoc="0" locked="1" layoutInCell="1" allowOverlap="1" wp14:anchorId="03B62337" wp14:editId="7D71AD9F">
                <wp:simplePos x="0" y="0"/>
                <wp:positionH relativeFrom="margin">
                  <wp:posOffset>2165985</wp:posOffset>
                </wp:positionH>
                <wp:positionV relativeFrom="margin">
                  <wp:align>top</wp:align>
                </wp:positionV>
                <wp:extent cx="2000885" cy="1960880"/>
                <wp:effectExtent l="0" t="0" r="0" b="12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196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3E647" w14:textId="77777777" w:rsidR="00304516" w:rsidRDefault="00304516" w:rsidP="00304516">
                            <w:r>
                              <w:rPr>
                                <w:noProof/>
                                <w:lang w:eastAsia="en-GB"/>
                              </w:rPr>
                              <w:drawing>
                                <wp:inline distT="0" distB="0" distL="0" distR="0" wp14:anchorId="63AB02E3" wp14:editId="329AA292">
                                  <wp:extent cx="1801368" cy="1801368"/>
                                  <wp:effectExtent l="19050" t="0" r="8382" b="0"/>
                                  <wp:docPr id="11" name="Picture 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1"/>
                                          <a:stretch>
                                            <a:fillRect/>
                                          </a:stretch>
                                        </pic:blipFill>
                                        <pic:spPr>
                                          <a:xfrm>
                                            <a:off x="0" y="0"/>
                                            <a:ext cx="1801368" cy="180136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62337" id="_x0000_t202" coordsize="21600,21600" o:spt="202" path="m,l,21600r21600,l21600,xe">
                <v:stroke joinstyle="miter"/>
                <v:path gradientshapeok="t" o:connecttype="rect"/>
              </v:shapetype>
              <v:shape id="Text Box 2" o:spid="_x0000_s1026" type="#_x0000_t202" style="position:absolute;left:0;text-align:left;margin-left:170.55pt;margin-top:0;width:157.55pt;height:154.4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" stroked="f">
                <v:textbox>
                  <w:txbxContent>
                    <w:p w14:paraId="6203E647" w14:textId="77777777" w:rsidR="00304516" w:rsidRDefault="00304516" w:rsidP="00304516">
                      <w:r>
                        <w:rPr>
                          <w:noProof/>
                          <w:lang w:eastAsia="en-GB"/>
                        </w:rPr>
                        <w:drawing>
                          <wp:inline distT="0" distB="0" distL="0" distR="0" wp14:anchorId="63AB02E3" wp14:editId="329AA292">
                            <wp:extent cx="1801368" cy="1801368"/>
                            <wp:effectExtent l="19050" t="0" r="8382" b="0"/>
                            <wp:docPr id="11" name="Picture 1" descr="CP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 logo small.jpg"/>
                                    <pic:cNvPicPr/>
                                  </pic:nvPicPr>
                                  <pic:blipFill>
                                    <a:blip r:embed="rId11"/>
                                    <a:stretch>
                                      <a:fillRect/>
                                    </a:stretch>
                                  </pic:blipFill>
                                  <pic:spPr>
                                    <a:xfrm>
                                      <a:off x="0" y="0"/>
                                      <a:ext cx="1801368" cy="1801368"/>
                                    </a:xfrm>
                                    <a:prstGeom prst="rect">
                                      <a:avLst/>
                                    </a:prstGeom>
                                  </pic:spPr>
                                </pic:pic>
                              </a:graphicData>
                            </a:graphic>
                          </wp:inline>
                        </w:drawing>
                      </w:r>
                    </w:p>
                  </w:txbxContent>
                </v:textbox>
                <w10:wrap type="topAndBottom" anchorx="margin" anchory="margin"/>
                <w10:anchorlock/>
              </v:shape>
            </w:pict>
          </mc:Fallback>
        </mc:AlternateConten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1321"/>
        <w:gridCol w:w="8733"/>
      </w:tblGrid>
      <w:tr w:rsidR="00304516" w:rsidRPr="0008273A" w14:paraId="65E4BD6D" w14:textId="77777777" w:rsidTr="00956030">
        <w:trPr>
          <w:trHeight w:val="356"/>
        </w:trPr>
        <w:tc>
          <w:tcPr>
            <w:tcW w:w="632" w:type="pct"/>
          </w:tcPr>
          <w:p w14:paraId="0E50110E" w14:textId="77777777" w:rsidR="00304516" w:rsidRPr="00375C49" w:rsidRDefault="00304516" w:rsidP="00956030">
            <w:pPr>
              <w:jc w:val="both"/>
              <w:rPr>
                <w:rFonts w:ascii="Calibri" w:hAnsi="Calibri" w:cs="Calibri"/>
                <w:b/>
                <w:sz w:val="24"/>
                <w:szCs w:val="24"/>
              </w:rPr>
            </w:pPr>
            <w:r w:rsidRPr="00375C49">
              <w:rPr>
                <w:rFonts w:ascii="Calibri" w:hAnsi="Calibri" w:cs="Calibri"/>
                <w:b/>
                <w:sz w:val="24"/>
                <w:szCs w:val="24"/>
              </w:rPr>
              <w:t>Title:</w:t>
            </w:r>
          </w:p>
        </w:tc>
        <w:tc>
          <w:tcPr>
            <w:tcW w:w="4368" w:type="pct"/>
          </w:tcPr>
          <w:p w14:paraId="30AB09AC" w14:textId="3955A97E" w:rsidR="00304516" w:rsidRDefault="00D415CB" w:rsidP="00956030">
            <w:pPr>
              <w:autoSpaceDE w:val="0"/>
              <w:autoSpaceDN w:val="0"/>
              <w:adjustRightInd w:val="0"/>
              <w:jc w:val="both"/>
              <w:rPr>
                <w:rFonts w:ascii="Calibri" w:hAnsi="Calibri" w:cs="Calibri"/>
                <w:b/>
                <w:sz w:val="24"/>
                <w:szCs w:val="24"/>
              </w:rPr>
            </w:pPr>
            <w:r>
              <w:rPr>
                <w:rFonts w:ascii="Calibri" w:hAnsi="Calibri" w:cs="Calibri"/>
                <w:b/>
                <w:sz w:val="24"/>
                <w:szCs w:val="24"/>
              </w:rPr>
              <w:t>Complex Strategy Meeting Guidance</w:t>
            </w:r>
            <w:r w:rsidR="00AA3020">
              <w:rPr>
                <w:rFonts w:ascii="Calibri" w:hAnsi="Calibri" w:cs="Calibri"/>
                <w:b/>
                <w:sz w:val="24"/>
                <w:szCs w:val="24"/>
              </w:rPr>
              <w:t xml:space="preserve"> </w:t>
            </w:r>
          </w:p>
          <w:p w14:paraId="26540843" w14:textId="77777777" w:rsidR="002D5254" w:rsidRDefault="002D5254" w:rsidP="00956030">
            <w:pPr>
              <w:autoSpaceDE w:val="0"/>
              <w:autoSpaceDN w:val="0"/>
              <w:adjustRightInd w:val="0"/>
              <w:jc w:val="both"/>
              <w:rPr>
                <w:rFonts w:ascii="Calibri" w:hAnsi="Calibri" w:cs="Calibri"/>
                <w:b/>
                <w:sz w:val="24"/>
                <w:szCs w:val="24"/>
              </w:rPr>
            </w:pPr>
          </w:p>
          <w:p w14:paraId="03CF1820" w14:textId="3EED9981" w:rsidR="00AA3020" w:rsidRDefault="00D733A3" w:rsidP="00956030">
            <w:pPr>
              <w:autoSpaceDE w:val="0"/>
              <w:autoSpaceDN w:val="0"/>
              <w:adjustRightInd w:val="0"/>
              <w:jc w:val="both"/>
              <w:rPr>
                <w:rFonts w:ascii="Calibri" w:hAnsi="Calibri" w:cs="Calibri"/>
                <w:b/>
                <w:sz w:val="24"/>
                <w:szCs w:val="24"/>
              </w:rPr>
            </w:pPr>
            <w:r>
              <w:rPr>
                <w:rFonts w:ascii="Calibri" w:hAnsi="Calibri" w:cs="Calibri"/>
                <w:b/>
                <w:sz w:val="24"/>
                <w:szCs w:val="24"/>
              </w:rPr>
              <w:t>Request for Complex Strategy Meeting Template</w:t>
            </w:r>
          </w:p>
          <w:p w14:paraId="2C9EDF2E" w14:textId="77777777" w:rsidR="00304516" w:rsidRPr="00375C49" w:rsidRDefault="00304516" w:rsidP="00956030">
            <w:pPr>
              <w:autoSpaceDE w:val="0"/>
              <w:autoSpaceDN w:val="0"/>
              <w:adjustRightInd w:val="0"/>
              <w:jc w:val="both"/>
              <w:rPr>
                <w:rFonts w:ascii="Calibri" w:hAnsi="Calibri" w:cs="Calibri"/>
                <w:b/>
                <w:sz w:val="24"/>
                <w:szCs w:val="24"/>
              </w:rPr>
            </w:pPr>
          </w:p>
        </w:tc>
      </w:tr>
      <w:tr w:rsidR="00304516" w:rsidRPr="0008273A" w14:paraId="78ACF033" w14:textId="77777777" w:rsidTr="00956030">
        <w:trPr>
          <w:trHeight w:val="357"/>
        </w:trPr>
        <w:tc>
          <w:tcPr>
            <w:tcW w:w="632" w:type="pct"/>
          </w:tcPr>
          <w:p w14:paraId="1343F703" w14:textId="77777777" w:rsidR="00304516" w:rsidRPr="00375C49" w:rsidRDefault="00304516" w:rsidP="00956030">
            <w:pPr>
              <w:rPr>
                <w:rFonts w:ascii="Calibri" w:hAnsi="Calibri" w:cs="Calibri"/>
                <w:b/>
                <w:sz w:val="24"/>
                <w:szCs w:val="24"/>
              </w:rPr>
            </w:pPr>
            <w:r w:rsidRPr="00375C49">
              <w:rPr>
                <w:rFonts w:ascii="Calibri" w:hAnsi="Calibri" w:cs="Calibri"/>
                <w:b/>
                <w:sz w:val="24"/>
                <w:szCs w:val="24"/>
              </w:rPr>
              <w:t xml:space="preserve">Effective From: </w:t>
            </w:r>
          </w:p>
        </w:tc>
        <w:tc>
          <w:tcPr>
            <w:tcW w:w="4368" w:type="pct"/>
          </w:tcPr>
          <w:p w14:paraId="3167DD98" w14:textId="537EA5AD" w:rsidR="00304516" w:rsidRPr="00375C49" w:rsidRDefault="0010711A" w:rsidP="00956030">
            <w:pPr>
              <w:rPr>
                <w:rFonts w:ascii="Calibri" w:hAnsi="Calibri" w:cs="Calibri"/>
                <w:b/>
                <w:bCs/>
                <w:sz w:val="24"/>
                <w:szCs w:val="24"/>
              </w:rPr>
            </w:pPr>
            <w:r>
              <w:rPr>
                <w:rFonts w:ascii="Calibri" w:hAnsi="Calibri" w:cs="Calibri"/>
                <w:b/>
                <w:bCs/>
                <w:sz w:val="24"/>
                <w:szCs w:val="24"/>
              </w:rPr>
              <w:t>22</w:t>
            </w:r>
            <w:r w:rsidRPr="0010711A">
              <w:rPr>
                <w:rFonts w:ascii="Calibri" w:hAnsi="Calibri" w:cs="Calibri"/>
                <w:b/>
                <w:bCs/>
                <w:sz w:val="24"/>
                <w:szCs w:val="24"/>
                <w:vertAlign w:val="superscript"/>
              </w:rPr>
              <w:t>nd</w:t>
            </w:r>
            <w:r>
              <w:rPr>
                <w:rFonts w:ascii="Calibri" w:hAnsi="Calibri" w:cs="Calibri"/>
                <w:b/>
                <w:bCs/>
                <w:sz w:val="24"/>
                <w:szCs w:val="24"/>
              </w:rPr>
              <w:t xml:space="preserve"> November 2022 </w:t>
            </w:r>
            <w:r w:rsidR="00304516" w:rsidRPr="00375C49">
              <w:rPr>
                <w:rFonts w:ascii="Calibri" w:hAnsi="Calibri" w:cs="Calibri"/>
                <w:b/>
                <w:bCs/>
                <w:sz w:val="24"/>
                <w:szCs w:val="24"/>
              </w:rPr>
              <w:t xml:space="preserve">   </w:t>
            </w:r>
          </w:p>
        </w:tc>
      </w:tr>
      <w:tr w:rsidR="00304516" w:rsidRPr="0008273A" w14:paraId="7CA5CDB4" w14:textId="77777777" w:rsidTr="00956030">
        <w:trPr>
          <w:trHeight w:val="841"/>
        </w:trPr>
        <w:tc>
          <w:tcPr>
            <w:tcW w:w="632" w:type="pct"/>
          </w:tcPr>
          <w:p w14:paraId="1D87C885" w14:textId="77777777" w:rsidR="00304516" w:rsidRPr="00375C49" w:rsidRDefault="00304516" w:rsidP="00956030">
            <w:pPr>
              <w:jc w:val="both"/>
              <w:rPr>
                <w:rFonts w:ascii="Calibri" w:hAnsi="Calibri" w:cs="Calibri"/>
                <w:b/>
                <w:sz w:val="24"/>
                <w:szCs w:val="24"/>
              </w:rPr>
            </w:pPr>
            <w:r w:rsidRPr="00375C49">
              <w:rPr>
                <w:rFonts w:ascii="Calibri" w:hAnsi="Calibri" w:cs="Calibri"/>
                <w:b/>
                <w:sz w:val="24"/>
                <w:szCs w:val="24"/>
              </w:rPr>
              <w:t xml:space="preserve">Practice Note: </w:t>
            </w:r>
          </w:p>
        </w:tc>
        <w:tc>
          <w:tcPr>
            <w:tcW w:w="4368" w:type="pct"/>
          </w:tcPr>
          <w:p w14:paraId="0D12C44E" w14:textId="24018E00" w:rsidR="00AA3020" w:rsidRDefault="00157871" w:rsidP="00817976">
            <w:pPr>
              <w:jc w:val="both"/>
              <w:rPr>
                <w:rFonts w:ascii="Calibri" w:hAnsi="Calibri" w:cs="Calibri"/>
                <w:b/>
                <w:bCs/>
                <w:sz w:val="24"/>
                <w:szCs w:val="24"/>
              </w:rPr>
            </w:pPr>
            <w:r>
              <w:rPr>
                <w:rFonts w:ascii="Calibri" w:hAnsi="Calibri" w:cs="Calibri"/>
                <w:b/>
                <w:bCs/>
                <w:sz w:val="24"/>
                <w:szCs w:val="24"/>
              </w:rPr>
              <w:t xml:space="preserve">The </w:t>
            </w:r>
            <w:r w:rsidR="00AA3020">
              <w:rPr>
                <w:rFonts w:ascii="Calibri" w:hAnsi="Calibri" w:cs="Calibri"/>
                <w:b/>
                <w:bCs/>
                <w:sz w:val="24"/>
                <w:szCs w:val="24"/>
              </w:rPr>
              <w:t>guidance</w:t>
            </w:r>
            <w:r>
              <w:rPr>
                <w:rFonts w:ascii="Calibri" w:hAnsi="Calibri" w:cs="Calibri"/>
                <w:b/>
                <w:bCs/>
                <w:sz w:val="24"/>
                <w:szCs w:val="24"/>
              </w:rPr>
              <w:t xml:space="preserve"> sets out </w:t>
            </w:r>
            <w:r w:rsidR="00AA3020">
              <w:rPr>
                <w:rFonts w:ascii="Calibri" w:hAnsi="Calibri" w:cs="Calibri"/>
                <w:b/>
                <w:bCs/>
                <w:sz w:val="24"/>
                <w:szCs w:val="24"/>
              </w:rPr>
              <w:t xml:space="preserve">the process for referrals for Complex Strategy Meetings where organised and complex abuse is a concern; and guidance in terms of timescales and key points of consideration within the Complex Strategy Meeting. </w:t>
            </w:r>
          </w:p>
          <w:p w14:paraId="4A3F622A" w14:textId="092C8C65" w:rsidR="00304516" w:rsidRPr="00FE729A" w:rsidRDefault="00AA3020" w:rsidP="00817976">
            <w:pPr>
              <w:jc w:val="both"/>
              <w:rPr>
                <w:rFonts w:ascii="Calibri" w:hAnsi="Calibri" w:cs="Calibri"/>
                <w:b/>
                <w:bCs/>
                <w:sz w:val="24"/>
                <w:szCs w:val="24"/>
              </w:rPr>
            </w:pPr>
            <w:r>
              <w:rPr>
                <w:rFonts w:ascii="Calibri" w:hAnsi="Calibri" w:cs="Calibri"/>
                <w:b/>
                <w:bCs/>
                <w:sz w:val="24"/>
                <w:szCs w:val="24"/>
              </w:rPr>
              <w:t xml:space="preserve"> </w:t>
            </w:r>
          </w:p>
        </w:tc>
      </w:tr>
      <w:tr w:rsidR="00304516" w:rsidRPr="0008273A" w14:paraId="747418C9" w14:textId="77777777" w:rsidTr="00956030">
        <w:trPr>
          <w:trHeight w:val="357"/>
        </w:trPr>
        <w:tc>
          <w:tcPr>
            <w:tcW w:w="632" w:type="pct"/>
            <w:shd w:val="clear" w:color="auto" w:fill="auto"/>
          </w:tcPr>
          <w:p w14:paraId="7FD17A88" w14:textId="77777777" w:rsidR="00304516" w:rsidRPr="00375C49" w:rsidRDefault="00304516" w:rsidP="00956030">
            <w:pPr>
              <w:rPr>
                <w:rFonts w:ascii="Calibri" w:hAnsi="Calibri" w:cs="Calibri"/>
                <w:b/>
                <w:sz w:val="24"/>
                <w:szCs w:val="24"/>
              </w:rPr>
            </w:pPr>
            <w:r>
              <w:rPr>
                <w:rFonts w:ascii="Calibri" w:hAnsi="Calibri" w:cs="Calibri"/>
                <w:b/>
                <w:sz w:val="24"/>
                <w:szCs w:val="24"/>
              </w:rPr>
              <w:t>Author:</w:t>
            </w:r>
          </w:p>
        </w:tc>
        <w:tc>
          <w:tcPr>
            <w:tcW w:w="4368" w:type="pct"/>
            <w:shd w:val="clear" w:color="auto" w:fill="auto"/>
          </w:tcPr>
          <w:p w14:paraId="55F5B7D3" w14:textId="6F036A3D" w:rsidR="00304516" w:rsidRDefault="0010711A" w:rsidP="00956030">
            <w:pPr>
              <w:rPr>
                <w:rFonts w:ascii="Calibri" w:hAnsi="Calibri" w:cs="Calibri"/>
                <w:b/>
                <w:bCs/>
                <w:sz w:val="24"/>
                <w:szCs w:val="24"/>
              </w:rPr>
            </w:pPr>
            <w:r>
              <w:rPr>
                <w:rFonts w:ascii="Calibri" w:hAnsi="Calibri" w:cs="Calibri"/>
                <w:b/>
                <w:bCs/>
                <w:sz w:val="24"/>
                <w:szCs w:val="24"/>
              </w:rPr>
              <w:t>Senior Management Team</w:t>
            </w:r>
          </w:p>
          <w:p w14:paraId="2725C500" w14:textId="77777777" w:rsidR="00304516" w:rsidRDefault="00304516" w:rsidP="00956030">
            <w:pPr>
              <w:rPr>
                <w:rFonts w:ascii="Calibri" w:hAnsi="Calibri" w:cs="Calibri"/>
                <w:b/>
                <w:bCs/>
                <w:sz w:val="24"/>
                <w:szCs w:val="24"/>
              </w:rPr>
            </w:pPr>
            <w:r>
              <w:rPr>
                <w:rFonts w:ascii="Calibri" w:hAnsi="Calibri" w:cs="Calibri"/>
                <w:b/>
                <w:bCs/>
                <w:sz w:val="24"/>
                <w:szCs w:val="24"/>
              </w:rPr>
              <w:t>Children’s Services, Dudley Council</w:t>
            </w:r>
          </w:p>
          <w:p w14:paraId="42F963BD" w14:textId="70708185" w:rsidR="0010711A" w:rsidRPr="00375C49" w:rsidRDefault="0010711A" w:rsidP="00956030">
            <w:pPr>
              <w:rPr>
                <w:rFonts w:ascii="Calibri" w:hAnsi="Calibri" w:cs="Calibri"/>
                <w:b/>
                <w:bCs/>
                <w:sz w:val="24"/>
                <w:szCs w:val="24"/>
              </w:rPr>
            </w:pPr>
          </w:p>
        </w:tc>
      </w:tr>
      <w:tr w:rsidR="00304516" w:rsidRPr="0008273A" w14:paraId="0183DC49" w14:textId="77777777" w:rsidTr="00956030">
        <w:trPr>
          <w:trHeight w:val="357"/>
        </w:trPr>
        <w:tc>
          <w:tcPr>
            <w:tcW w:w="632" w:type="pct"/>
            <w:shd w:val="clear" w:color="auto" w:fill="auto"/>
          </w:tcPr>
          <w:p w14:paraId="24E7C0AC" w14:textId="77777777" w:rsidR="00304516" w:rsidRPr="00375C49" w:rsidRDefault="00304516" w:rsidP="00956030">
            <w:pPr>
              <w:rPr>
                <w:rFonts w:ascii="Calibri" w:hAnsi="Calibri" w:cs="Calibri"/>
                <w:b/>
                <w:sz w:val="24"/>
                <w:szCs w:val="24"/>
              </w:rPr>
            </w:pPr>
            <w:r w:rsidRPr="00375C49">
              <w:rPr>
                <w:rFonts w:ascii="Calibri" w:hAnsi="Calibri" w:cs="Calibri"/>
                <w:b/>
                <w:sz w:val="24"/>
                <w:szCs w:val="24"/>
              </w:rPr>
              <w:t>Authorised by:</w:t>
            </w:r>
          </w:p>
        </w:tc>
        <w:tc>
          <w:tcPr>
            <w:tcW w:w="4368" w:type="pct"/>
            <w:shd w:val="clear" w:color="auto" w:fill="auto"/>
          </w:tcPr>
          <w:p w14:paraId="69D73E74" w14:textId="21022936" w:rsidR="00304516" w:rsidRPr="00375C49" w:rsidRDefault="00304516" w:rsidP="00956030">
            <w:pPr>
              <w:rPr>
                <w:rFonts w:ascii="Calibri" w:hAnsi="Calibri" w:cs="Calibri"/>
                <w:b/>
                <w:bCs/>
                <w:sz w:val="24"/>
                <w:szCs w:val="24"/>
              </w:rPr>
            </w:pPr>
            <w:r w:rsidRPr="00375C49">
              <w:rPr>
                <w:rFonts w:ascii="Calibri" w:hAnsi="Calibri" w:cs="Calibri"/>
                <w:b/>
                <w:bCs/>
                <w:sz w:val="24"/>
                <w:szCs w:val="24"/>
              </w:rPr>
              <w:t xml:space="preserve">Senior </w:t>
            </w:r>
            <w:r w:rsidR="0010711A">
              <w:rPr>
                <w:rFonts w:ascii="Calibri" w:hAnsi="Calibri" w:cs="Calibri"/>
                <w:b/>
                <w:bCs/>
                <w:sz w:val="24"/>
                <w:szCs w:val="24"/>
              </w:rPr>
              <w:t>Management Team</w:t>
            </w:r>
            <w:r w:rsidRPr="00375C49">
              <w:rPr>
                <w:rFonts w:ascii="Calibri" w:hAnsi="Calibri" w:cs="Calibri"/>
                <w:b/>
                <w:bCs/>
                <w:sz w:val="24"/>
                <w:szCs w:val="24"/>
              </w:rPr>
              <w:t xml:space="preserve"> </w:t>
            </w:r>
          </w:p>
        </w:tc>
      </w:tr>
      <w:tr w:rsidR="00304516" w:rsidRPr="0008273A" w14:paraId="78CF2022" w14:textId="77777777" w:rsidTr="00956030">
        <w:trPr>
          <w:trHeight w:val="357"/>
        </w:trPr>
        <w:tc>
          <w:tcPr>
            <w:tcW w:w="632" w:type="pct"/>
            <w:shd w:val="clear" w:color="auto" w:fill="auto"/>
          </w:tcPr>
          <w:p w14:paraId="3AA67E76" w14:textId="77777777" w:rsidR="00304516" w:rsidRPr="00375C49" w:rsidRDefault="00304516" w:rsidP="00956030">
            <w:pPr>
              <w:rPr>
                <w:rFonts w:ascii="Calibri" w:hAnsi="Calibri" w:cs="Calibri"/>
                <w:b/>
                <w:sz w:val="24"/>
                <w:szCs w:val="24"/>
              </w:rPr>
            </w:pPr>
            <w:r w:rsidRPr="00375C49">
              <w:rPr>
                <w:rFonts w:ascii="Calibri" w:hAnsi="Calibri" w:cs="Calibri"/>
                <w:b/>
                <w:sz w:val="24"/>
                <w:szCs w:val="24"/>
              </w:rPr>
              <w:t>Date:</w:t>
            </w:r>
          </w:p>
        </w:tc>
        <w:tc>
          <w:tcPr>
            <w:tcW w:w="4368" w:type="pct"/>
            <w:shd w:val="clear" w:color="auto" w:fill="auto"/>
          </w:tcPr>
          <w:p w14:paraId="776368CB" w14:textId="77777777" w:rsidR="00304516" w:rsidRDefault="00D03A8A" w:rsidP="00956030">
            <w:pPr>
              <w:rPr>
                <w:rFonts w:ascii="Calibri" w:hAnsi="Calibri" w:cs="Calibri"/>
                <w:b/>
                <w:bCs/>
                <w:sz w:val="24"/>
                <w:szCs w:val="24"/>
              </w:rPr>
            </w:pPr>
            <w:r>
              <w:rPr>
                <w:rFonts w:ascii="Calibri" w:hAnsi="Calibri" w:cs="Calibri"/>
                <w:b/>
                <w:bCs/>
                <w:sz w:val="24"/>
                <w:szCs w:val="24"/>
              </w:rPr>
              <w:t>22</w:t>
            </w:r>
            <w:r w:rsidRPr="00D03A8A">
              <w:rPr>
                <w:rFonts w:ascii="Calibri" w:hAnsi="Calibri" w:cs="Calibri"/>
                <w:b/>
                <w:bCs/>
                <w:sz w:val="24"/>
                <w:szCs w:val="24"/>
                <w:vertAlign w:val="superscript"/>
              </w:rPr>
              <w:t>nd</w:t>
            </w:r>
            <w:r>
              <w:rPr>
                <w:rFonts w:ascii="Calibri" w:hAnsi="Calibri" w:cs="Calibri"/>
                <w:b/>
                <w:bCs/>
                <w:sz w:val="24"/>
                <w:szCs w:val="24"/>
              </w:rPr>
              <w:t xml:space="preserve"> November 2022 </w:t>
            </w:r>
          </w:p>
          <w:p w14:paraId="204E5993" w14:textId="368715FD" w:rsidR="00D03A8A" w:rsidRPr="00375C49" w:rsidRDefault="00D03A8A" w:rsidP="00956030">
            <w:pPr>
              <w:rPr>
                <w:rFonts w:ascii="Calibri" w:hAnsi="Calibri" w:cs="Calibri"/>
                <w:b/>
                <w:bCs/>
                <w:sz w:val="24"/>
                <w:szCs w:val="24"/>
              </w:rPr>
            </w:pPr>
          </w:p>
        </w:tc>
      </w:tr>
      <w:tr w:rsidR="00304516" w:rsidRPr="0008273A" w14:paraId="64C62EDD" w14:textId="77777777" w:rsidTr="00956030">
        <w:trPr>
          <w:trHeight w:val="357"/>
        </w:trPr>
        <w:tc>
          <w:tcPr>
            <w:tcW w:w="632" w:type="pct"/>
            <w:shd w:val="clear" w:color="auto" w:fill="auto"/>
          </w:tcPr>
          <w:p w14:paraId="3D10C059" w14:textId="77777777" w:rsidR="00304516" w:rsidRPr="00375C49" w:rsidRDefault="00304516" w:rsidP="00956030">
            <w:pPr>
              <w:rPr>
                <w:rFonts w:ascii="Calibri" w:hAnsi="Calibri" w:cs="Calibri"/>
                <w:b/>
                <w:sz w:val="24"/>
                <w:szCs w:val="24"/>
              </w:rPr>
            </w:pPr>
            <w:r w:rsidRPr="00375C49">
              <w:rPr>
                <w:rFonts w:ascii="Calibri" w:hAnsi="Calibri" w:cs="Calibri"/>
                <w:b/>
                <w:sz w:val="24"/>
                <w:szCs w:val="24"/>
              </w:rPr>
              <w:t>Review Date:</w:t>
            </w:r>
          </w:p>
        </w:tc>
        <w:tc>
          <w:tcPr>
            <w:tcW w:w="4368" w:type="pct"/>
            <w:shd w:val="clear" w:color="auto" w:fill="auto"/>
          </w:tcPr>
          <w:p w14:paraId="46AFE3E2" w14:textId="4C5F26F3" w:rsidR="00304516" w:rsidRPr="00375C49" w:rsidRDefault="00FE729A" w:rsidP="00956030">
            <w:pPr>
              <w:rPr>
                <w:rFonts w:ascii="Calibri" w:hAnsi="Calibri" w:cs="Calibri"/>
                <w:b/>
                <w:bCs/>
                <w:sz w:val="24"/>
                <w:szCs w:val="24"/>
              </w:rPr>
            </w:pPr>
            <w:r w:rsidRPr="00FE729A">
              <w:rPr>
                <w:rFonts w:ascii="Calibri" w:hAnsi="Calibri" w:cs="Calibri"/>
                <w:b/>
                <w:bCs/>
                <w:sz w:val="24"/>
                <w:szCs w:val="24"/>
              </w:rPr>
              <w:t>22</w:t>
            </w:r>
            <w:r w:rsidRPr="00FE729A">
              <w:rPr>
                <w:rFonts w:ascii="Calibri" w:hAnsi="Calibri" w:cs="Calibri"/>
                <w:b/>
                <w:bCs/>
                <w:sz w:val="24"/>
                <w:szCs w:val="24"/>
                <w:vertAlign w:val="superscript"/>
              </w:rPr>
              <w:t>nd</w:t>
            </w:r>
            <w:r w:rsidRPr="00FE729A">
              <w:rPr>
                <w:rFonts w:ascii="Calibri" w:hAnsi="Calibri" w:cs="Calibri"/>
                <w:b/>
                <w:bCs/>
                <w:sz w:val="24"/>
                <w:szCs w:val="24"/>
              </w:rPr>
              <w:t xml:space="preserve"> November 2023</w:t>
            </w:r>
          </w:p>
        </w:tc>
      </w:tr>
      <w:tr w:rsidR="00304516" w:rsidRPr="0008273A" w14:paraId="1C0F1E1B" w14:textId="77777777" w:rsidTr="00956030">
        <w:trPr>
          <w:trHeight w:val="357"/>
        </w:trPr>
        <w:tc>
          <w:tcPr>
            <w:tcW w:w="632" w:type="pct"/>
            <w:shd w:val="clear" w:color="auto" w:fill="auto"/>
          </w:tcPr>
          <w:p w14:paraId="15695F78" w14:textId="77777777" w:rsidR="00304516" w:rsidRDefault="00304516" w:rsidP="00956030">
            <w:pPr>
              <w:rPr>
                <w:rFonts w:ascii="Calibri" w:hAnsi="Calibri" w:cs="Calibri"/>
                <w:b/>
                <w:sz w:val="24"/>
                <w:szCs w:val="24"/>
              </w:rPr>
            </w:pPr>
            <w:r w:rsidRPr="00375C49">
              <w:rPr>
                <w:rFonts w:ascii="Calibri" w:hAnsi="Calibri" w:cs="Calibri"/>
                <w:b/>
                <w:sz w:val="24"/>
                <w:szCs w:val="24"/>
              </w:rPr>
              <w:t>Reference No:</w:t>
            </w:r>
          </w:p>
          <w:p w14:paraId="2200C55B" w14:textId="2DE06AAE" w:rsidR="00780E61" w:rsidRPr="00375C49" w:rsidRDefault="00780E61" w:rsidP="00956030">
            <w:pPr>
              <w:rPr>
                <w:rFonts w:ascii="Calibri" w:hAnsi="Calibri" w:cs="Calibri"/>
                <w:b/>
                <w:sz w:val="24"/>
                <w:szCs w:val="24"/>
              </w:rPr>
            </w:pPr>
          </w:p>
        </w:tc>
        <w:tc>
          <w:tcPr>
            <w:tcW w:w="4368" w:type="pct"/>
            <w:shd w:val="clear" w:color="auto" w:fill="auto"/>
          </w:tcPr>
          <w:p w14:paraId="129FEB35" w14:textId="79E860E2" w:rsidR="00304516" w:rsidRPr="00375C49" w:rsidRDefault="00CD4863" w:rsidP="00956030">
            <w:pPr>
              <w:rPr>
                <w:rFonts w:ascii="Calibri" w:hAnsi="Calibri" w:cs="Calibri"/>
                <w:b/>
                <w:bCs/>
                <w:sz w:val="24"/>
                <w:szCs w:val="24"/>
              </w:rPr>
            </w:pPr>
            <w:r w:rsidRPr="00CD4863">
              <w:rPr>
                <w:rFonts w:ascii="Calibri" w:hAnsi="Calibri" w:cs="Calibri"/>
                <w:b/>
                <w:bCs/>
                <w:sz w:val="24"/>
                <w:szCs w:val="24"/>
              </w:rPr>
              <w:t>0100/2022/CPP</w:t>
            </w:r>
          </w:p>
        </w:tc>
      </w:tr>
    </w:tbl>
    <w:p w14:paraId="0B02C116" w14:textId="00CDC2BE" w:rsidR="00304516" w:rsidRDefault="00304516" w:rsidP="00304516">
      <w:pPr>
        <w:jc w:val="both"/>
        <w:rPr>
          <w:rFonts w:cstheme="minorHAnsi"/>
          <w:sz w:val="24"/>
          <w:szCs w:val="24"/>
        </w:rPr>
      </w:pPr>
    </w:p>
    <w:p w14:paraId="70B4A2AD" w14:textId="5CD1B4C4" w:rsidR="002D5254" w:rsidRDefault="002D5254" w:rsidP="00304516">
      <w:pPr>
        <w:jc w:val="both"/>
        <w:rPr>
          <w:rFonts w:cstheme="minorHAnsi"/>
          <w:sz w:val="24"/>
          <w:szCs w:val="24"/>
        </w:rPr>
      </w:pPr>
    </w:p>
    <w:p w14:paraId="7410BA90" w14:textId="40D20DB7" w:rsidR="002D5254" w:rsidRDefault="002D5254" w:rsidP="00304516">
      <w:pPr>
        <w:jc w:val="both"/>
        <w:rPr>
          <w:rFonts w:cstheme="minorHAnsi"/>
          <w:sz w:val="24"/>
          <w:szCs w:val="24"/>
        </w:rPr>
      </w:pPr>
    </w:p>
    <w:p w14:paraId="5564F26E" w14:textId="77777777" w:rsidR="002D5254" w:rsidRDefault="002D5254" w:rsidP="00304516">
      <w:pPr>
        <w:jc w:val="both"/>
        <w:rPr>
          <w:rFonts w:cstheme="minorHAnsi"/>
          <w:sz w:val="24"/>
          <w:szCs w:val="24"/>
        </w:rPr>
      </w:pPr>
    </w:p>
    <w:p w14:paraId="74EFAEB7" w14:textId="07F68EBE"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lastRenderedPageBreak/>
        <w:t>Organised and Complex Abuse</w:t>
      </w:r>
    </w:p>
    <w:p w14:paraId="2A0EA05D"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t>1. Definition</w:t>
      </w:r>
    </w:p>
    <w:p w14:paraId="0E2AC942"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Complex and organised abuse may be defined as abuse involving one or more abusers and a number of related or non-related abused children. The adults concerned may be acting in concert to abuse children, sometimes acting in isolation or may be using an institutional framework or position of authority to recruit children for abuse.</w:t>
      </w:r>
    </w:p>
    <w:p w14:paraId="1A77A8AB"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Such abuse can occur both as part of a network of abuse across a family or community</w:t>
      </w:r>
      <w:r>
        <w:rPr>
          <w:rFonts w:eastAsia="Times New Roman" w:cstheme="minorHAnsi"/>
          <w:sz w:val="24"/>
          <w:szCs w:val="24"/>
          <w:lang w:eastAsia="en-GB"/>
        </w:rPr>
        <w:t>,</w:t>
      </w:r>
      <w:r w:rsidRPr="008D4896">
        <w:rPr>
          <w:rFonts w:eastAsia="Times New Roman" w:cstheme="minorHAnsi"/>
          <w:sz w:val="24"/>
          <w:szCs w:val="24"/>
          <w:lang w:eastAsia="en-GB"/>
        </w:rPr>
        <w:t xml:space="preserve"> and within institutions such as residential settings, boarding schools, in day care and in other provisions such as youth services, sports clubs, faith groups and voluntary groups. There will also be cases of children being abused via the use of electronic devices, such as mobile phones, computers, games consoles </w:t>
      </w:r>
      <w:r>
        <w:rPr>
          <w:rFonts w:eastAsia="Times New Roman" w:cstheme="minorHAnsi"/>
          <w:sz w:val="24"/>
          <w:szCs w:val="24"/>
          <w:lang w:eastAsia="en-GB"/>
        </w:rPr>
        <w:t xml:space="preserve">etc, </w:t>
      </w:r>
      <w:r w:rsidRPr="008D4896">
        <w:rPr>
          <w:rFonts w:eastAsia="Times New Roman" w:cstheme="minorHAnsi"/>
          <w:sz w:val="24"/>
          <w:szCs w:val="24"/>
          <w:lang w:eastAsia="en-GB"/>
        </w:rPr>
        <w:t>which all access the Internet.</w:t>
      </w:r>
    </w:p>
    <w:p w14:paraId="7B8E6ABB"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Although in most cases of complex and organised abuse the abuser(s) is an adult, it is also possible for children / young people to be the perpetrators of such harm, with or without adult abusers.</w:t>
      </w:r>
    </w:p>
    <w:p w14:paraId="21A17422"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t>2. Investigation</w:t>
      </w:r>
    </w:p>
    <w:p w14:paraId="49F0FAEB"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Each investigation of complex and organised abuse will be different, according to the characteristics of each situation and the scale and complexity of the investigation. But all will require thorough planning, collaborative inter-agency working</w:t>
      </w:r>
      <w:r>
        <w:rPr>
          <w:rFonts w:eastAsia="Times New Roman" w:cstheme="minorHAnsi"/>
          <w:sz w:val="24"/>
          <w:szCs w:val="24"/>
          <w:lang w:eastAsia="en-GB"/>
        </w:rPr>
        <w:t>,</w:t>
      </w:r>
      <w:r w:rsidRPr="008D4896">
        <w:rPr>
          <w:rFonts w:eastAsia="Times New Roman" w:cstheme="minorHAnsi"/>
          <w:sz w:val="24"/>
          <w:szCs w:val="24"/>
          <w:lang w:eastAsia="en-GB"/>
        </w:rPr>
        <w:t xml:space="preserve"> and attention to the needs of the child victim/s involved.</w:t>
      </w:r>
    </w:p>
    <w:p w14:paraId="3CD6D68C"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investigation of complex abuse requires specialist skills and dedicated resources from both police and social work staff which usually involves the formation of dedicated teams of professionals</w:t>
      </w:r>
      <w:r>
        <w:rPr>
          <w:rFonts w:eastAsia="Times New Roman" w:cstheme="minorHAnsi"/>
          <w:sz w:val="24"/>
          <w:szCs w:val="24"/>
          <w:lang w:eastAsia="en-GB"/>
        </w:rPr>
        <w:t>,</w:t>
      </w:r>
      <w:r w:rsidRPr="008D4896">
        <w:rPr>
          <w:rFonts w:eastAsia="Times New Roman" w:cstheme="minorHAnsi"/>
          <w:sz w:val="24"/>
          <w:szCs w:val="24"/>
          <w:lang w:eastAsia="en-GB"/>
        </w:rPr>
        <w:t xml:space="preserve"> and will need consideration of the needs for victims for therapeutic services. The consequent legal proceedings may add to the timescales of such investigations.</w:t>
      </w:r>
    </w:p>
    <w:p w14:paraId="18F19626"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Some investigations become complex because of the number of places and people involved, and the timescale over which abuse is alleged to have occurred. In these circumstances</w:t>
      </w:r>
      <w:r>
        <w:rPr>
          <w:rFonts w:eastAsia="Times New Roman" w:cstheme="minorHAnsi"/>
          <w:sz w:val="24"/>
          <w:szCs w:val="24"/>
          <w:lang w:eastAsia="en-GB"/>
        </w:rPr>
        <w:t>, a</w:t>
      </w:r>
      <w:r w:rsidRPr="008D4896">
        <w:rPr>
          <w:rFonts w:eastAsia="Times New Roman" w:cstheme="minorHAnsi"/>
          <w:sz w:val="24"/>
          <w:szCs w:val="24"/>
          <w:lang w:eastAsia="en-GB"/>
        </w:rPr>
        <w:t xml:space="preserve"> </w:t>
      </w:r>
      <w:r w:rsidRPr="0025001A">
        <w:rPr>
          <w:rFonts w:eastAsia="Times New Roman" w:cstheme="minorHAnsi"/>
          <w:sz w:val="24"/>
          <w:szCs w:val="24"/>
          <w:lang w:eastAsia="en-GB"/>
        </w:rPr>
        <w:t>Strategic Management Group</w:t>
      </w:r>
      <w:r w:rsidRPr="008D4896">
        <w:rPr>
          <w:rFonts w:eastAsia="Times New Roman" w:cstheme="minorHAnsi"/>
          <w:sz w:val="24"/>
          <w:szCs w:val="24"/>
          <w:lang w:eastAsia="en-GB"/>
        </w:rPr>
        <w:t xml:space="preserve"> may be set up.</w:t>
      </w:r>
    </w:p>
    <w:p w14:paraId="0719E8C1"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complexity is heightened where, as in historical cases, the alleged victims are no longer living in the setting where the incidents occurred</w:t>
      </w:r>
      <w:r>
        <w:rPr>
          <w:rFonts w:eastAsia="Times New Roman" w:cstheme="minorHAnsi"/>
          <w:sz w:val="24"/>
          <w:szCs w:val="24"/>
          <w:lang w:eastAsia="en-GB"/>
        </w:rPr>
        <w:t>,</w:t>
      </w:r>
      <w:r w:rsidRPr="008D4896">
        <w:rPr>
          <w:rFonts w:eastAsia="Times New Roman" w:cstheme="minorHAnsi"/>
          <w:sz w:val="24"/>
          <w:szCs w:val="24"/>
          <w:lang w:eastAsia="en-GB"/>
        </w:rPr>
        <w:t xml:space="preserve"> or where the alleged perpetrators are also no longer linked to the setting or employment role. These will all need to be taken into consideration when working with a child.</w:t>
      </w:r>
    </w:p>
    <w:p w14:paraId="0802E964"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A senior Police Officer may convene a Gold Command meeting if a particular investigation merits senior oversight from a police perspective. Police may invite senior members of staff from all agencies, so that information can be shared and </w:t>
      </w:r>
      <w:r>
        <w:rPr>
          <w:rFonts w:eastAsia="Times New Roman" w:cstheme="minorHAnsi"/>
          <w:sz w:val="24"/>
          <w:szCs w:val="24"/>
          <w:lang w:eastAsia="en-GB"/>
        </w:rPr>
        <w:t xml:space="preserve">a </w:t>
      </w:r>
      <w:r w:rsidRPr="008D4896">
        <w:rPr>
          <w:rFonts w:eastAsia="Times New Roman" w:cstheme="minorHAnsi"/>
          <w:sz w:val="24"/>
          <w:szCs w:val="24"/>
          <w:lang w:eastAsia="en-GB"/>
        </w:rPr>
        <w:t xml:space="preserve">strategy agreed. It is not the remit of the Gold Command meeting to </w:t>
      </w:r>
      <w:r w:rsidRPr="008D4896">
        <w:rPr>
          <w:rFonts w:eastAsia="Times New Roman" w:cstheme="minorHAnsi"/>
          <w:sz w:val="24"/>
          <w:szCs w:val="24"/>
          <w:lang w:eastAsia="en-GB"/>
        </w:rPr>
        <w:lastRenderedPageBreak/>
        <w:t>direct investigations. These meetings are minuted and those minutes may be revealed to the prosecution, should criminal proceedings be undertaken.</w:t>
      </w:r>
    </w:p>
    <w:p w14:paraId="72C05A6C"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confidentiality of the information relevant to any Section 47 Enquiry and criminal investigation must be strictly maintained by those involved and must not be disclosed to others, including others within the agency, unless absolutely necessary.</w:t>
      </w:r>
    </w:p>
    <w:p w14:paraId="5859CACF"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t>3. The Child</w:t>
      </w:r>
    </w:p>
    <w:p w14:paraId="07C63E7F"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single and most important consideration is the safety and well-being of the child or children.</w:t>
      </w:r>
    </w:p>
    <w:p w14:paraId="5B5832B3"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In reconciling the difference between the standard of evidence required for child protection purposes and the standard required for criminal proceedings, emphasis must be given to the protection of the children as the prime consideration.</w:t>
      </w:r>
    </w:p>
    <w:p w14:paraId="619DEF71"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investigation and enquiries must also address the racial, religious, cultural, language, sexual orientation and gender needs of the child, together with any special needs of the child arising from illness or disability.</w:t>
      </w:r>
    </w:p>
    <w:p w14:paraId="02F7A9E8"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A victim support strategy and protocol should be established at the outset. Support will be required in pre-trial, trial and post-trial periods if the case/s proceed to court. Minimum periods for contact should be established. It is clear from experience in research about complex investigations that many victims and families feel strongly that it is important they remain in contact with the same staff throughout the investigative process.</w:t>
      </w:r>
    </w:p>
    <w:p w14:paraId="723DD350"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t>4. Referral</w:t>
      </w:r>
    </w:p>
    <w:p w14:paraId="48E0A072"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When receiving information or a referral which may indicate organised or multiple abuse, the recipient should immediately refer the matter to the Police and a </w:t>
      </w:r>
      <w:r>
        <w:rPr>
          <w:rFonts w:eastAsia="Times New Roman" w:cstheme="minorHAnsi"/>
          <w:sz w:val="24"/>
          <w:szCs w:val="24"/>
          <w:lang w:eastAsia="en-GB"/>
        </w:rPr>
        <w:t>M</w:t>
      </w:r>
      <w:r w:rsidRPr="008D4896">
        <w:rPr>
          <w:rFonts w:eastAsia="Times New Roman" w:cstheme="minorHAnsi"/>
          <w:sz w:val="24"/>
          <w:szCs w:val="24"/>
          <w:lang w:eastAsia="en-GB"/>
        </w:rPr>
        <w:t>anager in Children's Social Care.</w:t>
      </w:r>
    </w:p>
    <w:p w14:paraId="6C78140C"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If there is any suspicion that any </w:t>
      </w:r>
      <w:r>
        <w:rPr>
          <w:rFonts w:eastAsia="Times New Roman" w:cstheme="minorHAnsi"/>
          <w:sz w:val="24"/>
          <w:szCs w:val="24"/>
          <w:lang w:eastAsia="en-GB"/>
        </w:rPr>
        <w:t>M</w:t>
      </w:r>
      <w:r w:rsidRPr="008D4896">
        <w:rPr>
          <w:rFonts w:eastAsia="Times New Roman" w:cstheme="minorHAnsi"/>
          <w:sz w:val="24"/>
          <w:szCs w:val="24"/>
          <w:lang w:eastAsia="en-GB"/>
        </w:rPr>
        <w:t>anagers currently employed by a social care agency are implicated</w:t>
      </w:r>
      <w:r>
        <w:rPr>
          <w:rFonts w:eastAsia="Times New Roman" w:cstheme="minorHAnsi"/>
          <w:sz w:val="24"/>
          <w:szCs w:val="24"/>
          <w:lang w:eastAsia="en-GB"/>
        </w:rPr>
        <w:t>,</w:t>
      </w:r>
      <w:r w:rsidRPr="008D4896">
        <w:rPr>
          <w:rFonts w:eastAsia="Times New Roman" w:cstheme="minorHAnsi"/>
          <w:sz w:val="24"/>
          <w:szCs w:val="24"/>
          <w:lang w:eastAsia="en-GB"/>
        </w:rPr>
        <w:t xml:space="preserve"> or a member of the police, the matter should be referred to the Chair of</w:t>
      </w:r>
      <w:r>
        <w:rPr>
          <w:rFonts w:eastAsia="Times New Roman" w:cstheme="minorHAnsi"/>
          <w:sz w:val="24"/>
          <w:szCs w:val="24"/>
          <w:lang w:eastAsia="en-GB"/>
        </w:rPr>
        <w:t xml:space="preserve"> the</w:t>
      </w:r>
      <w:r w:rsidRPr="008D4896">
        <w:rPr>
          <w:rFonts w:eastAsia="Times New Roman" w:cstheme="minorHAnsi"/>
          <w:sz w:val="24"/>
          <w:szCs w:val="24"/>
          <w:lang w:eastAsia="en-GB"/>
        </w:rPr>
        <w:t xml:space="preserve"> </w:t>
      </w:r>
      <w:r>
        <w:rPr>
          <w:rFonts w:eastAsia="Times New Roman" w:cstheme="minorHAnsi"/>
          <w:sz w:val="24"/>
          <w:szCs w:val="24"/>
          <w:lang w:eastAsia="en-GB"/>
        </w:rPr>
        <w:t>L</w:t>
      </w:r>
      <w:r w:rsidRPr="008D4896">
        <w:rPr>
          <w:rFonts w:eastAsia="Times New Roman" w:cstheme="minorHAnsi"/>
          <w:sz w:val="24"/>
          <w:szCs w:val="24"/>
          <w:lang w:eastAsia="en-GB"/>
        </w:rPr>
        <w:t>ocal Safeguarding Children Partnership or in their absence, the Vice-Chair and a Senior Officer within the Police.</w:t>
      </w:r>
    </w:p>
    <w:p w14:paraId="55A5FA02" w14:textId="289E8215" w:rsidR="0011181E" w:rsidRDefault="0011181E" w:rsidP="0011181E">
      <w:pPr>
        <w:shd w:val="clear" w:color="auto" w:fill="FFFFFF"/>
        <w:spacing w:after="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Where there are allegations against individuals working with children, these should be reported to the </w:t>
      </w:r>
      <w:r>
        <w:rPr>
          <w:rFonts w:eastAsia="Times New Roman" w:cstheme="minorHAnsi"/>
          <w:sz w:val="24"/>
          <w:szCs w:val="24"/>
          <w:lang w:eastAsia="en-GB"/>
        </w:rPr>
        <w:t>S</w:t>
      </w:r>
      <w:r w:rsidRPr="008D4896">
        <w:rPr>
          <w:rFonts w:eastAsia="Times New Roman" w:cstheme="minorHAnsi"/>
          <w:sz w:val="24"/>
          <w:szCs w:val="24"/>
          <w:lang w:eastAsia="en-GB"/>
        </w:rPr>
        <w:t xml:space="preserve">enior </w:t>
      </w:r>
      <w:r>
        <w:rPr>
          <w:rFonts w:eastAsia="Times New Roman" w:cstheme="minorHAnsi"/>
          <w:sz w:val="24"/>
          <w:szCs w:val="24"/>
          <w:lang w:eastAsia="en-GB"/>
        </w:rPr>
        <w:t>M</w:t>
      </w:r>
      <w:r w:rsidRPr="008D4896">
        <w:rPr>
          <w:rFonts w:eastAsia="Times New Roman" w:cstheme="minorHAnsi"/>
          <w:sz w:val="24"/>
          <w:szCs w:val="24"/>
          <w:lang w:eastAsia="en-GB"/>
        </w:rPr>
        <w:t xml:space="preserve">anager identified in the agency's Allegations Against Staff </w:t>
      </w:r>
      <w:r w:rsidR="00E83AFC">
        <w:rPr>
          <w:rFonts w:eastAsia="Times New Roman" w:cstheme="minorHAnsi"/>
          <w:sz w:val="24"/>
          <w:szCs w:val="24"/>
          <w:lang w:eastAsia="en-GB"/>
        </w:rPr>
        <w:t xml:space="preserve">or Volunteers </w:t>
      </w:r>
      <w:r w:rsidRPr="008D4896">
        <w:rPr>
          <w:rFonts w:eastAsia="Times New Roman" w:cstheme="minorHAnsi"/>
          <w:sz w:val="24"/>
          <w:szCs w:val="24"/>
          <w:lang w:eastAsia="en-GB"/>
        </w:rPr>
        <w:t>procedure, unless that person is the subject of the allegation</w:t>
      </w:r>
      <w:r>
        <w:rPr>
          <w:rFonts w:eastAsia="Times New Roman" w:cstheme="minorHAnsi"/>
          <w:sz w:val="24"/>
          <w:szCs w:val="24"/>
          <w:lang w:eastAsia="en-GB"/>
        </w:rPr>
        <w:t>,</w:t>
      </w:r>
      <w:r w:rsidRPr="008D4896">
        <w:rPr>
          <w:rFonts w:eastAsia="Times New Roman" w:cstheme="minorHAnsi"/>
          <w:sz w:val="24"/>
          <w:szCs w:val="24"/>
          <w:lang w:eastAsia="en-GB"/>
        </w:rPr>
        <w:t xml:space="preserve"> in which case it should be reported to a designated alternative. The </w:t>
      </w:r>
      <w:r>
        <w:rPr>
          <w:rFonts w:eastAsia="Times New Roman" w:cstheme="minorHAnsi"/>
          <w:sz w:val="24"/>
          <w:szCs w:val="24"/>
          <w:lang w:eastAsia="en-GB"/>
        </w:rPr>
        <w:t>S</w:t>
      </w:r>
      <w:r w:rsidRPr="008D4896">
        <w:rPr>
          <w:rFonts w:eastAsia="Times New Roman" w:cstheme="minorHAnsi"/>
          <w:sz w:val="24"/>
          <w:szCs w:val="24"/>
          <w:lang w:eastAsia="en-GB"/>
        </w:rPr>
        <w:t xml:space="preserve">enior </w:t>
      </w:r>
      <w:r>
        <w:rPr>
          <w:rFonts w:eastAsia="Times New Roman" w:cstheme="minorHAnsi"/>
          <w:sz w:val="24"/>
          <w:szCs w:val="24"/>
          <w:lang w:eastAsia="en-GB"/>
        </w:rPr>
        <w:t>M</w:t>
      </w:r>
      <w:r w:rsidRPr="008D4896">
        <w:rPr>
          <w:rFonts w:eastAsia="Times New Roman" w:cstheme="minorHAnsi"/>
          <w:sz w:val="24"/>
          <w:szCs w:val="24"/>
          <w:lang w:eastAsia="en-GB"/>
        </w:rPr>
        <w:t>anager should ensure that any allegations are reported to the Local Authority Designated Officer</w:t>
      </w:r>
      <w:r>
        <w:rPr>
          <w:rFonts w:eastAsia="Times New Roman" w:cstheme="minorHAnsi"/>
          <w:sz w:val="24"/>
          <w:szCs w:val="24"/>
          <w:lang w:eastAsia="en-GB"/>
        </w:rPr>
        <w:t xml:space="preserve"> (LADO)</w:t>
      </w:r>
      <w:r w:rsidRPr="008D4896">
        <w:rPr>
          <w:rFonts w:eastAsia="Times New Roman" w:cstheme="minorHAnsi"/>
          <w:sz w:val="24"/>
          <w:szCs w:val="24"/>
          <w:lang w:eastAsia="en-GB"/>
        </w:rPr>
        <w:t xml:space="preserve">. </w:t>
      </w:r>
    </w:p>
    <w:p w14:paraId="5B74FD0F" w14:textId="77777777" w:rsidR="0011181E" w:rsidRDefault="0011181E" w:rsidP="0011181E">
      <w:pPr>
        <w:shd w:val="clear" w:color="auto" w:fill="FFFFFF"/>
        <w:spacing w:after="0" w:line="240" w:lineRule="auto"/>
        <w:jc w:val="both"/>
        <w:rPr>
          <w:rFonts w:eastAsia="Times New Roman" w:cstheme="minorHAnsi"/>
          <w:sz w:val="24"/>
          <w:szCs w:val="24"/>
          <w:lang w:eastAsia="en-GB"/>
        </w:rPr>
      </w:pPr>
    </w:p>
    <w:p w14:paraId="730D2A98"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lastRenderedPageBreak/>
        <w:t>5. The Strategy Meeting</w:t>
      </w:r>
    </w:p>
    <w:p w14:paraId="5B280E37" w14:textId="76F77248" w:rsidR="0011181E"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A Strategy Meeting should be arranged to take place </w:t>
      </w:r>
      <w:r w:rsidR="004C2D93">
        <w:rPr>
          <w:rFonts w:eastAsia="Times New Roman" w:cstheme="minorHAnsi"/>
          <w:sz w:val="24"/>
          <w:szCs w:val="24"/>
          <w:lang w:eastAsia="en-GB"/>
        </w:rPr>
        <w:t xml:space="preserve">as a matter of urgency </w:t>
      </w:r>
      <w:r w:rsidR="007C4AE7">
        <w:rPr>
          <w:rFonts w:eastAsia="Times New Roman" w:cstheme="minorHAnsi"/>
          <w:sz w:val="24"/>
          <w:szCs w:val="24"/>
          <w:lang w:eastAsia="en-GB"/>
        </w:rPr>
        <w:t>within one working day to</w:t>
      </w:r>
      <w:r w:rsidRPr="008D4896">
        <w:rPr>
          <w:rFonts w:eastAsia="Times New Roman" w:cstheme="minorHAnsi"/>
          <w:sz w:val="24"/>
          <w:szCs w:val="24"/>
          <w:lang w:eastAsia="en-GB"/>
        </w:rPr>
        <w:t xml:space="preserve"> assess the need for future action to be taken and, in particular, whether a criminal investigation should take place.</w:t>
      </w:r>
    </w:p>
    <w:p w14:paraId="2AB63DB5"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Pr>
          <w:rFonts w:eastAsia="Times New Roman" w:cstheme="minorHAnsi"/>
          <w:sz w:val="24"/>
          <w:szCs w:val="24"/>
          <w:lang w:eastAsia="en-GB"/>
        </w:rPr>
        <w:t xml:space="preserve">The request for the Strategy Meeting should be put in writing to the Head of Safeguarding using </w:t>
      </w:r>
      <w:r w:rsidRPr="009A0253">
        <w:rPr>
          <w:rFonts w:eastAsia="Times New Roman" w:cstheme="minorHAnsi"/>
          <w:sz w:val="24"/>
          <w:szCs w:val="24"/>
          <w:lang w:eastAsia="en-GB"/>
        </w:rPr>
        <w:t xml:space="preserve">the </w:t>
      </w:r>
      <w:r>
        <w:rPr>
          <w:rFonts w:eastAsia="Times New Roman" w:cstheme="minorHAnsi"/>
          <w:b/>
          <w:bCs/>
          <w:sz w:val="24"/>
          <w:szCs w:val="24"/>
          <w:lang w:eastAsia="en-GB"/>
        </w:rPr>
        <w:t>Complex Strategy Meeting – Referral Request</w:t>
      </w:r>
      <w:r w:rsidRPr="009A0253">
        <w:rPr>
          <w:rFonts w:eastAsia="Times New Roman" w:cstheme="minorHAnsi"/>
          <w:sz w:val="24"/>
          <w:szCs w:val="24"/>
          <w:lang w:eastAsia="en-GB"/>
        </w:rPr>
        <w:t>, clearly</w:t>
      </w:r>
      <w:r>
        <w:rPr>
          <w:rFonts w:eastAsia="Times New Roman" w:cstheme="minorHAnsi"/>
          <w:sz w:val="24"/>
          <w:szCs w:val="24"/>
          <w:lang w:eastAsia="en-GB"/>
        </w:rPr>
        <w:t xml:space="preserve"> providing an outline of the situation and the risks, along with an outline chronology, genogram, and mapping of the victims and suspected abusers. </w:t>
      </w:r>
    </w:p>
    <w:p w14:paraId="2C6A078C" w14:textId="77777777" w:rsidR="0011181E" w:rsidRPr="00521530" w:rsidRDefault="0011181E" w:rsidP="0011181E">
      <w:pPr>
        <w:shd w:val="clear" w:color="auto" w:fill="FFFFFF"/>
        <w:spacing w:after="300" w:line="240" w:lineRule="auto"/>
        <w:jc w:val="both"/>
        <w:rPr>
          <w:rFonts w:eastAsia="Times New Roman" w:cstheme="minorHAnsi"/>
          <w:sz w:val="24"/>
          <w:szCs w:val="24"/>
          <w:lang w:eastAsia="en-GB"/>
        </w:rPr>
      </w:pPr>
      <w:r w:rsidRPr="00FB668F">
        <w:rPr>
          <w:rFonts w:eastAsia="Times New Roman" w:cstheme="minorHAnsi"/>
          <w:sz w:val="24"/>
          <w:szCs w:val="24"/>
          <w:lang w:eastAsia="en-GB"/>
        </w:rPr>
        <w:t>The Strategy Meeting, chaired by the Head of Safeguarding, must take place as soon as possible and no later than five working days of the receipt of the referral, and be formally recorded.</w:t>
      </w:r>
      <w:r w:rsidRPr="00521530">
        <w:rPr>
          <w:rFonts w:eastAsia="Times New Roman" w:cstheme="minorHAnsi"/>
          <w:sz w:val="24"/>
          <w:szCs w:val="24"/>
          <w:lang w:eastAsia="en-GB"/>
        </w:rPr>
        <w:t xml:space="preserve"> T</w:t>
      </w:r>
      <w:r w:rsidRPr="008D4896">
        <w:rPr>
          <w:rFonts w:eastAsia="Times New Roman" w:cstheme="minorHAnsi"/>
          <w:sz w:val="24"/>
          <w:szCs w:val="24"/>
          <w:lang w:eastAsia="en-GB"/>
        </w:rPr>
        <w:t>he Safeguarding Children Partnership Business Manager must be informed and will inform the Independent Chair of the LSCP.</w:t>
      </w:r>
    </w:p>
    <w:p w14:paraId="7AB04193" w14:textId="77777777" w:rsidR="0011181E" w:rsidRPr="00521530" w:rsidRDefault="0011181E" w:rsidP="0011181E">
      <w:pPr>
        <w:shd w:val="clear" w:color="auto" w:fill="FFFFFF"/>
        <w:spacing w:after="0"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nominated senior staff of Children's Services and the Police should attend the meeting. The meeting will involve senior staff from Health, Education and other agencies as required and, where necessary, must ensure coordination across local authority boundaries.</w:t>
      </w:r>
    </w:p>
    <w:p w14:paraId="56D09BB0" w14:textId="77777777" w:rsidR="0011181E" w:rsidRPr="008D4896" w:rsidRDefault="0011181E" w:rsidP="0011181E">
      <w:pPr>
        <w:shd w:val="clear" w:color="auto" w:fill="FFFFFF"/>
        <w:spacing w:after="0" w:line="240" w:lineRule="auto"/>
        <w:jc w:val="both"/>
        <w:rPr>
          <w:rFonts w:eastAsia="Times New Roman" w:cstheme="minorHAnsi"/>
          <w:sz w:val="24"/>
          <w:szCs w:val="24"/>
          <w:lang w:eastAsia="en-GB"/>
        </w:rPr>
      </w:pPr>
    </w:p>
    <w:p w14:paraId="1BF18F5F"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The Strategy </w:t>
      </w:r>
      <w:r w:rsidRPr="00521530">
        <w:rPr>
          <w:rFonts w:eastAsia="Times New Roman" w:cstheme="minorHAnsi"/>
          <w:sz w:val="24"/>
          <w:szCs w:val="24"/>
          <w:lang w:eastAsia="en-GB"/>
        </w:rPr>
        <w:t>Meeting</w:t>
      </w:r>
      <w:r w:rsidRPr="008D4896">
        <w:rPr>
          <w:rFonts w:eastAsia="Times New Roman" w:cstheme="minorHAnsi"/>
          <w:sz w:val="24"/>
          <w:szCs w:val="24"/>
          <w:lang w:eastAsia="en-GB"/>
        </w:rPr>
        <w:t xml:space="preserve"> must carefully note:</w:t>
      </w:r>
    </w:p>
    <w:p w14:paraId="1D160096" w14:textId="77777777" w:rsidR="0011181E" w:rsidRPr="008D4896"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An assessment of the information known to date:</w:t>
      </w:r>
    </w:p>
    <w:p w14:paraId="7021427F" w14:textId="77777777" w:rsidR="0011181E" w:rsidRPr="008D4896"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children named</w:t>
      </w:r>
      <w:r>
        <w:rPr>
          <w:rFonts w:eastAsia="Times New Roman" w:cstheme="minorHAnsi"/>
          <w:sz w:val="24"/>
          <w:szCs w:val="24"/>
          <w:lang w:eastAsia="en-GB"/>
        </w:rPr>
        <w:t>.</w:t>
      </w:r>
    </w:p>
    <w:p w14:paraId="4700F155" w14:textId="77777777" w:rsidR="0011181E" w:rsidRPr="008D4896"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children who may be in current contact with possible abusers</w:t>
      </w:r>
      <w:r>
        <w:rPr>
          <w:rFonts w:eastAsia="Times New Roman" w:cstheme="minorHAnsi"/>
          <w:sz w:val="24"/>
          <w:szCs w:val="24"/>
          <w:lang w:eastAsia="en-GB"/>
        </w:rPr>
        <w:t>.</w:t>
      </w:r>
    </w:p>
    <w:p w14:paraId="0A3712A3" w14:textId="77777777" w:rsidR="0011181E" w:rsidRPr="008D4896"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Children who were, but no longer are, in contact with possible abusers</w:t>
      </w:r>
      <w:r>
        <w:rPr>
          <w:rFonts w:eastAsia="Times New Roman" w:cstheme="minorHAnsi"/>
          <w:sz w:val="24"/>
          <w:szCs w:val="24"/>
          <w:lang w:eastAsia="en-GB"/>
        </w:rPr>
        <w:t>.</w:t>
      </w:r>
    </w:p>
    <w:p w14:paraId="7DD2B900"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Possible victims who are now adults</w:t>
      </w:r>
      <w:r>
        <w:rPr>
          <w:rFonts w:eastAsia="Times New Roman" w:cstheme="minorHAnsi"/>
          <w:sz w:val="24"/>
          <w:szCs w:val="24"/>
          <w:lang w:eastAsia="en-GB"/>
        </w:rPr>
        <w:t>.</w:t>
      </w:r>
    </w:p>
    <w:p w14:paraId="18102146"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Any information stemming from a Return Home Interview</w:t>
      </w:r>
      <w:r>
        <w:rPr>
          <w:rFonts w:eastAsia="Times New Roman" w:cstheme="minorHAnsi"/>
          <w:sz w:val="24"/>
          <w:szCs w:val="24"/>
          <w:lang w:eastAsia="en-GB"/>
        </w:rPr>
        <w:t>.</w:t>
      </w:r>
    </w:p>
    <w:p w14:paraId="3DD9400A"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Reference to the Exploitation Screening Tool</w:t>
      </w:r>
      <w:r>
        <w:rPr>
          <w:rFonts w:eastAsia="Times New Roman" w:cstheme="minorHAnsi"/>
          <w:sz w:val="24"/>
          <w:szCs w:val="24"/>
          <w:lang w:eastAsia="en-GB"/>
        </w:rPr>
        <w:t>.</w:t>
      </w:r>
    </w:p>
    <w:p w14:paraId="527A8FA8" w14:textId="77777777" w:rsidR="0011181E" w:rsidRPr="00521530" w:rsidRDefault="0011181E" w:rsidP="0011181E">
      <w:pPr>
        <w:pStyle w:val="ListParagraph"/>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Social media sites or activity of concern</w:t>
      </w:r>
      <w:r>
        <w:rPr>
          <w:rFonts w:eastAsia="Times New Roman" w:cstheme="minorHAnsi"/>
          <w:sz w:val="24"/>
          <w:szCs w:val="24"/>
          <w:lang w:eastAsia="en-GB"/>
        </w:rPr>
        <w:t>.</w:t>
      </w:r>
    </w:p>
    <w:p w14:paraId="42E5F992" w14:textId="77777777" w:rsidR="0011181E" w:rsidRPr="00521530"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Any Police intelligence</w:t>
      </w:r>
      <w:r>
        <w:rPr>
          <w:rFonts w:eastAsia="Times New Roman" w:cstheme="minorHAnsi"/>
          <w:sz w:val="24"/>
          <w:szCs w:val="24"/>
          <w:lang w:eastAsia="en-GB"/>
        </w:rPr>
        <w:t>.</w:t>
      </w:r>
    </w:p>
    <w:p w14:paraId="0BA43234" w14:textId="77777777" w:rsidR="0011181E" w:rsidRPr="008D4896"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Decide what further information is required at this stage</w:t>
      </w:r>
      <w:r>
        <w:rPr>
          <w:rFonts w:eastAsia="Times New Roman" w:cstheme="minorHAnsi"/>
          <w:sz w:val="24"/>
          <w:szCs w:val="24"/>
          <w:lang w:eastAsia="en-GB"/>
        </w:rPr>
        <w:t>.</w:t>
      </w:r>
    </w:p>
    <w:p w14:paraId="3526B867" w14:textId="77777777" w:rsidR="0011181E" w:rsidRPr="008D4896"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Arrange for its gathering</w:t>
      </w:r>
      <w:r>
        <w:rPr>
          <w:rFonts w:eastAsia="Times New Roman" w:cstheme="minorHAnsi"/>
          <w:sz w:val="24"/>
          <w:szCs w:val="24"/>
          <w:lang w:eastAsia="en-GB"/>
        </w:rPr>
        <w:t>.</w:t>
      </w:r>
    </w:p>
    <w:p w14:paraId="297D1425" w14:textId="77777777" w:rsidR="0011181E" w:rsidRPr="008D4896"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Establish if / to what extent complex abuse has been uncovered</w:t>
      </w:r>
      <w:r>
        <w:rPr>
          <w:rFonts w:eastAsia="Times New Roman" w:cstheme="minorHAnsi"/>
          <w:sz w:val="24"/>
          <w:szCs w:val="24"/>
          <w:lang w:eastAsia="en-GB"/>
        </w:rPr>
        <w:t>.</w:t>
      </w:r>
    </w:p>
    <w:p w14:paraId="3E7AA948" w14:textId="77777777" w:rsidR="0011181E" w:rsidRPr="00521530"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Undertake an initial mapping exercise </w:t>
      </w:r>
      <w:r w:rsidRPr="00D92B71">
        <w:rPr>
          <w:rFonts w:eastAsia="Times New Roman" w:cstheme="minorHAnsi"/>
          <w:sz w:val="24"/>
          <w:szCs w:val="24"/>
          <w:lang w:eastAsia="en-GB"/>
        </w:rPr>
        <w:t>(series of genograms, a grid setting out t</w:t>
      </w:r>
      <w:r w:rsidRPr="00D92B71">
        <w:rPr>
          <w:sz w:val="24"/>
          <w:szCs w:val="24"/>
        </w:rPr>
        <w:t xml:space="preserve">he associations between children and adults, locations and concerns) </w:t>
      </w:r>
      <w:r w:rsidRPr="008D4896">
        <w:rPr>
          <w:rFonts w:eastAsia="Times New Roman" w:cstheme="minorHAnsi"/>
          <w:sz w:val="24"/>
          <w:szCs w:val="24"/>
          <w:lang w:eastAsia="en-GB"/>
        </w:rPr>
        <w:t>to determine the scale of the investigation and possible individuals implicated</w:t>
      </w:r>
      <w:r w:rsidRPr="00521530">
        <w:rPr>
          <w:rFonts w:eastAsia="Times New Roman" w:cstheme="minorHAnsi"/>
          <w:sz w:val="24"/>
          <w:szCs w:val="24"/>
          <w:lang w:eastAsia="en-GB"/>
        </w:rPr>
        <w:t>, including:</w:t>
      </w:r>
    </w:p>
    <w:p w14:paraId="02BD00D5"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Peers (negative or positive)</w:t>
      </w:r>
      <w:r>
        <w:rPr>
          <w:rFonts w:eastAsia="Times New Roman" w:cstheme="minorHAnsi"/>
          <w:sz w:val="24"/>
          <w:szCs w:val="24"/>
          <w:lang w:eastAsia="en-GB"/>
        </w:rPr>
        <w:t>.</w:t>
      </w:r>
    </w:p>
    <w:p w14:paraId="27D59E68"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Mapping in terms of locations, buildings, safe spaces</w:t>
      </w:r>
      <w:r>
        <w:rPr>
          <w:rFonts w:eastAsia="Times New Roman" w:cstheme="minorHAnsi"/>
          <w:sz w:val="24"/>
          <w:szCs w:val="24"/>
          <w:lang w:eastAsia="en-GB"/>
        </w:rPr>
        <w:t>.</w:t>
      </w:r>
    </w:p>
    <w:p w14:paraId="492ACA02" w14:textId="77777777" w:rsidR="0011181E" w:rsidRPr="008D4896"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Mapping of children not in education, linked through managed moves and alternative provisions</w:t>
      </w:r>
      <w:r>
        <w:rPr>
          <w:rFonts w:eastAsia="Times New Roman" w:cstheme="minorHAnsi"/>
          <w:sz w:val="24"/>
          <w:szCs w:val="24"/>
          <w:lang w:eastAsia="en-GB"/>
        </w:rPr>
        <w:t>.</w:t>
      </w:r>
    </w:p>
    <w:p w14:paraId="0994917C" w14:textId="77777777" w:rsidR="0011181E" w:rsidRPr="008D4896"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Prepare</w:t>
      </w:r>
      <w:r>
        <w:rPr>
          <w:rFonts w:eastAsia="Times New Roman" w:cstheme="minorHAnsi"/>
          <w:sz w:val="24"/>
          <w:szCs w:val="24"/>
          <w:lang w:eastAsia="en-GB"/>
        </w:rPr>
        <w:t>:</w:t>
      </w:r>
    </w:p>
    <w:p w14:paraId="239E04F6" w14:textId="77777777" w:rsidR="0011181E" w:rsidRPr="008D4896"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lastRenderedPageBreak/>
        <w:t>Witnesses to be interviewed prior to the interviews of children</w:t>
      </w:r>
      <w:r>
        <w:rPr>
          <w:rFonts w:eastAsia="Times New Roman" w:cstheme="minorHAnsi"/>
          <w:sz w:val="24"/>
          <w:szCs w:val="24"/>
          <w:lang w:eastAsia="en-GB"/>
        </w:rPr>
        <w:t>.</w:t>
      </w:r>
    </w:p>
    <w:p w14:paraId="00310CB7" w14:textId="77777777" w:rsidR="0011181E" w:rsidRPr="008D4896"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Multiple and simultaneous interviews</w:t>
      </w:r>
      <w:r>
        <w:rPr>
          <w:rFonts w:eastAsia="Times New Roman" w:cstheme="minorHAnsi"/>
          <w:sz w:val="24"/>
          <w:szCs w:val="24"/>
          <w:lang w:eastAsia="en-GB"/>
        </w:rPr>
        <w:t>.</w:t>
      </w:r>
    </w:p>
    <w:p w14:paraId="74C1768F" w14:textId="77777777" w:rsidR="0011181E" w:rsidRPr="00521530"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Consider a plan including resource implications</w:t>
      </w:r>
      <w:r w:rsidRPr="00521530">
        <w:rPr>
          <w:rFonts w:eastAsia="Times New Roman" w:cstheme="minorHAnsi"/>
          <w:sz w:val="24"/>
          <w:szCs w:val="24"/>
          <w:lang w:eastAsia="en-GB"/>
        </w:rPr>
        <w:t>. The plan should include</w:t>
      </w:r>
      <w:r>
        <w:rPr>
          <w:rFonts w:eastAsia="Times New Roman" w:cstheme="minorHAnsi"/>
          <w:sz w:val="24"/>
          <w:szCs w:val="24"/>
          <w:lang w:eastAsia="en-GB"/>
        </w:rPr>
        <w:t>:</w:t>
      </w:r>
    </w:p>
    <w:p w14:paraId="3CEE40FD"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Diversion tactics to disrupt the perpetrators and who is taking what action and by when (eg. any relevant Orders to be served on perpetrators, or where licensed operations are involved, suspension of licenses or contracts pending further enquiries)</w:t>
      </w:r>
      <w:r>
        <w:rPr>
          <w:rFonts w:eastAsia="Times New Roman" w:cstheme="minorHAnsi"/>
          <w:sz w:val="24"/>
          <w:szCs w:val="24"/>
          <w:lang w:eastAsia="en-GB"/>
        </w:rPr>
        <w:t>.</w:t>
      </w:r>
    </w:p>
    <w:p w14:paraId="1B400780"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Intervention and support that focuses on addressing wider environmental factors</w:t>
      </w:r>
      <w:r>
        <w:rPr>
          <w:rFonts w:eastAsia="Times New Roman" w:cstheme="minorHAnsi"/>
          <w:sz w:val="24"/>
          <w:szCs w:val="24"/>
          <w:lang w:eastAsia="en-GB"/>
        </w:rPr>
        <w:t>.</w:t>
      </w:r>
    </w:p>
    <w:p w14:paraId="026C67F6"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Implementation of any safeguarding measures</w:t>
      </w:r>
      <w:r>
        <w:rPr>
          <w:rFonts w:eastAsia="Times New Roman" w:cstheme="minorHAnsi"/>
          <w:sz w:val="24"/>
          <w:szCs w:val="24"/>
          <w:lang w:eastAsia="en-GB"/>
        </w:rPr>
        <w:t>.</w:t>
      </w:r>
    </w:p>
    <w:p w14:paraId="13DCED29"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Whether any media alerts are required</w:t>
      </w:r>
      <w:r>
        <w:rPr>
          <w:rFonts w:eastAsia="Times New Roman" w:cstheme="minorHAnsi"/>
          <w:sz w:val="24"/>
          <w:szCs w:val="24"/>
          <w:lang w:eastAsia="en-GB"/>
        </w:rPr>
        <w:t>.</w:t>
      </w:r>
    </w:p>
    <w:p w14:paraId="1D82F87E" w14:textId="77777777" w:rsidR="0011181E" w:rsidRPr="00521530" w:rsidRDefault="0011181E" w:rsidP="0011181E">
      <w:pPr>
        <w:numPr>
          <w:ilvl w:val="1"/>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Any individual assessments and / or commencement of Section 47 investigations</w:t>
      </w:r>
      <w:r>
        <w:rPr>
          <w:rFonts w:eastAsia="Times New Roman" w:cstheme="minorHAnsi"/>
          <w:sz w:val="24"/>
          <w:szCs w:val="24"/>
          <w:lang w:eastAsia="en-GB"/>
        </w:rPr>
        <w:t>, with outcomes being reported to subsequent Strategy Meetings.</w:t>
      </w:r>
    </w:p>
    <w:p w14:paraId="4483C5E7" w14:textId="77777777" w:rsidR="0011181E" w:rsidRPr="00521530"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Consider any immediate protective action required</w:t>
      </w:r>
      <w:r w:rsidRPr="00521530">
        <w:rPr>
          <w:rFonts w:eastAsia="Times New Roman" w:cstheme="minorHAnsi"/>
          <w:sz w:val="24"/>
          <w:szCs w:val="24"/>
          <w:lang w:eastAsia="en-GB"/>
        </w:rPr>
        <w:t xml:space="preserve"> (reference application to the National Referral Mechanism)</w:t>
      </w:r>
      <w:r>
        <w:rPr>
          <w:rFonts w:eastAsia="Times New Roman" w:cstheme="minorHAnsi"/>
          <w:sz w:val="24"/>
          <w:szCs w:val="24"/>
          <w:lang w:eastAsia="en-GB"/>
        </w:rPr>
        <w:t>.</w:t>
      </w:r>
    </w:p>
    <w:p w14:paraId="0E4BF761" w14:textId="77777777" w:rsidR="0011181E" w:rsidRPr="00521530" w:rsidRDefault="0011181E" w:rsidP="0011181E">
      <w:pPr>
        <w:numPr>
          <w:ilvl w:val="0"/>
          <w:numId w:val="7"/>
        </w:numPr>
        <w:shd w:val="clear" w:color="auto" w:fill="FFFFFF"/>
        <w:spacing w:before="100" w:beforeAutospacing="1" w:after="100" w:afterAutospacing="1" w:line="240" w:lineRule="auto"/>
        <w:jc w:val="both"/>
        <w:rPr>
          <w:rFonts w:eastAsia="Times New Roman" w:cstheme="minorHAnsi"/>
          <w:sz w:val="24"/>
          <w:szCs w:val="24"/>
          <w:lang w:eastAsia="en-GB"/>
        </w:rPr>
      </w:pPr>
      <w:r w:rsidRPr="00521530">
        <w:rPr>
          <w:rFonts w:eastAsia="Times New Roman" w:cstheme="minorHAnsi"/>
          <w:sz w:val="24"/>
          <w:szCs w:val="24"/>
          <w:lang w:eastAsia="en-GB"/>
        </w:rPr>
        <w:t>Identify any Police action that may be taken</w:t>
      </w:r>
      <w:r>
        <w:rPr>
          <w:rFonts w:eastAsia="Times New Roman" w:cstheme="minorHAnsi"/>
          <w:sz w:val="24"/>
          <w:szCs w:val="24"/>
          <w:lang w:eastAsia="en-GB"/>
        </w:rPr>
        <w:t>.</w:t>
      </w:r>
    </w:p>
    <w:p w14:paraId="135DEA28" w14:textId="77777777" w:rsidR="0011181E" w:rsidRPr="00521530" w:rsidRDefault="0011181E" w:rsidP="0011181E">
      <w:pPr>
        <w:shd w:val="clear" w:color="auto" w:fill="FFFFFF"/>
        <w:spacing w:after="300" w:line="240" w:lineRule="auto"/>
        <w:jc w:val="both"/>
        <w:rPr>
          <w:rFonts w:eastAsia="Times New Roman" w:cstheme="minorHAnsi"/>
          <w:sz w:val="24"/>
          <w:szCs w:val="24"/>
          <w:lang w:eastAsia="en-GB"/>
        </w:rPr>
      </w:pPr>
      <w:r w:rsidRPr="00521530">
        <w:rPr>
          <w:rFonts w:eastAsia="Times New Roman" w:cstheme="minorHAnsi"/>
          <w:sz w:val="24"/>
          <w:szCs w:val="24"/>
          <w:lang w:eastAsia="en-GB"/>
        </w:rPr>
        <w:t xml:space="preserve">Where the Strategy Meeting confirms that the investigation will relate to complex and organised abuse, it will appoint a multi-agency </w:t>
      </w:r>
      <w:r w:rsidRPr="0025001A">
        <w:rPr>
          <w:rFonts w:eastAsia="Times New Roman" w:cstheme="minorHAnsi"/>
          <w:sz w:val="24"/>
          <w:szCs w:val="24"/>
          <w:lang w:eastAsia="en-GB"/>
        </w:rPr>
        <w:t>Strategic Management Group</w:t>
      </w:r>
      <w:r w:rsidRPr="002D7B13">
        <w:rPr>
          <w:rFonts w:eastAsia="Times New Roman" w:cstheme="minorHAnsi"/>
          <w:sz w:val="24"/>
          <w:szCs w:val="24"/>
          <w:lang w:eastAsia="en-GB"/>
        </w:rPr>
        <w:t xml:space="preserve"> to</w:t>
      </w:r>
      <w:r w:rsidRPr="00521530">
        <w:rPr>
          <w:rFonts w:eastAsia="Times New Roman" w:cstheme="minorHAnsi"/>
          <w:sz w:val="24"/>
          <w:szCs w:val="24"/>
          <w:lang w:eastAsia="en-GB"/>
        </w:rPr>
        <w:t xml:space="preserve"> oversee the process.</w:t>
      </w:r>
    </w:p>
    <w:p w14:paraId="14ECB090" w14:textId="77777777" w:rsidR="0011181E" w:rsidRPr="00521530" w:rsidRDefault="0011181E" w:rsidP="0011181E">
      <w:pPr>
        <w:shd w:val="clear" w:color="auto" w:fill="FFFFFF"/>
        <w:spacing w:after="300" w:line="240" w:lineRule="auto"/>
        <w:jc w:val="both"/>
        <w:rPr>
          <w:rFonts w:eastAsia="Times New Roman" w:cstheme="minorHAnsi"/>
          <w:sz w:val="24"/>
          <w:szCs w:val="24"/>
          <w:lang w:eastAsia="en-GB"/>
        </w:rPr>
      </w:pPr>
      <w:r w:rsidRPr="00521530">
        <w:rPr>
          <w:rFonts w:eastAsia="Times New Roman" w:cstheme="minorHAnsi"/>
          <w:sz w:val="24"/>
          <w:szCs w:val="24"/>
          <w:lang w:eastAsia="en-GB"/>
        </w:rPr>
        <w:t>Where a member of staff of any agency is implicated in the investigation, his or her line manager must not be a member of the Strategic Management Group.</w:t>
      </w:r>
    </w:p>
    <w:p w14:paraId="573E4859"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t>6. Confidentiality</w:t>
      </w:r>
    </w:p>
    <w:p w14:paraId="0B6A557A" w14:textId="77777777" w:rsidR="0011181E" w:rsidRPr="00DB16C8" w:rsidRDefault="0011181E" w:rsidP="0011181E">
      <w:pPr>
        <w:shd w:val="clear" w:color="auto" w:fill="FFFFFF"/>
        <w:spacing w:before="100" w:beforeAutospacing="1" w:after="100" w:afterAutospacing="1" w:line="240" w:lineRule="auto"/>
        <w:jc w:val="both"/>
        <w:rPr>
          <w:sz w:val="24"/>
          <w:szCs w:val="24"/>
        </w:rPr>
      </w:pPr>
      <w:r w:rsidRPr="00DB16C8">
        <w:rPr>
          <w:sz w:val="24"/>
          <w:szCs w:val="24"/>
        </w:rPr>
        <w:t xml:space="preserve">All information shared within the meeting must remain confidential. Should any information need to be shared outside of the meeting, this should not be shared without the prior consent of the sharing agency. </w:t>
      </w:r>
    </w:p>
    <w:p w14:paraId="095DE651"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t>7. Recording</w:t>
      </w:r>
    </w:p>
    <w:p w14:paraId="72595F5B" w14:textId="77777777" w:rsidR="0011181E" w:rsidRPr="00DB16C8" w:rsidRDefault="0011181E" w:rsidP="0011181E">
      <w:pPr>
        <w:shd w:val="clear" w:color="auto" w:fill="FFFFFF"/>
        <w:spacing w:before="100" w:beforeAutospacing="1" w:after="100" w:afterAutospacing="1" w:line="240" w:lineRule="auto"/>
        <w:jc w:val="both"/>
        <w:rPr>
          <w:sz w:val="24"/>
          <w:szCs w:val="24"/>
        </w:rPr>
      </w:pPr>
      <w:r w:rsidRPr="00DB16C8">
        <w:rPr>
          <w:sz w:val="24"/>
          <w:szCs w:val="24"/>
        </w:rPr>
        <w:t>A designated Business Support Officer must be appointed to assist the Chair</w:t>
      </w:r>
      <w:r>
        <w:rPr>
          <w:sz w:val="24"/>
          <w:szCs w:val="24"/>
        </w:rPr>
        <w:t xml:space="preserve"> of the Strategy Meeting.</w:t>
      </w:r>
    </w:p>
    <w:p w14:paraId="69AC0D28" w14:textId="77777777" w:rsidR="0011181E" w:rsidRPr="00DB16C8" w:rsidRDefault="0011181E" w:rsidP="0011181E">
      <w:pPr>
        <w:shd w:val="clear" w:color="auto" w:fill="FFFFFF"/>
        <w:spacing w:before="100" w:beforeAutospacing="1" w:after="100" w:afterAutospacing="1" w:line="240" w:lineRule="auto"/>
        <w:jc w:val="both"/>
        <w:rPr>
          <w:sz w:val="24"/>
          <w:szCs w:val="24"/>
        </w:rPr>
      </w:pPr>
      <w:r w:rsidRPr="00DB16C8">
        <w:rPr>
          <w:sz w:val="24"/>
          <w:szCs w:val="24"/>
        </w:rPr>
        <w:t xml:space="preserve">All information needs to be recorded directly on the child’s record in Liquid Logic on the Strategy Discussion Form, and any reports or additional information uploaded. </w:t>
      </w:r>
    </w:p>
    <w:p w14:paraId="0881B557" w14:textId="77777777" w:rsidR="0011181E" w:rsidRPr="00DB16C8" w:rsidRDefault="0011181E" w:rsidP="0011181E">
      <w:pPr>
        <w:shd w:val="clear" w:color="auto" w:fill="FFFFFF"/>
        <w:spacing w:before="100" w:beforeAutospacing="1" w:after="100" w:afterAutospacing="1" w:line="240" w:lineRule="auto"/>
        <w:jc w:val="both"/>
        <w:rPr>
          <w:sz w:val="24"/>
          <w:szCs w:val="24"/>
        </w:rPr>
      </w:pPr>
      <w:r w:rsidRPr="00DB16C8">
        <w:rPr>
          <w:sz w:val="24"/>
          <w:szCs w:val="24"/>
        </w:rPr>
        <w:t xml:space="preserve">Where there are multiple children discussed, please ensure that the ID numbers of the children linked are noted within the Strategy </w:t>
      </w:r>
      <w:r>
        <w:rPr>
          <w:sz w:val="24"/>
          <w:szCs w:val="24"/>
        </w:rPr>
        <w:t xml:space="preserve">Meeting. </w:t>
      </w:r>
      <w:r w:rsidRPr="00DB16C8">
        <w:rPr>
          <w:sz w:val="24"/>
          <w:szCs w:val="24"/>
        </w:rPr>
        <w:t xml:space="preserve"> </w:t>
      </w:r>
    </w:p>
    <w:p w14:paraId="73167D1B" w14:textId="7BBF4A0E" w:rsidR="0011181E" w:rsidRDefault="0011181E" w:rsidP="0011181E">
      <w:pPr>
        <w:shd w:val="clear" w:color="auto" w:fill="FFFFFF"/>
        <w:spacing w:before="100" w:beforeAutospacing="1" w:after="100" w:afterAutospacing="1" w:line="240" w:lineRule="auto"/>
        <w:jc w:val="both"/>
        <w:rPr>
          <w:sz w:val="24"/>
          <w:szCs w:val="24"/>
        </w:rPr>
      </w:pPr>
      <w:r w:rsidRPr="00DB16C8">
        <w:rPr>
          <w:sz w:val="24"/>
          <w:szCs w:val="24"/>
        </w:rPr>
        <w:t xml:space="preserve">Minutes of the </w:t>
      </w:r>
      <w:r>
        <w:rPr>
          <w:sz w:val="24"/>
          <w:szCs w:val="24"/>
        </w:rPr>
        <w:t>Meeting</w:t>
      </w:r>
      <w:r w:rsidRPr="00DB16C8">
        <w:rPr>
          <w:sz w:val="24"/>
          <w:szCs w:val="24"/>
        </w:rPr>
        <w:t xml:space="preserve"> should be shared with all attendees within 24 hours where possible. </w:t>
      </w:r>
    </w:p>
    <w:p w14:paraId="7489016E" w14:textId="4708CD06" w:rsidR="00780E61" w:rsidRDefault="00780E61" w:rsidP="0011181E">
      <w:pPr>
        <w:shd w:val="clear" w:color="auto" w:fill="FFFFFF"/>
        <w:spacing w:before="100" w:beforeAutospacing="1" w:after="100" w:afterAutospacing="1" w:line="240" w:lineRule="auto"/>
        <w:jc w:val="both"/>
        <w:rPr>
          <w:sz w:val="24"/>
          <w:szCs w:val="24"/>
        </w:rPr>
      </w:pPr>
    </w:p>
    <w:p w14:paraId="37AE46F5" w14:textId="77777777" w:rsidR="00780E61" w:rsidRDefault="00780E61" w:rsidP="0011181E">
      <w:pPr>
        <w:shd w:val="clear" w:color="auto" w:fill="FFFFFF"/>
        <w:spacing w:before="100" w:beforeAutospacing="1" w:after="100" w:afterAutospacing="1" w:line="240" w:lineRule="auto"/>
        <w:jc w:val="both"/>
        <w:rPr>
          <w:sz w:val="24"/>
          <w:szCs w:val="24"/>
        </w:rPr>
      </w:pPr>
    </w:p>
    <w:p w14:paraId="40CA5EFB"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lastRenderedPageBreak/>
        <w:t>6. The Strategic Management Group</w:t>
      </w:r>
    </w:p>
    <w:p w14:paraId="2EAAABDC"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Strategic Management Group will be chaired by a senior officer in Children's Social Care Services and will:</w:t>
      </w:r>
    </w:p>
    <w:p w14:paraId="648FE73E"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Complete the mapping process started by the Strategy Discussion</w:t>
      </w:r>
      <w:r>
        <w:rPr>
          <w:rFonts w:eastAsia="Times New Roman" w:cstheme="minorHAnsi"/>
          <w:sz w:val="24"/>
          <w:szCs w:val="24"/>
          <w:lang w:eastAsia="en-GB"/>
        </w:rPr>
        <w:t>.</w:t>
      </w:r>
    </w:p>
    <w:p w14:paraId="7FA72AEF"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Specify the terms of reference for the enquiry/investigation</w:t>
      </w:r>
      <w:r>
        <w:rPr>
          <w:rFonts w:eastAsia="Times New Roman" w:cstheme="minorHAnsi"/>
          <w:sz w:val="24"/>
          <w:szCs w:val="24"/>
          <w:lang w:eastAsia="en-GB"/>
        </w:rPr>
        <w:t>, including the parameters/timescales of their enquiries/investigations.</w:t>
      </w:r>
    </w:p>
    <w:p w14:paraId="4B2704DD"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Establish ownership of the strategic lead in the investigation</w:t>
      </w:r>
      <w:r>
        <w:rPr>
          <w:rFonts w:eastAsia="Times New Roman" w:cstheme="minorHAnsi"/>
          <w:sz w:val="24"/>
          <w:szCs w:val="24"/>
          <w:lang w:eastAsia="en-GB"/>
        </w:rPr>
        <w:t>.</w:t>
      </w:r>
    </w:p>
    <w:p w14:paraId="32F27DCF"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Decide the terms of reference and accountability for the investigating team, including the parameters and timescales of their enquiries/investigation</w:t>
      </w:r>
      <w:r>
        <w:rPr>
          <w:rFonts w:eastAsia="Times New Roman" w:cstheme="minorHAnsi"/>
          <w:sz w:val="24"/>
          <w:szCs w:val="24"/>
          <w:lang w:eastAsia="en-GB"/>
        </w:rPr>
        <w:t>.</w:t>
      </w:r>
    </w:p>
    <w:p w14:paraId="1BD13AC7"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Bring together a team of people with the necessary training, expertise and objectivity to manage and conduct the criminal investigation and/or Section 47 Enquiry on a day to day basis. </w:t>
      </w:r>
      <w:r w:rsidRPr="008D4896">
        <w:rPr>
          <w:rFonts w:eastAsia="Times New Roman" w:cstheme="minorHAnsi"/>
          <w:b/>
          <w:bCs/>
          <w:sz w:val="24"/>
          <w:szCs w:val="24"/>
          <w:lang w:eastAsia="en-GB"/>
        </w:rPr>
        <w:t>N.B.</w:t>
      </w:r>
      <w:r w:rsidRPr="008D4896">
        <w:rPr>
          <w:rFonts w:eastAsia="Times New Roman" w:cstheme="minorHAnsi"/>
          <w:sz w:val="24"/>
          <w:szCs w:val="24"/>
          <w:lang w:eastAsia="en-GB"/>
        </w:rPr>
        <w:t> Line managers or colleagues of any person implicated in the investigation must not be involved and the involvement of any person from the work place under investigation must be considered with particular care</w:t>
      </w:r>
      <w:r>
        <w:rPr>
          <w:rFonts w:eastAsia="Times New Roman" w:cstheme="minorHAnsi"/>
          <w:sz w:val="24"/>
          <w:szCs w:val="24"/>
          <w:lang w:eastAsia="en-GB"/>
        </w:rPr>
        <w:t>.</w:t>
      </w:r>
    </w:p>
    <w:p w14:paraId="44C8B032" w14:textId="710983D8"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In cases of greater scale and complexity, </w:t>
      </w:r>
      <w:r>
        <w:rPr>
          <w:rFonts w:eastAsia="Times New Roman" w:cstheme="minorHAnsi"/>
          <w:sz w:val="24"/>
          <w:szCs w:val="24"/>
          <w:lang w:eastAsia="en-GB"/>
        </w:rPr>
        <w:t xml:space="preserve">appointment an </w:t>
      </w:r>
      <w:r w:rsidR="00157871">
        <w:rPr>
          <w:rFonts w:eastAsia="Times New Roman" w:cstheme="minorHAnsi"/>
          <w:sz w:val="24"/>
          <w:szCs w:val="24"/>
          <w:lang w:eastAsia="en-GB"/>
        </w:rPr>
        <w:t>Investigation Management Group</w:t>
      </w:r>
      <w:r>
        <w:rPr>
          <w:rFonts w:eastAsia="Times New Roman" w:cstheme="minorHAnsi"/>
          <w:sz w:val="24"/>
          <w:szCs w:val="24"/>
          <w:lang w:eastAsia="en-GB"/>
        </w:rPr>
        <w:t>.</w:t>
      </w:r>
    </w:p>
    <w:p w14:paraId="621C4814"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Ensure that appropriate resources are deployed to the investigation including access to legal and other specialist advice, resources and information</w:t>
      </w:r>
      <w:r>
        <w:rPr>
          <w:rFonts w:eastAsia="Times New Roman" w:cstheme="minorHAnsi"/>
          <w:sz w:val="24"/>
          <w:szCs w:val="24"/>
          <w:lang w:eastAsia="en-GB"/>
        </w:rPr>
        <w:t>.</w:t>
      </w:r>
    </w:p>
    <w:p w14:paraId="7205FFE7"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Ensure that appropriate resources are available to meet the needs of the children and families or adult survivors, including any specific health issues arising from the abuse</w:t>
      </w:r>
      <w:r>
        <w:rPr>
          <w:rFonts w:eastAsia="Times New Roman" w:cstheme="minorHAnsi"/>
          <w:sz w:val="24"/>
          <w:szCs w:val="24"/>
          <w:lang w:eastAsia="en-GB"/>
        </w:rPr>
        <w:t>.</w:t>
      </w:r>
    </w:p>
    <w:p w14:paraId="6B373C8C"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Ensure the investigating team are themselves supported with personal counselling if necessary and that issues of staff safety are addressed</w:t>
      </w:r>
      <w:r>
        <w:rPr>
          <w:rFonts w:eastAsia="Times New Roman" w:cstheme="minorHAnsi"/>
          <w:sz w:val="24"/>
          <w:szCs w:val="24"/>
          <w:lang w:eastAsia="en-GB"/>
        </w:rPr>
        <w:t>.</w:t>
      </w:r>
    </w:p>
    <w:p w14:paraId="411ABBF9"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Ensure that an appropriate venue is available for interviews and the interviews are conducted in accordance with Achieving Best Evidence Guidance</w:t>
      </w:r>
      <w:r>
        <w:rPr>
          <w:rFonts w:eastAsia="Times New Roman" w:cstheme="minorHAnsi"/>
          <w:sz w:val="24"/>
          <w:szCs w:val="24"/>
          <w:lang w:eastAsia="en-GB"/>
        </w:rPr>
        <w:t>.</w:t>
      </w:r>
    </w:p>
    <w:p w14:paraId="39AA15B3"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Liaise as necessary with the Crown Prosecution Service at an early stage before arranging services for a child in need of counselling or therapeutic help so that the help can be given in a way which is consistent with the conduct of the criminal investigation</w:t>
      </w:r>
      <w:r>
        <w:rPr>
          <w:rFonts w:eastAsia="Times New Roman" w:cstheme="minorHAnsi"/>
          <w:sz w:val="24"/>
          <w:szCs w:val="24"/>
          <w:lang w:eastAsia="en-GB"/>
        </w:rPr>
        <w:t>.</w:t>
      </w:r>
    </w:p>
    <w:p w14:paraId="4D0F507D"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Agree a communications strategy including the handling of political and media issues, and communication as necessary with the Regulatory Authority</w:t>
      </w:r>
      <w:r>
        <w:rPr>
          <w:rFonts w:eastAsia="Times New Roman" w:cstheme="minorHAnsi"/>
          <w:sz w:val="24"/>
          <w:szCs w:val="24"/>
          <w:lang w:eastAsia="en-GB"/>
        </w:rPr>
        <w:t>.</w:t>
      </w:r>
    </w:p>
    <w:p w14:paraId="5F8FAACB" w14:textId="77777777" w:rsidR="0011181E" w:rsidRPr="008D4896"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Ensure that records are kept safely and securely stored and a high level of confidentiality maintained at all times</w:t>
      </w:r>
      <w:r>
        <w:rPr>
          <w:rFonts w:eastAsia="Times New Roman" w:cstheme="minorHAnsi"/>
          <w:sz w:val="24"/>
          <w:szCs w:val="24"/>
          <w:lang w:eastAsia="en-GB"/>
        </w:rPr>
        <w:t>.</w:t>
      </w:r>
    </w:p>
    <w:p w14:paraId="2598105B" w14:textId="77777777" w:rsidR="0011181E" w:rsidRPr="00313BAC" w:rsidRDefault="0011181E" w:rsidP="0011181E">
      <w:pPr>
        <w:numPr>
          <w:ilvl w:val="0"/>
          <w:numId w:val="8"/>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Hold regular strategic meetings and reviews, which must be recorded, to consider progress, including the effectiveness of the joint working, the need for additional resources and next steps.</w:t>
      </w:r>
    </w:p>
    <w:p w14:paraId="55B82808" w14:textId="03D23DE6"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t xml:space="preserve">7. </w:t>
      </w:r>
      <w:r w:rsidR="00FB668F">
        <w:rPr>
          <w:rFonts w:eastAsia="Times New Roman" w:cstheme="minorHAnsi"/>
          <w:b/>
          <w:bCs/>
          <w:sz w:val="28"/>
          <w:szCs w:val="28"/>
          <w:lang w:eastAsia="en-GB"/>
        </w:rPr>
        <w:t>The Investigation Management Group</w:t>
      </w:r>
    </w:p>
    <w:p w14:paraId="14E4A4DC" w14:textId="29A2F0B1"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In cases of considerable complexity and scale, an </w:t>
      </w:r>
      <w:r w:rsidR="00FB668F">
        <w:rPr>
          <w:rFonts w:eastAsia="Times New Roman" w:cstheme="minorHAnsi"/>
          <w:sz w:val="24"/>
          <w:szCs w:val="24"/>
          <w:lang w:eastAsia="en-GB"/>
        </w:rPr>
        <w:t>Investigation Management Group</w:t>
      </w:r>
      <w:r w:rsidRPr="008D4896">
        <w:rPr>
          <w:rFonts w:eastAsia="Times New Roman" w:cstheme="minorHAnsi"/>
          <w:sz w:val="24"/>
          <w:szCs w:val="24"/>
          <w:lang w:eastAsia="en-GB"/>
        </w:rPr>
        <w:t xml:space="preserve"> will be appointed.</w:t>
      </w:r>
    </w:p>
    <w:p w14:paraId="22953941"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lastRenderedPageBreak/>
        <w:t>Membership of this group should include representatives from Children's Social Care Services, the Police, designated health professionals and the local authorities Legal Services, with other agencies being invited to participate as appropriate.</w:t>
      </w:r>
    </w:p>
    <w:p w14:paraId="51C24855" w14:textId="49DE4276"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The tasks and functions of the </w:t>
      </w:r>
      <w:r w:rsidR="005632C3">
        <w:rPr>
          <w:rFonts w:eastAsia="Times New Roman" w:cstheme="minorHAnsi"/>
          <w:sz w:val="24"/>
          <w:szCs w:val="24"/>
          <w:lang w:eastAsia="en-GB"/>
        </w:rPr>
        <w:t>Investigation Management Group</w:t>
      </w:r>
      <w:r w:rsidR="005632C3" w:rsidRPr="008D4896">
        <w:rPr>
          <w:rFonts w:eastAsia="Times New Roman" w:cstheme="minorHAnsi"/>
          <w:sz w:val="24"/>
          <w:szCs w:val="24"/>
          <w:lang w:eastAsia="en-GB"/>
        </w:rPr>
        <w:t xml:space="preserve"> </w:t>
      </w:r>
      <w:r w:rsidRPr="008D4896">
        <w:rPr>
          <w:rFonts w:eastAsia="Times New Roman" w:cstheme="minorHAnsi"/>
          <w:sz w:val="24"/>
          <w:szCs w:val="24"/>
          <w:lang w:eastAsia="en-GB"/>
        </w:rPr>
        <w:t>will be subject to the terms of reference agreed by the Strategic Management Group, and will include the following:</w:t>
      </w:r>
    </w:p>
    <w:p w14:paraId="255DB6ED" w14:textId="77777777" w:rsidR="0011181E" w:rsidRPr="008D4896" w:rsidRDefault="0011181E" w:rsidP="0011181E">
      <w:pPr>
        <w:numPr>
          <w:ilvl w:val="0"/>
          <w:numId w:val="9"/>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To co-ordinate the inter-agency response to families and provide consistent information;</w:t>
      </w:r>
    </w:p>
    <w:p w14:paraId="173F77F8" w14:textId="77777777" w:rsidR="0011181E" w:rsidRPr="008D4896" w:rsidRDefault="0011181E" w:rsidP="0011181E">
      <w:pPr>
        <w:numPr>
          <w:ilvl w:val="0"/>
          <w:numId w:val="9"/>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To ensure clarity of roles and responsibilities for staff involved in the investigation. Investigators will have full access to all records and key information;</w:t>
      </w:r>
    </w:p>
    <w:p w14:paraId="78EA1EB6" w14:textId="77777777" w:rsidR="0011181E" w:rsidRPr="008D4896" w:rsidRDefault="0011181E" w:rsidP="0011181E">
      <w:pPr>
        <w:numPr>
          <w:ilvl w:val="0"/>
          <w:numId w:val="9"/>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To provide a forum where professionals can meet, exchange information and discuss the implementation of the agreed investigation strategy;</w:t>
      </w:r>
    </w:p>
    <w:p w14:paraId="48A9201B" w14:textId="77777777" w:rsidR="0011181E" w:rsidRPr="008D4896" w:rsidRDefault="0011181E" w:rsidP="0011181E">
      <w:pPr>
        <w:numPr>
          <w:ilvl w:val="0"/>
          <w:numId w:val="9"/>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To ensure a consistent strategy for interviewing victims within and outside the councils area;</w:t>
      </w:r>
    </w:p>
    <w:p w14:paraId="1B418C8B" w14:textId="77777777" w:rsidR="0011181E" w:rsidRPr="008D4896" w:rsidRDefault="0011181E" w:rsidP="0011181E">
      <w:pPr>
        <w:numPr>
          <w:ilvl w:val="0"/>
          <w:numId w:val="9"/>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To keep the S</w:t>
      </w:r>
      <w:r>
        <w:rPr>
          <w:rFonts w:eastAsia="Times New Roman" w:cstheme="minorHAnsi"/>
          <w:sz w:val="24"/>
          <w:szCs w:val="24"/>
          <w:lang w:eastAsia="en-GB"/>
        </w:rPr>
        <w:t xml:space="preserve">trategic </w:t>
      </w:r>
      <w:r w:rsidRPr="008D4896">
        <w:rPr>
          <w:rFonts w:eastAsia="Times New Roman" w:cstheme="minorHAnsi"/>
          <w:sz w:val="24"/>
          <w:szCs w:val="24"/>
          <w:lang w:eastAsia="en-GB"/>
        </w:rPr>
        <w:t>M</w:t>
      </w:r>
      <w:r>
        <w:rPr>
          <w:rFonts w:eastAsia="Times New Roman" w:cstheme="minorHAnsi"/>
          <w:sz w:val="24"/>
          <w:szCs w:val="24"/>
          <w:lang w:eastAsia="en-GB"/>
        </w:rPr>
        <w:t xml:space="preserve">anagement </w:t>
      </w:r>
      <w:r w:rsidRPr="008D4896">
        <w:rPr>
          <w:rFonts w:eastAsia="Times New Roman" w:cstheme="minorHAnsi"/>
          <w:sz w:val="24"/>
          <w:szCs w:val="24"/>
          <w:lang w:eastAsia="en-GB"/>
        </w:rPr>
        <w:t>G</w:t>
      </w:r>
      <w:r>
        <w:rPr>
          <w:rFonts w:eastAsia="Times New Roman" w:cstheme="minorHAnsi"/>
          <w:sz w:val="24"/>
          <w:szCs w:val="24"/>
          <w:lang w:eastAsia="en-GB"/>
        </w:rPr>
        <w:t>roup</w:t>
      </w:r>
      <w:r w:rsidRPr="008D4896">
        <w:rPr>
          <w:rFonts w:eastAsia="Times New Roman" w:cstheme="minorHAnsi"/>
          <w:sz w:val="24"/>
          <w:szCs w:val="24"/>
          <w:lang w:eastAsia="en-GB"/>
        </w:rPr>
        <w:t xml:space="preserve"> informed of resources and any shortfalls;</w:t>
      </w:r>
    </w:p>
    <w:p w14:paraId="3CB97714" w14:textId="77777777" w:rsidR="0011181E" w:rsidRPr="008D4896" w:rsidRDefault="0011181E" w:rsidP="0011181E">
      <w:pPr>
        <w:numPr>
          <w:ilvl w:val="0"/>
          <w:numId w:val="9"/>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To ensure a consistent and appropriate inter-agency approach to support victims and their families;</w:t>
      </w:r>
    </w:p>
    <w:p w14:paraId="321A1827" w14:textId="5105E2D3" w:rsidR="0011181E" w:rsidRPr="008D4896" w:rsidRDefault="0011181E" w:rsidP="0011181E">
      <w:pPr>
        <w:numPr>
          <w:ilvl w:val="0"/>
          <w:numId w:val="9"/>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To ensure information is shared appropriately with other agencies not represented on the </w:t>
      </w:r>
      <w:r>
        <w:rPr>
          <w:rFonts w:eastAsia="Times New Roman" w:cstheme="minorHAnsi"/>
          <w:sz w:val="24"/>
          <w:szCs w:val="24"/>
          <w:lang w:eastAsia="en-GB"/>
        </w:rPr>
        <w:t xml:space="preserve">Strategic </w:t>
      </w:r>
      <w:r w:rsidRPr="008D4896">
        <w:rPr>
          <w:rFonts w:eastAsia="Times New Roman" w:cstheme="minorHAnsi"/>
          <w:sz w:val="24"/>
          <w:szCs w:val="24"/>
          <w:lang w:eastAsia="en-GB"/>
        </w:rPr>
        <w:t>M</w:t>
      </w:r>
      <w:r>
        <w:rPr>
          <w:rFonts w:eastAsia="Times New Roman" w:cstheme="minorHAnsi"/>
          <w:sz w:val="24"/>
          <w:szCs w:val="24"/>
          <w:lang w:eastAsia="en-GB"/>
        </w:rPr>
        <w:t xml:space="preserve">anagement </w:t>
      </w:r>
      <w:r w:rsidRPr="008D4896">
        <w:rPr>
          <w:rFonts w:eastAsia="Times New Roman" w:cstheme="minorHAnsi"/>
          <w:sz w:val="24"/>
          <w:szCs w:val="24"/>
          <w:lang w:eastAsia="en-GB"/>
        </w:rPr>
        <w:t>G</w:t>
      </w:r>
      <w:r>
        <w:rPr>
          <w:rFonts w:eastAsia="Times New Roman" w:cstheme="minorHAnsi"/>
          <w:sz w:val="24"/>
          <w:szCs w:val="24"/>
          <w:lang w:eastAsia="en-GB"/>
        </w:rPr>
        <w:t>roup</w:t>
      </w:r>
      <w:r w:rsidRPr="008D4896">
        <w:rPr>
          <w:rFonts w:eastAsia="Times New Roman" w:cstheme="minorHAnsi"/>
          <w:sz w:val="24"/>
          <w:szCs w:val="24"/>
          <w:lang w:eastAsia="en-GB"/>
        </w:rPr>
        <w:t xml:space="preserve"> or the </w:t>
      </w:r>
      <w:r w:rsidR="005632C3">
        <w:rPr>
          <w:rFonts w:eastAsia="Times New Roman" w:cstheme="minorHAnsi"/>
          <w:sz w:val="24"/>
          <w:szCs w:val="24"/>
          <w:lang w:eastAsia="en-GB"/>
        </w:rPr>
        <w:t>Investigation Management Group</w:t>
      </w:r>
      <w:r w:rsidRPr="008D4896">
        <w:rPr>
          <w:rFonts w:eastAsia="Times New Roman" w:cstheme="minorHAnsi"/>
          <w:sz w:val="24"/>
          <w:szCs w:val="24"/>
          <w:lang w:eastAsia="en-GB"/>
        </w:rPr>
        <w:t>;</w:t>
      </w:r>
    </w:p>
    <w:p w14:paraId="2E1D5A80" w14:textId="77777777" w:rsidR="0011181E" w:rsidRPr="008D4896" w:rsidRDefault="0011181E" w:rsidP="0011181E">
      <w:pPr>
        <w:numPr>
          <w:ilvl w:val="0"/>
          <w:numId w:val="9"/>
        </w:numPr>
        <w:shd w:val="clear" w:color="auto" w:fill="FFFFFF"/>
        <w:spacing w:before="100" w:beforeAutospacing="1" w:after="100" w:afterAutospacing="1" w:line="240" w:lineRule="auto"/>
        <w:jc w:val="both"/>
        <w:rPr>
          <w:rFonts w:eastAsia="Times New Roman" w:cstheme="minorHAnsi"/>
          <w:sz w:val="24"/>
          <w:szCs w:val="24"/>
          <w:lang w:eastAsia="en-GB"/>
        </w:rPr>
      </w:pPr>
      <w:r w:rsidRPr="008D4896">
        <w:rPr>
          <w:rFonts w:eastAsia="Times New Roman" w:cstheme="minorHAnsi"/>
          <w:sz w:val="24"/>
          <w:szCs w:val="24"/>
          <w:lang w:eastAsia="en-GB"/>
        </w:rPr>
        <w:t>To ensure that relevant intelligence is passed between agencies and to the police Major Incident Room (MIR).</w:t>
      </w:r>
    </w:p>
    <w:p w14:paraId="37259B2B" w14:textId="77777777" w:rsidR="0011181E" w:rsidRPr="00313BAC" w:rsidRDefault="0011181E" w:rsidP="0011181E">
      <w:pPr>
        <w:shd w:val="clear" w:color="auto" w:fill="FFFFFF"/>
        <w:spacing w:before="300" w:after="300" w:line="240" w:lineRule="auto"/>
        <w:jc w:val="both"/>
        <w:outlineLvl w:val="1"/>
        <w:rPr>
          <w:rFonts w:eastAsia="Times New Roman" w:cstheme="minorHAnsi"/>
          <w:b/>
          <w:bCs/>
          <w:sz w:val="28"/>
          <w:szCs w:val="28"/>
          <w:lang w:eastAsia="en-GB"/>
        </w:rPr>
      </w:pPr>
      <w:r w:rsidRPr="00313BAC">
        <w:rPr>
          <w:rFonts w:eastAsia="Times New Roman" w:cstheme="minorHAnsi"/>
          <w:b/>
          <w:bCs/>
          <w:sz w:val="28"/>
          <w:szCs w:val="28"/>
          <w:lang w:eastAsia="en-GB"/>
        </w:rPr>
        <w:t>8. End of Enquiry/Investigation Meeting and Report</w:t>
      </w:r>
    </w:p>
    <w:p w14:paraId="38BEA314"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The Waterhouse Inquiry report has noted the importance of adequate referral of information about suspected abusers. It is probable that an investigation will identify individuals who are suspected abusers</w:t>
      </w:r>
      <w:r>
        <w:rPr>
          <w:rFonts w:eastAsia="Times New Roman" w:cstheme="minorHAnsi"/>
          <w:sz w:val="24"/>
          <w:szCs w:val="24"/>
          <w:lang w:eastAsia="en-GB"/>
        </w:rPr>
        <w:t>,</w:t>
      </w:r>
      <w:r w:rsidRPr="008D4896">
        <w:rPr>
          <w:rFonts w:eastAsia="Times New Roman" w:cstheme="minorHAnsi"/>
          <w:sz w:val="24"/>
          <w:szCs w:val="24"/>
          <w:lang w:eastAsia="en-GB"/>
        </w:rPr>
        <w:t xml:space="preserve"> but against whom prosecutions are not brought. If a suspected abuser is working with children in a child care position, or in the education service, evidence and information should be shared to support disciplinary proceedings and to enable, where appropriate, the referral of suspected abusers to the Disclosure and Barring Service (DBS) and the relevant regulatory bodies.</w:t>
      </w:r>
    </w:p>
    <w:p w14:paraId="048303AC" w14:textId="77777777" w:rsidR="0011181E" w:rsidRPr="008D4896" w:rsidRDefault="0011181E" w:rsidP="0011181E">
      <w:pPr>
        <w:shd w:val="clear" w:color="auto" w:fill="FFFFFF"/>
        <w:spacing w:after="300" w:line="240" w:lineRule="auto"/>
        <w:jc w:val="both"/>
        <w:rPr>
          <w:rFonts w:eastAsia="Times New Roman" w:cstheme="minorHAnsi"/>
          <w:sz w:val="24"/>
          <w:szCs w:val="24"/>
          <w:lang w:eastAsia="en-GB"/>
        </w:rPr>
      </w:pPr>
      <w:r w:rsidRPr="008D4896">
        <w:rPr>
          <w:rFonts w:eastAsia="Times New Roman" w:cstheme="minorHAnsi"/>
          <w:sz w:val="24"/>
          <w:szCs w:val="24"/>
          <w:lang w:eastAsia="en-GB"/>
        </w:rPr>
        <w:t xml:space="preserve">At the conclusion of the enquiry/investigation, the Strategic Management Group must evaluate the investigation, identify the lessons learned and prepare an Overview Report with recommendations and an Action </w:t>
      </w:r>
      <w:r>
        <w:rPr>
          <w:rFonts w:eastAsia="Times New Roman" w:cstheme="minorHAnsi"/>
          <w:sz w:val="24"/>
          <w:szCs w:val="24"/>
          <w:lang w:eastAsia="en-GB"/>
        </w:rPr>
        <w:t>P</w:t>
      </w:r>
      <w:r w:rsidRPr="008D4896">
        <w:rPr>
          <w:rFonts w:eastAsia="Times New Roman" w:cstheme="minorHAnsi"/>
          <w:sz w:val="24"/>
          <w:szCs w:val="24"/>
          <w:lang w:eastAsia="en-GB"/>
        </w:rPr>
        <w:t>lan</w:t>
      </w:r>
      <w:r>
        <w:rPr>
          <w:rFonts w:eastAsia="Times New Roman" w:cstheme="minorHAnsi"/>
          <w:sz w:val="24"/>
          <w:szCs w:val="24"/>
          <w:lang w:eastAsia="en-GB"/>
        </w:rPr>
        <w:t xml:space="preserve"> to be presented to the Head of Safeguarding. This will be shared</w:t>
      </w:r>
      <w:r w:rsidRPr="008D4896">
        <w:rPr>
          <w:rFonts w:eastAsia="Times New Roman" w:cstheme="minorHAnsi"/>
          <w:sz w:val="24"/>
          <w:szCs w:val="24"/>
          <w:lang w:eastAsia="en-GB"/>
        </w:rPr>
        <w:t xml:space="preserve"> </w:t>
      </w:r>
      <w:r>
        <w:rPr>
          <w:rFonts w:eastAsia="Times New Roman" w:cstheme="minorHAnsi"/>
          <w:sz w:val="24"/>
          <w:szCs w:val="24"/>
          <w:lang w:eastAsia="en-GB"/>
        </w:rPr>
        <w:t>with</w:t>
      </w:r>
      <w:r w:rsidRPr="008D4896">
        <w:rPr>
          <w:rFonts w:eastAsia="Times New Roman" w:cstheme="minorHAnsi"/>
          <w:sz w:val="24"/>
          <w:szCs w:val="24"/>
          <w:lang w:eastAsia="en-GB"/>
        </w:rPr>
        <w:t xml:space="preserve"> the Safeguarding Children Partnership, highlighting any practices, procedures or policies which may need further attention and require either inter-agency or individual agency action plans.</w:t>
      </w:r>
    </w:p>
    <w:p w14:paraId="528A3B2C" w14:textId="638263F8" w:rsidR="00BE76FA" w:rsidRDefault="00BE76FA" w:rsidP="008E597E"/>
    <w:p w14:paraId="1DB08E18" w14:textId="77777777" w:rsidR="00780E61" w:rsidRDefault="00780E61" w:rsidP="00780E61">
      <w:pPr>
        <w:rPr>
          <w:rFonts w:ascii="Calibri" w:hAnsi="Calibri" w:cs="Calibri"/>
        </w:rPr>
      </w:pPr>
    </w:p>
    <w:p w14:paraId="57319E62" w14:textId="77777777" w:rsidR="00780E61" w:rsidRPr="008E597E" w:rsidRDefault="00780E61" w:rsidP="008E597E"/>
    <w:sectPr w:rsidR="00780E61" w:rsidRPr="008E597E" w:rsidSect="008E597E">
      <w:headerReference w:type="default" r:id="rId12"/>
      <w:footerReference w:type="default" r:id="rId13"/>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EC68" w14:textId="77777777" w:rsidR="00457379" w:rsidRDefault="00457379" w:rsidP="00D17782">
      <w:pPr>
        <w:spacing w:after="0" w:line="240" w:lineRule="auto"/>
      </w:pPr>
      <w:r>
        <w:separator/>
      </w:r>
    </w:p>
  </w:endnote>
  <w:endnote w:type="continuationSeparator" w:id="0">
    <w:p w14:paraId="57EB89EC" w14:textId="77777777" w:rsidR="00457379" w:rsidRDefault="00457379"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D2E2" w14:textId="77777777" w:rsidR="008E597E" w:rsidRDefault="008E597E">
    <w:pPr>
      <w:pStyle w:val="Footer"/>
      <w:rPr>
        <w:noProof/>
      </w:rPr>
    </w:pPr>
    <w:r>
      <w:rPr>
        <w:noProof/>
      </w:rPr>
      <w:drawing>
        <wp:anchor distT="0" distB="0" distL="114300" distR="114300" simplePos="0" relativeHeight="251663360" behindDoc="0" locked="0" layoutInCell="1" allowOverlap="1" wp14:anchorId="25F651AE" wp14:editId="75A84298">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DA9B" w14:textId="77777777" w:rsidR="00457379" w:rsidRDefault="00457379" w:rsidP="00D17782">
      <w:pPr>
        <w:spacing w:after="0" w:line="240" w:lineRule="auto"/>
      </w:pPr>
      <w:r>
        <w:separator/>
      </w:r>
    </w:p>
  </w:footnote>
  <w:footnote w:type="continuationSeparator" w:id="0">
    <w:p w14:paraId="7985849D" w14:textId="77777777" w:rsidR="00457379" w:rsidRDefault="00457379"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8746"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6FB4AD75" wp14:editId="016F4D54">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70595B26"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400BE"/>
    <w:multiLevelType w:val="hybridMultilevel"/>
    <w:tmpl w:val="9DA64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8979F5"/>
    <w:multiLevelType w:val="multilevel"/>
    <w:tmpl w:val="F1F4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4D0C1D4F"/>
    <w:multiLevelType w:val="multilevel"/>
    <w:tmpl w:val="09B6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4216D"/>
    <w:multiLevelType w:val="multilevel"/>
    <w:tmpl w:val="222C5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8"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9"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5"/>
  </w:num>
  <w:num w:numId="6">
    <w:abstractNumId w:val="9"/>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79"/>
    <w:rsid w:val="000C166D"/>
    <w:rsid w:val="000D4E4E"/>
    <w:rsid w:val="0010711A"/>
    <w:rsid w:val="0011181E"/>
    <w:rsid w:val="00157871"/>
    <w:rsid w:val="001662C4"/>
    <w:rsid w:val="00273606"/>
    <w:rsid w:val="002D5254"/>
    <w:rsid w:val="00304516"/>
    <w:rsid w:val="003C191D"/>
    <w:rsid w:val="004509DB"/>
    <w:rsid w:val="00457379"/>
    <w:rsid w:val="004C2D93"/>
    <w:rsid w:val="0054010A"/>
    <w:rsid w:val="005632C3"/>
    <w:rsid w:val="00594FED"/>
    <w:rsid w:val="00684CE6"/>
    <w:rsid w:val="006F0B81"/>
    <w:rsid w:val="00780E61"/>
    <w:rsid w:val="00781A28"/>
    <w:rsid w:val="007902CC"/>
    <w:rsid w:val="007C4AE7"/>
    <w:rsid w:val="00817976"/>
    <w:rsid w:val="00896045"/>
    <w:rsid w:val="008E597E"/>
    <w:rsid w:val="00AA3020"/>
    <w:rsid w:val="00B1331C"/>
    <w:rsid w:val="00B9538F"/>
    <w:rsid w:val="00BE76FA"/>
    <w:rsid w:val="00C775CB"/>
    <w:rsid w:val="00CC7E25"/>
    <w:rsid w:val="00CD4863"/>
    <w:rsid w:val="00D03A8A"/>
    <w:rsid w:val="00D0582A"/>
    <w:rsid w:val="00D17782"/>
    <w:rsid w:val="00D415CB"/>
    <w:rsid w:val="00D733A3"/>
    <w:rsid w:val="00E83AFC"/>
    <w:rsid w:val="00F26BCD"/>
    <w:rsid w:val="00F75C41"/>
    <w:rsid w:val="00FB668F"/>
    <w:rsid w:val="00FE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39E91"/>
  <w15:chartTrackingRefBased/>
  <w15:docId w15:val="{8C5CE854-DD0A-4C74-A470-8EBEFD3A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nhideWhenUsed/>
    <w:rsid w:val="00B95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Childrens%20Services\Centre%20for%20Professional%20Practice\Branded%20Templates%20and%20LOGOS\Dudley%20and%20CPP%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08f1b52a2b244ac81738a72e1f2e60f xmlns="fb2141da-1f12-4788-a0b0-9c622977848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0723598f-7453-4a42-bef8-fd1e1850ebea</TermId>
        </TermInfo>
      </Terms>
    </o08f1b52a2b244ac81738a72e1f2e60f>
    <DocumentCategory xmlns="fb2141da-1f12-4788-a0b0-9c6229778481">Briefing</DocumentCategory>
    <o35fb112a38c499499b1f05473acc0d8 xmlns="fb2141da-1f12-4788-a0b0-9c6229778481">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22b5931d-a622-45c8-afba-f6b7d4943931</TermId>
        </TermInfo>
      </Terms>
    </o35fb112a38c499499b1f05473acc0d8>
    <PinboardItem xmlns="fb2141da-1f12-4788-a0b0-9c6229778481">No</PinboardItem>
    <TaxCatchAll xmlns="fb2141da-1f12-4788-a0b0-9c6229778481">
      <Value>162</Value>
      <Value>8</Value>
      <Value>56</Value>
    </TaxCatchAll>
    <fba0e30c82964238a08c8cfa9d18a3e9 xmlns="fb2141da-1f12-4788-a0b0-9c6229778481">
      <Terms xmlns="http://schemas.microsoft.com/office/infopath/2007/PartnerControls">
        <TermInfo xmlns="http://schemas.microsoft.com/office/infopath/2007/PartnerControls">
          <TermName xmlns="http://schemas.microsoft.com/office/infopath/2007/PartnerControls">Communications and Public Affairs</TermName>
          <TermId xmlns="http://schemas.microsoft.com/office/infopath/2007/PartnerControls">9b70284a-eb44-4a8c-bac9-abfd9ef233ad</TermId>
        </TermInfo>
      </Terms>
    </fba0e30c82964238a08c8cfa9d18a3e9>
    <SupportCategory xmlns="fb2141da-1f12-4788-a0b0-9c6229778481">Communications and Public Affairs</SupportCategory>
    <_dlc_DocId xmlns="fb2141da-1f12-4788-a0b0-9c6229778481">CONNECT-403683136-3913</_dlc_DocId>
    <_dlc_DocIdUrl xmlns="fb2141da-1f12-4788-a0b0-9c6229778481">
      <Url>https://connect.dudley.gov.uk/documents/_layouts/15/DocIdRedir.aspx?ID=CONNECT-403683136-3913</Url>
      <Description>CONNECT-403683136-3913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E7DFD4A38EF6468B2B24C5FA185DD5" ma:contentTypeVersion="12" ma:contentTypeDescription="Create a new document." ma:contentTypeScope="" ma:versionID="a1354e1b66ad0728442384eb83754358">
  <xsd:schema xmlns:xsd="http://www.w3.org/2001/XMLSchema" xmlns:xs="http://www.w3.org/2001/XMLSchema" xmlns:p="http://schemas.microsoft.com/office/2006/metadata/properties" xmlns:ns2="fb2141da-1f12-4788-a0b0-9c6229778481" targetNamespace="http://schemas.microsoft.com/office/2006/metadata/properties" ma:root="true" ma:fieldsID="d5e01b7d9f3a9da2dcdf4ab7e496889d" ns2:_="">
    <xsd:import namespace="fb2141da-1f12-4788-a0b0-9c6229778481"/>
    <xsd:element name="properties">
      <xsd:complexType>
        <xsd:sequence>
          <xsd:element name="documentManagement">
            <xsd:complexType>
              <xsd:all>
                <xsd:element ref="ns2:SupportCategory" minOccurs="0"/>
                <xsd:element ref="ns2:DocumentCategory" minOccurs="0"/>
                <xsd:element ref="ns2:PinboardItem" minOccurs="0"/>
                <xsd:element ref="ns2:o35fb112a38c499499b1f05473acc0d8" minOccurs="0"/>
                <xsd:element ref="ns2:TaxCatchAll" minOccurs="0"/>
                <xsd:element ref="ns2:o08f1b52a2b244ac81738a72e1f2e60f" minOccurs="0"/>
                <xsd:element ref="ns2:fba0e30c82964238a08c8cfa9d18a3e9"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141da-1f12-4788-a0b0-9c6229778481" elementFormDefault="qualified">
    <xsd:import namespace="http://schemas.microsoft.com/office/2006/documentManagement/types"/>
    <xsd:import namespace="http://schemas.microsoft.com/office/infopath/2007/PartnerControls"/>
    <xsd:element name="SupportCategory" ma:index="8" nillable="true" ma:displayName="Support Category" ma:format="Dropdown" ma:internalName="SupportCategory">
      <xsd:simpleType>
        <xsd:restriction base="dms:Choice">
          <xsd:enumeration value="Audit"/>
          <xsd:enumeration value="Communications and Public Affairs"/>
          <xsd:enumeration value="Corporate"/>
          <xsd:enumeration value="Corporate Landlord Services"/>
          <xsd:enumeration value="Democratic Services"/>
          <xsd:enumeration value="Emergency Planning"/>
          <xsd:enumeration value="Employee Benefits"/>
          <xsd:enumeration value="Financial Services"/>
          <xsd:enumeration value="Health and Safety"/>
          <xsd:enumeration value="Health and Wellbeing"/>
          <xsd:enumeration value="Human Resources"/>
          <xsd:enumeration value="ICT"/>
          <xsd:enumeration value="Information Governance"/>
          <xsd:enumeration value="Initiatives"/>
          <xsd:enumeration value="Learning and Development"/>
          <xsd:enumeration value="Legal Services"/>
          <xsd:enumeration value="Plans and Performance Management"/>
          <xsd:enumeration value="Procurement and Commissioning"/>
          <xsd:enumeration value="Schools Services"/>
          <xsd:enumeration value="Transport Services"/>
        </xsd:restriction>
      </xsd:simpleType>
    </xsd:element>
    <xsd:element name="DocumentCategory" ma:index="9" nillable="true" ma:displayName="Document Category" ma:default="General" ma:format="Dropdown" ma:internalName="DocumentCategory">
      <xsd:simpleType>
        <xsd:restriction base="dms:Choice">
          <xsd:enumeration value="General"/>
          <xsd:enumeration value="Appraisal"/>
          <xsd:enumeration value="Briefing"/>
          <xsd:enumeration value="Contract"/>
          <xsd:enumeration value="Form"/>
          <xsd:enumeration value="Guidance"/>
          <xsd:enumeration value="Marketing"/>
          <xsd:enumeration value="Plan"/>
          <xsd:enumeration value="Policy"/>
          <xsd:enumeration value="Presentation"/>
          <xsd:enumeration value="Procedure"/>
          <xsd:enumeration value="Report"/>
          <xsd:enumeration value="Specification"/>
          <xsd:enumeration value="Strategy"/>
          <xsd:enumeration value="Support"/>
          <xsd:enumeration value="Survey"/>
          <xsd:enumeration value="Terms and Conditions"/>
          <xsd:enumeration value="Toolkit"/>
        </xsd:restriction>
      </xsd:simpleType>
    </xsd:element>
    <xsd:element name="PinboardItem" ma:index="10" nillable="true" ma:displayName="Pinboard Item" ma:default="No" ma:format="Dropdown" ma:internalName="PinboardItem">
      <xsd:simpleType>
        <xsd:restriction base="dms:Choice">
          <xsd:enumeration value="Yes"/>
          <xsd:enumeration value="No"/>
        </xsd:restriction>
      </xsd:simpleType>
    </xsd:element>
    <xsd:element name="o35fb112a38c499499b1f05473acc0d8" ma:index="12" ma:taxonomy="true" ma:internalName="o35fb112a38c499499b1f05473acc0d8" ma:taxonomyFieldName="LGCL" ma:displayName="LGCL" ma:readOnly="false" ma:default="" ma:fieldId="{835fb112-a38c-4994-99b1-f05473acc0d8}" ma:taxonomyMulti="true" ma:sspId="0af8065e-e659-4f33-9ffa-669220b50881" ma:termSetId="85b98252-bf31-4165-b5b7-696e9ca470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861985b-34f0-4091-af34-bebeacfe09f2}" ma:internalName="TaxCatchAll" ma:showField="CatchAllData" ma:web="fb2141da-1f12-4788-a0b0-9c6229778481">
      <xsd:complexType>
        <xsd:complexContent>
          <xsd:extension base="dms:MultiChoiceLookup">
            <xsd:sequence>
              <xsd:element name="Value" type="dms:Lookup" maxOccurs="unbounded" minOccurs="0" nillable="true"/>
            </xsd:sequence>
          </xsd:extension>
        </xsd:complexContent>
      </xsd:complexType>
    </xsd:element>
    <xsd:element name="o08f1b52a2b244ac81738a72e1f2e60f" ma:index="15" nillable="true" ma:taxonomy="true" ma:internalName="o08f1b52a2b244ac81738a72e1f2e60f" ma:taxonomyFieldName="DocumentCategories" ma:displayName="Document Categories" ma:default="" ma:fieldId="{808f1b52-a2b2-44ac-8173-8a72e1f2e60f}" ma:taxonomyMulti="true" ma:sspId="0af8065e-e659-4f33-9ffa-669220b50881" ma:termSetId="58951a60-4876-4896-9001-a057a1d58f4a" ma:anchorId="00000000-0000-0000-0000-000000000000" ma:open="false" ma:isKeyword="false">
      <xsd:complexType>
        <xsd:sequence>
          <xsd:element ref="pc:Terms" minOccurs="0" maxOccurs="1"/>
        </xsd:sequence>
      </xsd:complexType>
    </xsd:element>
    <xsd:element name="fba0e30c82964238a08c8cfa9d18a3e9" ma:index="17" nillable="true" ma:taxonomy="true" ma:internalName="fba0e30c82964238a08c8cfa9d18a3e9" ma:taxonomyFieldName="SupportCategories" ma:displayName="Support Categories" ma:default="" ma:fieldId="{fba0e30c-8296-4238-a08c-8cfa9d18a3e9}" ma:taxonomyMulti="true" ma:sspId="0af8065e-e659-4f33-9ffa-669220b50881" ma:termSetId="45087f02-4128-44bc-9178-ad0e0abd76c4"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C75CA-51F0-4E1C-9015-F7974606832D}">
  <ds:schemaRefs>
    <ds:schemaRef ds:uri="http://schemas.microsoft.com/office/2006/metadata/properties"/>
    <ds:schemaRef ds:uri="http://schemas.microsoft.com/office/infopath/2007/PartnerControls"/>
    <ds:schemaRef ds:uri="fb2141da-1f12-4788-a0b0-9c6229778481"/>
  </ds:schemaRefs>
</ds:datastoreItem>
</file>

<file path=customXml/itemProps2.xml><?xml version="1.0" encoding="utf-8"?>
<ds:datastoreItem xmlns:ds="http://schemas.openxmlformats.org/officeDocument/2006/customXml" ds:itemID="{D796F104-67AE-4AC4-87A6-7A6E1AEAA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141da-1f12-4788-a0b0-9c6229778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098A2-48A2-430E-B6AA-4EEBC61B37E0}">
  <ds:schemaRefs>
    <ds:schemaRef ds:uri="http://schemas.microsoft.com/sharepoint/events"/>
  </ds:schemaRefs>
</ds:datastoreItem>
</file>

<file path=customXml/itemProps4.xml><?xml version="1.0" encoding="utf-8"?>
<ds:datastoreItem xmlns:ds="http://schemas.openxmlformats.org/officeDocument/2006/customXml" ds:itemID="{69186D0D-3303-4A21-883D-B999D1775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Dudley and CPP Branding</Template>
  <TotalTime>204</TotalTime>
  <Pages>7</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Corporate branding - document template - portrait FC</vt:lpstr>
    </vt:vector>
  </TitlesOfParts>
  <Company>Dudley MBC</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Nisha.Patel</dc:creator>
  <cp:keywords/>
  <dc:description/>
  <cp:lastModifiedBy>Nisha Sharred (Childrens and Young People Safeguarding and Review)</cp:lastModifiedBy>
  <cp:revision>25</cp:revision>
  <dcterms:created xsi:type="dcterms:W3CDTF">2022-11-22T14:54:00Z</dcterms:created>
  <dcterms:modified xsi:type="dcterms:W3CDTF">2022-11-23T15:59:00Z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0x01010074E7DFD4A38EF6468B2B24C5FA185DD5</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ies>
</file>