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2F1" w14:textId="77777777" w:rsidR="00530155" w:rsidRDefault="00390F1E" w:rsidP="003A79F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A79FD">
        <w:rPr>
          <w:rFonts w:cstheme="minorHAnsi"/>
          <w:b/>
          <w:bCs/>
          <w:sz w:val="28"/>
          <w:szCs w:val="28"/>
          <w:u w:val="single"/>
        </w:rPr>
        <w:t xml:space="preserve">Practice Guidance </w:t>
      </w:r>
    </w:p>
    <w:p w14:paraId="1014BF47" w14:textId="5F91AE80" w:rsidR="003A79FD" w:rsidRPr="004E3DC9" w:rsidRDefault="00530155" w:rsidP="003A79F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E3DC9">
        <w:rPr>
          <w:rFonts w:cstheme="minorHAnsi"/>
          <w:b/>
          <w:bCs/>
          <w:sz w:val="28"/>
          <w:szCs w:val="28"/>
          <w:u w:val="single"/>
        </w:rPr>
        <w:t xml:space="preserve">Children (including unborn) with Siblings Already Subject to Child Protection Plans  </w:t>
      </w:r>
    </w:p>
    <w:p w14:paraId="1B9987E0" w14:textId="37873AC6" w:rsidR="00375C49" w:rsidRPr="00A42324" w:rsidRDefault="00375C49" w:rsidP="00375C49">
      <w:pPr>
        <w:jc w:val="center"/>
        <w:rPr>
          <w:rFonts w:ascii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774D9D" wp14:editId="6059AECD">
                <wp:simplePos x="0" y="0"/>
                <wp:positionH relativeFrom="margin">
                  <wp:posOffset>2165985</wp:posOffset>
                </wp:positionH>
                <wp:positionV relativeFrom="margin">
                  <wp:align>top</wp:align>
                </wp:positionV>
                <wp:extent cx="2000885" cy="1960880"/>
                <wp:effectExtent l="0" t="0" r="0" b="12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32CC" w14:textId="306F5836" w:rsidR="00375C49" w:rsidRDefault="00375C49" w:rsidP="00375C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7DCCB" wp14:editId="6EFE3507">
                                  <wp:extent cx="1801368" cy="1801368"/>
                                  <wp:effectExtent l="19050" t="0" r="8382" b="0"/>
                                  <wp:docPr id="11" name="Picture 1" descr="CPP 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P logo small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68" cy="1801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4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55pt;margin-top:0;width:157.55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" stroked="f">
                <v:textbox>
                  <w:txbxContent>
                    <w:p w14:paraId="0FBA32CC" w14:textId="306F5836" w:rsidR="00375C49" w:rsidRDefault="00375C49" w:rsidP="00375C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7DCCB" wp14:editId="6EFE3507">
                            <wp:extent cx="1801368" cy="1801368"/>
                            <wp:effectExtent l="19050" t="0" r="8382" b="0"/>
                            <wp:docPr id="11" name="Picture 1" descr="CPP 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P logo small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68" cy="1801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05"/>
        <w:gridCol w:w="8549"/>
      </w:tblGrid>
      <w:tr w:rsidR="00375C49" w:rsidRPr="0008273A" w14:paraId="5C94355D" w14:textId="77777777" w:rsidTr="00E927C3">
        <w:trPr>
          <w:trHeight w:val="356"/>
        </w:trPr>
        <w:tc>
          <w:tcPr>
            <w:tcW w:w="748" w:type="pct"/>
          </w:tcPr>
          <w:p w14:paraId="6BFE59BD" w14:textId="77777777" w:rsidR="00375C49" w:rsidRPr="0005269C" w:rsidRDefault="00375C49" w:rsidP="0005269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5269C">
              <w:rPr>
                <w:rFonts w:cstheme="minorHAnsi"/>
                <w:b/>
                <w:sz w:val="28"/>
                <w:szCs w:val="28"/>
              </w:rPr>
              <w:t>Title:</w:t>
            </w:r>
          </w:p>
        </w:tc>
        <w:tc>
          <w:tcPr>
            <w:tcW w:w="4252" w:type="pct"/>
          </w:tcPr>
          <w:p w14:paraId="4F223FC6" w14:textId="208E6E84" w:rsidR="00390F1E" w:rsidRPr="0005269C" w:rsidRDefault="00390F1E" w:rsidP="0005269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5269C">
              <w:rPr>
                <w:rFonts w:cstheme="minorHAnsi"/>
                <w:b/>
                <w:sz w:val="28"/>
                <w:szCs w:val="28"/>
              </w:rPr>
              <w:t xml:space="preserve">Practice Guidance – </w:t>
            </w:r>
            <w:r w:rsidR="003113FB" w:rsidRPr="0005269C">
              <w:rPr>
                <w:rFonts w:cstheme="minorHAnsi"/>
                <w:b/>
                <w:sz w:val="28"/>
                <w:szCs w:val="28"/>
              </w:rPr>
              <w:t xml:space="preserve">Children (including unborn) with </w:t>
            </w:r>
            <w:r w:rsidR="00EB4D63" w:rsidRPr="0005269C">
              <w:rPr>
                <w:rFonts w:cstheme="minorHAnsi"/>
                <w:b/>
                <w:sz w:val="28"/>
                <w:szCs w:val="28"/>
              </w:rPr>
              <w:t xml:space="preserve">Siblings </w:t>
            </w:r>
            <w:r w:rsidR="003113FB" w:rsidRPr="0005269C">
              <w:rPr>
                <w:rFonts w:cstheme="minorHAnsi"/>
                <w:b/>
                <w:sz w:val="28"/>
                <w:szCs w:val="28"/>
              </w:rPr>
              <w:t>Already Subject to</w:t>
            </w:r>
            <w:r w:rsidR="00EB4D63" w:rsidRPr="0005269C">
              <w:rPr>
                <w:rFonts w:cstheme="minorHAnsi"/>
                <w:b/>
                <w:sz w:val="28"/>
                <w:szCs w:val="28"/>
              </w:rPr>
              <w:t xml:space="preserve"> Child Protection Plans </w:t>
            </w:r>
            <w:r w:rsidRPr="0005269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1369CAC2" w14:textId="77777777" w:rsidR="00375C49" w:rsidRPr="0005269C" w:rsidRDefault="00375C49" w:rsidP="000526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5C49" w:rsidRPr="0008273A" w14:paraId="10C0B7AA" w14:textId="77777777" w:rsidTr="00E927C3">
        <w:trPr>
          <w:trHeight w:val="357"/>
        </w:trPr>
        <w:tc>
          <w:tcPr>
            <w:tcW w:w="748" w:type="pct"/>
          </w:tcPr>
          <w:p w14:paraId="3CD0162A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Effective From: </w:t>
            </w:r>
          </w:p>
        </w:tc>
        <w:tc>
          <w:tcPr>
            <w:tcW w:w="4252" w:type="pct"/>
          </w:tcPr>
          <w:p w14:paraId="15EF19E2" w14:textId="1AE14C82" w:rsidR="00375C49" w:rsidRPr="000C429C" w:rsidRDefault="001C4F1C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1C4F1C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113FB">
              <w:rPr>
                <w:rFonts w:cstheme="minorHAnsi"/>
                <w:b/>
                <w:bCs/>
                <w:sz w:val="28"/>
                <w:szCs w:val="28"/>
              </w:rPr>
              <w:t>January 2023</w:t>
            </w:r>
            <w:r w:rsidR="00EB4D6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5C49" w:rsidRPr="0008273A" w14:paraId="37615EF1" w14:textId="77777777" w:rsidTr="00E927C3">
        <w:trPr>
          <w:trHeight w:val="841"/>
        </w:trPr>
        <w:tc>
          <w:tcPr>
            <w:tcW w:w="748" w:type="pct"/>
          </w:tcPr>
          <w:p w14:paraId="4C52AFF3" w14:textId="77777777" w:rsidR="00375C49" w:rsidRPr="000C429C" w:rsidRDefault="00375C49" w:rsidP="007F3D8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Practice Note: </w:t>
            </w:r>
          </w:p>
        </w:tc>
        <w:tc>
          <w:tcPr>
            <w:tcW w:w="4252" w:type="pct"/>
          </w:tcPr>
          <w:p w14:paraId="117601FA" w14:textId="70B31F21" w:rsidR="003113FB" w:rsidRDefault="003113FB" w:rsidP="00EB4D6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Where there are children (including unborn)</w:t>
            </w:r>
            <w:r w:rsidR="00EB4D63">
              <w:rPr>
                <w:rFonts w:cstheme="minorHAnsi"/>
                <w:sz w:val="28"/>
                <w:szCs w:val="28"/>
              </w:rPr>
              <w:t xml:space="preserve"> with siblings already subject to Child Protection Plans,</w:t>
            </w:r>
            <w:r w:rsidR="005F1E6F">
              <w:rPr>
                <w:rFonts w:cstheme="minorHAnsi"/>
                <w:sz w:val="28"/>
                <w:szCs w:val="28"/>
              </w:rPr>
              <w:t xml:space="preserve"> </w:t>
            </w:r>
            <w:r w:rsidR="0050342A">
              <w:rPr>
                <w:rFonts w:cstheme="minorHAnsi"/>
                <w:sz w:val="28"/>
                <w:szCs w:val="28"/>
              </w:rPr>
              <w:t>the same</w:t>
            </w:r>
            <w:r w:rsidR="005F1E6F">
              <w:rPr>
                <w:rFonts w:cstheme="minorHAnsi"/>
                <w:sz w:val="28"/>
                <w:szCs w:val="28"/>
              </w:rPr>
              <w:t xml:space="preserve"> safeguarding</w:t>
            </w:r>
            <w:r w:rsidR="00EB4D63">
              <w:rPr>
                <w:rFonts w:cstheme="minorHAnsi"/>
                <w:sz w:val="28"/>
                <w:szCs w:val="28"/>
              </w:rPr>
              <w:t xml:space="preserve"> process</w:t>
            </w:r>
            <w:r w:rsidR="0005269C">
              <w:rPr>
                <w:rFonts w:cstheme="minorHAnsi"/>
                <w:sz w:val="28"/>
                <w:szCs w:val="28"/>
              </w:rPr>
              <w:t>es</w:t>
            </w:r>
            <w:r w:rsidR="00EB4D63">
              <w:rPr>
                <w:rFonts w:cstheme="minorHAnsi"/>
                <w:sz w:val="28"/>
                <w:szCs w:val="28"/>
              </w:rPr>
              <w:t xml:space="preserve"> should be followed</w:t>
            </w:r>
            <w:r w:rsidR="00E927C3">
              <w:rPr>
                <w:rFonts w:cstheme="minorHAnsi"/>
                <w:sz w:val="28"/>
                <w:szCs w:val="28"/>
              </w:rPr>
              <w:t xml:space="preserve"> </w:t>
            </w:r>
            <w:r w:rsidR="00F22422">
              <w:rPr>
                <w:rFonts w:cstheme="minorHAnsi"/>
                <w:sz w:val="28"/>
                <w:szCs w:val="28"/>
              </w:rPr>
              <w:t xml:space="preserve">to present </w:t>
            </w:r>
            <w:r>
              <w:rPr>
                <w:rFonts w:cstheme="minorHAnsi"/>
                <w:sz w:val="28"/>
                <w:szCs w:val="28"/>
              </w:rPr>
              <w:t xml:space="preserve">these children’s cases to </w:t>
            </w:r>
            <w:r w:rsidR="00E927C3">
              <w:rPr>
                <w:rFonts w:cstheme="minorHAnsi"/>
                <w:sz w:val="28"/>
                <w:szCs w:val="28"/>
              </w:rPr>
              <w:t>Initial Child Protection Conference.</w:t>
            </w:r>
          </w:p>
          <w:p w14:paraId="1E3AC1E7" w14:textId="4F2D8E16" w:rsidR="00E927C3" w:rsidRDefault="00E927C3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1B0D3A9" w14:textId="587D09A8" w:rsidR="00E927C3" w:rsidRDefault="00E927C3" w:rsidP="00EB4D6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</w:t>
            </w:r>
            <w:r w:rsidR="007F46E2">
              <w:rPr>
                <w:rFonts w:cstheme="minorHAnsi"/>
                <w:sz w:val="28"/>
                <w:szCs w:val="28"/>
              </w:rPr>
              <w:t>is includes</w:t>
            </w:r>
            <w:r w:rsidR="00F11A48">
              <w:rPr>
                <w:rFonts w:cstheme="minorHAnsi"/>
                <w:sz w:val="28"/>
                <w:szCs w:val="28"/>
              </w:rPr>
              <w:t>:</w:t>
            </w:r>
          </w:p>
          <w:p w14:paraId="5D114A3B" w14:textId="77777777" w:rsidR="00BE68A7" w:rsidRDefault="00BE68A7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B00029D" w14:textId="01FF4FAD" w:rsidR="00BE68A7" w:rsidRDefault="00BE68A7" w:rsidP="00BE68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EB4D63" w:rsidRPr="00BE68A7">
              <w:rPr>
                <w:rFonts w:cstheme="minorHAnsi"/>
                <w:sz w:val="28"/>
                <w:szCs w:val="28"/>
              </w:rPr>
              <w:t xml:space="preserve">olding a Strategy Meeting to determine the </w:t>
            </w:r>
            <w:r w:rsidR="003113FB">
              <w:rPr>
                <w:rFonts w:cstheme="minorHAnsi"/>
                <w:sz w:val="28"/>
                <w:szCs w:val="28"/>
              </w:rPr>
              <w:t>c</w:t>
            </w:r>
            <w:r w:rsidRPr="00BE68A7">
              <w:rPr>
                <w:rFonts w:cstheme="minorHAnsi"/>
                <w:sz w:val="28"/>
                <w:szCs w:val="28"/>
              </w:rPr>
              <w:t xml:space="preserve">hild’s </w:t>
            </w:r>
            <w:r w:rsidR="00EB4D63" w:rsidRPr="00BE68A7">
              <w:rPr>
                <w:rFonts w:cstheme="minorHAnsi"/>
                <w:sz w:val="28"/>
                <w:szCs w:val="28"/>
              </w:rPr>
              <w:t>welfare</w:t>
            </w:r>
            <w:r w:rsidRPr="00BE68A7">
              <w:rPr>
                <w:rFonts w:cstheme="minorHAnsi"/>
                <w:sz w:val="28"/>
                <w:szCs w:val="28"/>
              </w:rPr>
              <w:t>,</w:t>
            </w:r>
            <w:r w:rsidR="00EB4D63" w:rsidRPr="00BE68A7">
              <w:rPr>
                <w:rFonts w:cstheme="minorHAnsi"/>
                <w:sz w:val="28"/>
                <w:szCs w:val="28"/>
              </w:rPr>
              <w:t xml:space="preserve"> and</w:t>
            </w:r>
            <w:r>
              <w:rPr>
                <w:rFonts w:cstheme="minorHAnsi"/>
                <w:sz w:val="28"/>
                <w:szCs w:val="28"/>
              </w:rPr>
              <w:t xml:space="preserve"> plan rapid future action if there is reasonable cause to suspect the child is suffering or likely to suffer significant harm.</w:t>
            </w:r>
          </w:p>
          <w:p w14:paraId="32CEB75C" w14:textId="3AA048D6" w:rsidR="00AF0263" w:rsidRDefault="00F11A48" w:rsidP="00BE68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Undertaking</w:t>
            </w:r>
            <w:r w:rsidR="00EB4D63" w:rsidRPr="00BE68A7">
              <w:rPr>
                <w:rFonts w:cstheme="minorHAnsi"/>
                <w:sz w:val="28"/>
                <w:szCs w:val="28"/>
              </w:rPr>
              <w:t xml:space="preserve"> a Section 47 Enquiry to decide whether and what type of action is needed to safeguard and promote the</w:t>
            </w:r>
            <w:r w:rsidR="00BE68A7" w:rsidRPr="00BE68A7">
              <w:rPr>
                <w:rFonts w:cstheme="minorHAnsi"/>
                <w:sz w:val="28"/>
                <w:szCs w:val="28"/>
              </w:rPr>
              <w:t xml:space="preserve"> </w:t>
            </w:r>
            <w:r w:rsidR="00BE68A7">
              <w:rPr>
                <w:rFonts w:cstheme="minorHAnsi"/>
                <w:sz w:val="28"/>
                <w:szCs w:val="28"/>
              </w:rPr>
              <w:t>welfare of the child</w:t>
            </w:r>
            <w:r w:rsidR="00BE68A7" w:rsidRPr="00BE68A7">
              <w:rPr>
                <w:rFonts w:cstheme="minorHAnsi"/>
                <w:sz w:val="28"/>
                <w:szCs w:val="28"/>
              </w:rPr>
              <w:t>.</w:t>
            </w:r>
          </w:p>
          <w:p w14:paraId="3F1A66FC" w14:textId="4C2EA1B6" w:rsidR="00F11A48" w:rsidRDefault="00F11A48" w:rsidP="00BE68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Convening an Initial Child Protection Conference to bring together and analyse, in an inter-agency setting, all relevant information, and plan how best to safeguard</w:t>
            </w:r>
            <w:r w:rsidR="005F1E6F">
              <w:rPr>
                <w:rFonts w:cstheme="minorHAnsi"/>
                <w:sz w:val="28"/>
                <w:szCs w:val="28"/>
              </w:rPr>
              <w:t xml:space="preserve"> and</w:t>
            </w:r>
            <w:r>
              <w:rPr>
                <w:rFonts w:cstheme="minorHAnsi"/>
                <w:sz w:val="28"/>
                <w:szCs w:val="28"/>
              </w:rPr>
              <w:t xml:space="preserve"> promote the welfare of the child.</w:t>
            </w:r>
          </w:p>
          <w:p w14:paraId="528427E0" w14:textId="4B375E0A" w:rsidR="00BE68A7" w:rsidRDefault="00BE68A7" w:rsidP="00BE68A7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61F78BB" w14:textId="214CD593" w:rsidR="00BE68A7" w:rsidRPr="00BE68A7" w:rsidRDefault="00BE68A7" w:rsidP="00BE68A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The same process</w:t>
            </w:r>
            <w:r w:rsidR="00D411A3">
              <w:rPr>
                <w:rFonts w:cstheme="minorHAnsi"/>
                <w:sz w:val="28"/>
                <w:szCs w:val="28"/>
              </w:rPr>
              <w:t>es</w:t>
            </w:r>
            <w:r>
              <w:rPr>
                <w:rFonts w:cstheme="minorHAnsi"/>
                <w:sz w:val="28"/>
                <w:szCs w:val="28"/>
              </w:rPr>
              <w:t xml:space="preserve"> would need to be followed for siblings joining households where children are already subject to Child Protection Plans. </w:t>
            </w:r>
          </w:p>
          <w:p w14:paraId="3A35A756" w14:textId="77777777" w:rsidR="00375C49" w:rsidRPr="000C429C" w:rsidRDefault="00375C49" w:rsidP="00EB4D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5C49" w:rsidRPr="0008273A" w14:paraId="683BCFAE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3F7A3B15" w14:textId="77EAA914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lastRenderedPageBreak/>
              <w:t>Author:</w:t>
            </w:r>
          </w:p>
        </w:tc>
        <w:tc>
          <w:tcPr>
            <w:tcW w:w="4252" w:type="pct"/>
            <w:shd w:val="clear" w:color="auto" w:fill="auto"/>
          </w:tcPr>
          <w:p w14:paraId="32398D2C" w14:textId="5B69E964" w:rsidR="00375C49" w:rsidRPr="000C429C" w:rsidRDefault="00AF026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>Senior Leadership Team</w:t>
            </w:r>
          </w:p>
          <w:p w14:paraId="75741A3D" w14:textId="77777777" w:rsidR="00375C49" w:rsidRPr="000C429C" w:rsidRDefault="00375C49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>Children’s Services, Dudley Council</w:t>
            </w:r>
          </w:p>
          <w:p w14:paraId="4F396746" w14:textId="511032A7" w:rsidR="00AF0263" w:rsidRPr="000C429C" w:rsidRDefault="00AF0263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75C49" w:rsidRPr="0008273A" w14:paraId="3755734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2D840F14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Authorised by:</w:t>
            </w:r>
          </w:p>
        </w:tc>
        <w:tc>
          <w:tcPr>
            <w:tcW w:w="4252" w:type="pct"/>
            <w:shd w:val="clear" w:color="auto" w:fill="auto"/>
          </w:tcPr>
          <w:p w14:paraId="3E434FB4" w14:textId="77777777" w:rsidR="00375C49" w:rsidRPr="000C429C" w:rsidRDefault="00375C49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 xml:space="preserve">Senior Leadership Team </w:t>
            </w:r>
          </w:p>
        </w:tc>
      </w:tr>
      <w:tr w:rsidR="00375C49" w:rsidRPr="0008273A" w14:paraId="5FECAF73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643417D3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4252" w:type="pct"/>
            <w:shd w:val="clear" w:color="auto" w:fill="auto"/>
          </w:tcPr>
          <w:p w14:paraId="69A41474" w14:textId="51616F30" w:rsidR="00375C49" w:rsidRDefault="00C42A30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C42A30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January 2023</w:t>
            </w:r>
          </w:p>
          <w:p w14:paraId="3D82D9DC" w14:textId="378AF9F6" w:rsidR="000C429C" w:rsidRPr="000C429C" w:rsidRDefault="000C429C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37B3" w:rsidRPr="0008273A" w14:paraId="4317EF7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114260C8" w14:textId="77777777" w:rsidR="00DA37B3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Reference Number:</w:t>
            </w:r>
          </w:p>
          <w:p w14:paraId="1A4C4900" w14:textId="58996EF4" w:rsidR="00DA37B3" w:rsidRPr="000C429C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pct"/>
            <w:shd w:val="clear" w:color="auto" w:fill="auto"/>
          </w:tcPr>
          <w:p w14:paraId="328EEE2C" w14:textId="77777777" w:rsidR="00DA37B3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994C7A" w14:textId="0FB90E51" w:rsidR="00DA37B3" w:rsidRPr="000C429C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37B3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44175">
              <w:rPr>
                <w:rFonts w:cstheme="minorHAnsi"/>
                <w:b/>
                <w:bCs/>
                <w:sz w:val="28"/>
                <w:szCs w:val="28"/>
              </w:rPr>
              <w:t>102</w:t>
            </w:r>
            <w:r w:rsidRPr="00DA37B3">
              <w:rPr>
                <w:rFonts w:cstheme="minorHAnsi"/>
                <w:b/>
                <w:bCs/>
                <w:sz w:val="28"/>
                <w:szCs w:val="28"/>
              </w:rPr>
              <w:t>/2022/CPP</w:t>
            </w:r>
          </w:p>
        </w:tc>
      </w:tr>
    </w:tbl>
    <w:p w14:paraId="77241886" w14:textId="77777777" w:rsidR="00375C49" w:rsidRDefault="00375C49" w:rsidP="00A95666">
      <w:pPr>
        <w:jc w:val="both"/>
        <w:rPr>
          <w:rFonts w:cstheme="minorHAnsi"/>
          <w:sz w:val="24"/>
          <w:szCs w:val="24"/>
        </w:rPr>
      </w:pPr>
    </w:p>
    <w:sectPr w:rsidR="00375C49" w:rsidSect="008E597E">
      <w:headerReference w:type="default" r:id="rId12"/>
      <w:footerReference w:type="default" r:id="rId13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574A" w14:textId="77777777" w:rsidR="004A4423" w:rsidRDefault="004A4423" w:rsidP="00D17782">
      <w:pPr>
        <w:spacing w:after="0" w:line="240" w:lineRule="auto"/>
      </w:pPr>
      <w:r>
        <w:separator/>
      </w:r>
    </w:p>
  </w:endnote>
  <w:endnote w:type="continuationSeparator" w:id="0">
    <w:p w14:paraId="40FFCEDA" w14:textId="77777777" w:rsidR="004A4423" w:rsidRDefault="004A4423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9247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B76C10" wp14:editId="4DB96732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4B09" w14:textId="77777777" w:rsidR="004A4423" w:rsidRDefault="004A4423" w:rsidP="00D17782">
      <w:pPr>
        <w:spacing w:after="0" w:line="240" w:lineRule="auto"/>
      </w:pPr>
      <w:r>
        <w:separator/>
      </w:r>
    </w:p>
  </w:footnote>
  <w:footnote w:type="continuationSeparator" w:id="0">
    <w:p w14:paraId="7E909748" w14:textId="77777777" w:rsidR="004A4423" w:rsidRDefault="004A4423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6013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F8892F" wp14:editId="0AB3CC75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97B4A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51C"/>
    <w:multiLevelType w:val="hybridMultilevel"/>
    <w:tmpl w:val="7424E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853"/>
    <w:multiLevelType w:val="hybridMultilevel"/>
    <w:tmpl w:val="15606FBE"/>
    <w:lvl w:ilvl="0" w:tplc="AD866F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70C3B"/>
    <w:multiLevelType w:val="hybridMultilevel"/>
    <w:tmpl w:val="AF3C08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917"/>
    <w:multiLevelType w:val="hybridMultilevel"/>
    <w:tmpl w:val="643A865E"/>
    <w:lvl w:ilvl="0" w:tplc="32D8EF4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5C55"/>
    <w:multiLevelType w:val="hybridMultilevel"/>
    <w:tmpl w:val="0ED692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14C"/>
    <w:multiLevelType w:val="hybridMultilevel"/>
    <w:tmpl w:val="2AA8D7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14B"/>
    <w:multiLevelType w:val="hybridMultilevel"/>
    <w:tmpl w:val="A930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304"/>
    <w:multiLevelType w:val="hybridMultilevel"/>
    <w:tmpl w:val="FBB63B58"/>
    <w:lvl w:ilvl="0" w:tplc="EDCC3E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6CAB"/>
    <w:multiLevelType w:val="hybridMultilevel"/>
    <w:tmpl w:val="0F4AC4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3272481"/>
    <w:multiLevelType w:val="hybridMultilevel"/>
    <w:tmpl w:val="67B62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526A"/>
    <w:multiLevelType w:val="hybridMultilevel"/>
    <w:tmpl w:val="ECD07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69507B50"/>
    <w:multiLevelType w:val="hybridMultilevel"/>
    <w:tmpl w:val="5F944C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0B34"/>
    <w:multiLevelType w:val="hybridMultilevel"/>
    <w:tmpl w:val="A7248696"/>
    <w:lvl w:ilvl="0" w:tplc="B80410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DF2"/>
    <w:multiLevelType w:val="hybridMultilevel"/>
    <w:tmpl w:val="F6F0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25E6E"/>
    <w:multiLevelType w:val="hybridMultilevel"/>
    <w:tmpl w:val="0606601C"/>
    <w:lvl w:ilvl="0" w:tplc="26281F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0397B"/>
    <w:multiLevelType w:val="hybridMultilevel"/>
    <w:tmpl w:val="D8B2A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2FCC"/>
    <w:multiLevelType w:val="hybridMultilevel"/>
    <w:tmpl w:val="1BDAE5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5"/>
  </w:num>
  <w:num w:numId="15">
    <w:abstractNumId w:val="21"/>
  </w:num>
  <w:num w:numId="16">
    <w:abstractNumId w:val="20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66"/>
    <w:rsid w:val="0005269C"/>
    <w:rsid w:val="00075412"/>
    <w:rsid w:val="000C166D"/>
    <w:rsid w:val="000C429C"/>
    <w:rsid w:val="000D4E4E"/>
    <w:rsid w:val="001C4F1C"/>
    <w:rsid w:val="00264BCD"/>
    <w:rsid w:val="00273606"/>
    <w:rsid w:val="003113FB"/>
    <w:rsid w:val="00375C49"/>
    <w:rsid w:val="00390F1E"/>
    <w:rsid w:val="003A79FD"/>
    <w:rsid w:val="004A4423"/>
    <w:rsid w:val="004E3DC9"/>
    <w:rsid w:val="004F1E8F"/>
    <w:rsid w:val="0050342A"/>
    <w:rsid w:val="00530155"/>
    <w:rsid w:val="0054010A"/>
    <w:rsid w:val="005816B3"/>
    <w:rsid w:val="005F1E6F"/>
    <w:rsid w:val="00690C54"/>
    <w:rsid w:val="006F0B81"/>
    <w:rsid w:val="00781A28"/>
    <w:rsid w:val="007F46E2"/>
    <w:rsid w:val="0082678D"/>
    <w:rsid w:val="008B27B6"/>
    <w:rsid w:val="008E597E"/>
    <w:rsid w:val="00A72D74"/>
    <w:rsid w:val="00A95666"/>
    <w:rsid w:val="00AF0263"/>
    <w:rsid w:val="00B50BE8"/>
    <w:rsid w:val="00B60041"/>
    <w:rsid w:val="00B9538F"/>
    <w:rsid w:val="00BE68A7"/>
    <w:rsid w:val="00BE76FA"/>
    <w:rsid w:val="00C42A30"/>
    <w:rsid w:val="00C775CB"/>
    <w:rsid w:val="00C94BF7"/>
    <w:rsid w:val="00CC7E25"/>
    <w:rsid w:val="00D17782"/>
    <w:rsid w:val="00D411A3"/>
    <w:rsid w:val="00D54FF7"/>
    <w:rsid w:val="00DA37B3"/>
    <w:rsid w:val="00E44175"/>
    <w:rsid w:val="00E927C3"/>
    <w:rsid w:val="00EB4D63"/>
    <w:rsid w:val="00F00D85"/>
    <w:rsid w:val="00F11A48"/>
    <w:rsid w:val="00F22422"/>
    <w:rsid w:val="00F23E26"/>
    <w:rsid w:val="00F26BCD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01D8"/>
  <w15:chartTrackingRefBased/>
  <w15:docId w15:val="{FD03BC3F-A7AD-41CA-A284-F2003C7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3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 Patel</dc:creator>
  <cp:keywords/>
  <dc:description/>
  <cp:lastModifiedBy>Alia Siddique (Childrens and Young People Safeguarding and Review)</cp:lastModifiedBy>
  <cp:revision>2</cp:revision>
  <dcterms:created xsi:type="dcterms:W3CDTF">2023-01-16T13:17:00Z</dcterms:created>
  <dcterms:modified xsi:type="dcterms:W3CDTF">2023-01-16T13:17:00Z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