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8569" w14:textId="77777777" w:rsidR="00B51012" w:rsidRDefault="00B51012" w:rsidP="009856B9">
      <w:pPr>
        <w:rPr>
          <w:rFonts w:ascii="Tahoma" w:hAnsi="Tahoma" w:cs="Tahoma"/>
          <w:b/>
          <w:bCs/>
          <w:color w:val="0070C0"/>
          <w:sz w:val="28"/>
          <w:szCs w:val="28"/>
        </w:rPr>
      </w:pPr>
      <w:r>
        <w:rPr>
          <w:rFonts w:ascii="Tahoma" w:hAnsi="Tahoma" w:cs="Tahoma"/>
          <w:b/>
          <w:bCs/>
          <w:noProof/>
          <w:color w:val="0070C0"/>
          <w:sz w:val="28"/>
          <w:szCs w:val="28"/>
        </w:rPr>
        <w:drawing>
          <wp:anchor distT="0" distB="0" distL="114300" distR="114300" simplePos="0" relativeHeight="251658240" behindDoc="0" locked="0" layoutInCell="1" allowOverlap="1" wp14:anchorId="118C9551" wp14:editId="2F919BFA">
            <wp:simplePos x="0" y="0"/>
            <wp:positionH relativeFrom="column">
              <wp:posOffset>0</wp:posOffset>
            </wp:positionH>
            <wp:positionV relativeFrom="paragraph">
              <wp:posOffset>-314325</wp:posOffset>
            </wp:positionV>
            <wp:extent cx="2249805" cy="450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9805" cy="450850"/>
                    </a:xfrm>
                    <a:prstGeom prst="rect">
                      <a:avLst/>
                    </a:prstGeom>
                    <a:noFill/>
                  </pic:spPr>
                </pic:pic>
              </a:graphicData>
            </a:graphic>
          </wp:anchor>
        </w:drawing>
      </w:r>
    </w:p>
    <w:p w14:paraId="6CAF2D99" w14:textId="35CF9291" w:rsidR="009856B9" w:rsidRDefault="009856B9" w:rsidP="009856B9">
      <w:pPr>
        <w:rPr>
          <w:rFonts w:ascii="Tahoma" w:hAnsi="Tahoma" w:cs="Tahoma"/>
          <w:b/>
          <w:bCs/>
          <w:color w:val="0070C0"/>
          <w:sz w:val="28"/>
          <w:szCs w:val="28"/>
        </w:rPr>
      </w:pPr>
      <w:r w:rsidRPr="009856B9">
        <w:rPr>
          <w:rFonts w:ascii="Tahoma" w:hAnsi="Tahoma" w:cs="Tahoma"/>
          <w:b/>
          <w:bCs/>
          <w:color w:val="0070C0"/>
          <w:sz w:val="28"/>
          <w:szCs w:val="28"/>
        </w:rPr>
        <w:t>Practice Guidance - access to secondary healthcare (</w:t>
      </w:r>
      <w:proofErr w:type="spellStart"/>
      <w:proofErr w:type="gramStart"/>
      <w:r w:rsidRPr="009856B9">
        <w:rPr>
          <w:rFonts w:ascii="Tahoma" w:hAnsi="Tahoma" w:cs="Tahoma"/>
          <w:b/>
          <w:bCs/>
          <w:color w:val="0070C0"/>
          <w:sz w:val="28"/>
          <w:szCs w:val="28"/>
        </w:rPr>
        <w:t>eg</w:t>
      </w:r>
      <w:proofErr w:type="spellEnd"/>
      <w:proofErr w:type="gramEnd"/>
      <w:r w:rsidRPr="009856B9">
        <w:rPr>
          <w:rFonts w:ascii="Tahoma" w:hAnsi="Tahoma" w:cs="Tahoma"/>
          <w:b/>
          <w:bCs/>
          <w:color w:val="0070C0"/>
          <w:sz w:val="28"/>
          <w:szCs w:val="28"/>
        </w:rPr>
        <w:t xml:space="preserve"> CAMHS) services for Children in Care living out of area </w:t>
      </w:r>
    </w:p>
    <w:p w14:paraId="445D1FC0" w14:textId="77777777" w:rsidR="00935540" w:rsidRDefault="00935540" w:rsidP="009856B9">
      <w:pPr>
        <w:rPr>
          <w:rFonts w:ascii="Tahoma" w:hAnsi="Tahoma" w:cs="Tahoma"/>
          <w:b/>
          <w:bCs/>
          <w:color w:val="0070C0"/>
          <w:sz w:val="24"/>
          <w:szCs w:val="24"/>
        </w:rPr>
      </w:pPr>
    </w:p>
    <w:p w14:paraId="17753494" w14:textId="5B2F65B1" w:rsidR="009856B9" w:rsidRPr="009856B9" w:rsidRDefault="009856B9" w:rsidP="009856B9">
      <w:pPr>
        <w:rPr>
          <w:rFonts w:ascii="Tahoma" w:hAnsi="Tahoma" w:cs="Tahoma"/>
          <w:b/>
          <w:bCs/>
          <w:color w:val="0070C0"/>
          <w:sz w:val="24"/>
          <w:szCs w:val="24"/>
        </w:rPr>
      </w:pPr>
      <w:r>
        <w:rPr>
          <w:rFonts w:ascii="Tahoma" w:hAnsi="Tahoma" w:cs="Tahoma"/>
          <w:b/>
          <w:bCs/>
          <w:color w:val="0070C0"/>
          <w:sz w:val="24"/>
          <w:szCs w:val="24"/>
        </w:rPr>
        <w:t>Preparations b</w:t>
      </w:r>
      <w:r w:rsidRPr="009856B9">
        <w:rPr>
          <w:rFonts w:ascii="Tahoma" w:hAnsi="Tahoma" w:cs="Tahoma"/>
          <w:b/>
          <w:bCs/>
          <w:color w:val="0070C0"/>
          <w:sz w:val="24"/>
          <w:szCs w:val="24"/>
        </w:rPr>
        <w:t>efore the child or young person moves home</w:t>
      </w:r>
    </w:p>
    <w:p w14:paraId="066EDE1F" w14:textId="5711013C" w:rsidR="009856B9" w:rsidRDefault="009856B9" w:rsidP="009856B9">
      <w:pPr>
        <w:rPr>
          <w:rFonts w:ascii="Tahoma" w:hAnsi="Tahoma" w:cs="Tahoma"/>
        </w:rPr>
      </w:pPr>
      <w:r w:rsidRPr="009856B9">
        <w:rPr>
          <w:rFonts w:ascii="Tahoma" w:hAnsi="Tahoma" w:cs="Tahoma"/>
        </w:rPr>
        <w:t>Before the child/young person moves into their new home, the social worker should ensure that the  Integrated Care Board (ICB) and Local Authority/Trust where the child/ young person is moving are notified of the arrangement. If the placement is made in an emergency these notifications must be sent within 5 working days of the child/ young person moving. The relevant ICB and Local Authority/Trust can be identified using the NHS website. The Placements Team can help identify who should be notified in the ICB, and the address.</w:t>
      </w:r>
    </w:p>
    <w:p w14:paraId="782BA070" w14:textId="16990621" w:rsidR="009856B9" w:rsidRPr="009856B9" w:rsidRDefault="009856B9" w:rsidP="009856B9">
      <w:pPr>
        <w:rPr>
          <w:rFonts w:ascii="Tahoma" w:hAnsi="Tahoma" w:cs="Tahoma"/>
          <w:b/>
          <w:bCs/>
          <w:color w:val="0070C0"/>
          <w:sz w:val="24"/>
          <w:szCs w:val="24"/>
        </w:rPr>
      </w:pPr>
      <w:r w:rsidRPr="009856B9">
        <w:rPr>
          <w:rFonts w:ascii="Tahoma" w:hAnsi="Tahoma" w:cs="Tahoma"/>
          <w:b/>
          <w:bCs/>
          <w:color w:val="0070C0"/>
          <w:sz w:val="24"/>
          <w:szCs w:val="24"/>
        </w:rPr>
        <w:t>Once the child/ young person has moved home</w:t>
      </w:r>
    </w:p>
    <w:p w14:paraId="664C0242" w14:textId="77777777" w:rsidR="009856B9" w:rsidRPr="009856B9" w:rsidRDefault="009856B9" w:rsidP="009856B9">
      <w:pPr>
        <w:rPr>
          <w:rFonts w:ascii="Tahoma" w:hAnsi="Tahoma" w:cs="Tahoma"/>
        </w:rPr>
      </w:pPr>
      <w:r w:rsidRPr="009856B9">
        <w:rPr>
          <w:rFonts w:ascii="Tahoma" w:hAnsi="Tahoma" w:cs="Tahoma"/>
        </w:rPr>
        <w:t xml:space="preserve">The social worker must ensure that the child/young person has been registered with a local GP. In some </w:t>
      </w:r>
      <w:proofErr w:type="gramStart"/>
      <w:r w:rsidRPr="009856B9">
        <w:rPr>
          <w:rFonts w:ascii="Tahoma" w:hAnsi="Tahoma" w:cs="Tahoma"/>
        </w:rPr>
        <w:t>cases</w:t>
      </w:r>
      <w:proofErr w:type="gramEnd"/>
      <w:r w:rsidRPr="009856B9">
        <w:rPr>
          <w:rFonts w:ascii="Tahoma" w:hAnsi="Tahoma" w:cs="Tahoma"/>
        </w:rPr>
        <w:t xml:space="preserve"> the GP may obtain services from a different ICB than that covered by the home address of the child. A telephone call to the GP surgery will clarify which ICB they obtain services from, including their local CAMHS provider. </w:t>
      </w:r>
    </w:p>
    <w:p w14:paraId="0CFF8442" w14:textId="77777777" w:rsidR="009856B9" w:rsidRPr="009856B9" w:rsidRDefault="009856B9" w:rsidP="009856B9">
      <w:pPr>
        <w:rPr>
          <w:rFonts w:ascii="Tahoma" w:hAnsi="Tahoma" w:cs="Tahoma"/>
        </w:rPr>
      </w:pPr>
      <w:r w:rsidRPr="009856B9">
        <w:rPr>
          <w:rFonts w:ascii="Tahoma" w:hAnsi="Tahoma" w:cs="Tahoma"/>
        </w:rPr>
        <w:t xml:space="preserve">The social worker needs to ensure that the appropriate consent has been obtained to access mental and other health services for the child/young person: </w:t>
      </w:r>
    </w:p>
    <w:p w14:paraId="41818921" w14:textId="34A91ED8" w:rsidR="009856B9" w:rsidRPr="009856B9" w:rsidRDefault="009856B9" w:rsidP="009856B9">
      <w:pPr>
        <w:pStyle w:val="ListParagraph"/>
        <w:numPr>
          <w:ilvl w:val="0"/>
          <w:numId w:val="5"/>
        </w:numPr>
        <w:rPr>
          <w:rFonts w:ascii="Tahoma" w:hAnsi="Tahoma" w:cs="Tahoma"/>
        </w:rPr>
      </w:pPr>
      <w:r w:rsidRPr="009856B9">
        <w:rPr>
          <w:rFonts w:ascii="Tahoma" w:hAnsi="Tahoma" w:cs="Tahoma"/>
        </w:rPr>
        <w:t>A parent or other person who holds parental responsibility may give consent;</w:t>
      </w:r>
    </w:p>
    <w:p w14:paraId="62F5311B" w14:textId="77777777" w:rsidR="009856B9" w:rsidRPr="009856B9" w:rsidRDefault="009856B9" w:rsidP="009856B9">
      <w:pPr>
        <w:pStyle w:val="ListParagraph"/>
        <w:numPr>
          <w:ilvl w:val="0"/>
          <w:numId w:val="5"/>
        </w:numPr>
        <w:rPr>
          <w:rFonts w:ascii="Tahoma" w:hAnsi="Tahoma" w:cs="Tahoma"/>
        </w:rPr>
      </w:pPr>
      <w:r w:rsidRPr="009856B9">
        <w:rPr>
          <w:rFonts w:ascii="Tahoma" w:hAnsi="Tahoma" w:cs="Tahoma"/>
        </w:rPr>
        <w:t>If the child/young person is the subject of a care order, and it is inappropriate or not practicable to obtain the consent of a parent, the Team Manager may give consent on behalf of the Children's Trust;</w:t>
      </w:r>
    </w:p>
    <w:p w14:paraId="217696D3" w14:textId="24441563" w:rsidR="009856B9" w:rsidRPr="009856B9" w:rsidRDefault="009856B9" w:rsidP="009856B9">
      <w:pPr>
        <w:pStyle w:val="ListParagraph"/>
        <w:numPr>
          <w:ilvl w:val="0"/>
          <w:numId w:val="5"/>
        </w:numPr>
        <w:rPr>
          <w:rFonts w:ascii="Tahoma" w:hAnsi="Tahoma" w:cs="Tahoma"/>
        </w:rPr>
      </w:pPr>
      <w:r w:rsidRPr="009856B9">
        <w:rPr>
          <w:rFonts w:ascii="Tahoma" w:hAnsi="Tahoma" w:cs="Tahoma"/>
        </w:rPr>
        <w:t>If the young person is aged 16+ they may give consent.</w:t>
      </w:r>
    </w:p>
    <w:p w14:paraId="5D84DC57" w14:textId="07BDB96F" w:rsidR="009856B9" w:rsidRPr="009856B9" w:rsidRDefault="009856B9" w:rsidP="009856B9">
      <w:pPr>
        <w:rPr>
          <w:rFonts w:ascii="Tahoma" w:hAnsi="Tahoma" w:cs="Tahoma"/>
        </w:rPr>
      </w:pPr>
      <w:r w:rsidRPr="009856B9">
        <w:rPr>
          <w:rFonts w:ascii="Tahoma" w:hAnsi="Tahoma" w:cs="Tahoma"/>
        </w:rPr>
        <w:t xml:space="preserve">The social worker will </w:t>
      </w:r>
      <w:r>
        <w:rPr>
          <w:rFonts w:ascii="Tahoma" w:hAnsi="Tahoma" w:cs="Tahoma"/>
        </w:rPr>
        <w:t xml:space="preserve">need to </w:t>
      </w:r>
      <w:r w:rsidRPr="009856B9">
        <w:rPr>
          <w:rFonts w:ascii="Tahoma" w:hAnsi="Tahoma" w:cs="Tahoma"/>
        </w:rPr>
        <w:t>identify a local CAMHS or other secondary service provider, using the NHS Find your local Integrated Care Board facility. The worker should contact the provider to establish their referral process (for example whether they have a standard referral form) and check what additional information they may need.</w:t>
      </w:r>
    </w:p>
    <w:p w14:paraId="4D05DE94" w14:textId="77777777" w:rsidR="009856B9" w:rsidRPr="009856B9" w:rsidRDefault="009856B9" w:rsidP="009856B9">
      <w:pPr>
        <w:rPr>
          <w:rFonts w:ascii="Tahoma" w:hAnsi="Tahoma" w:cs="Tahoma"/>
        </w:rPr>
      </w:pPr>
      <w:r w:rsidRPr="009856B9">
        <w:rPr>
          <w:rFonts w:ascii="Tahoma" w:hAnsi="Tahoma" w:cs="Tahoma"/>
        </w:rPr>
        <w:t>If the provider intends to re-charge the Birmingham ICB for services, the worker should notify them of the Birmingham ICB requirements – this is normally a two-stage process in which the Birmingham ICB first agrees funding for an assessment, and then agrees funding for the recommended intervention. The provider should send details of their costs to the worker who will forward them to the complex care commissioning team.</w:t>
      </w:r>
    </w:p>
    <w:p w14:paraId="7538BFF6" w14:textId="6BBEFD5D" w:rsidR="009856B9" w:rsidRPr="009856B9" w:rsidRDefault="009856B9" w:rsidP="009856B9">
      <w:pPr>
        <w:rPr>
          <w:rFonts w:ascii="Tahoma" w:hAnsi="Tahoma" w:cs="Tahoma"/>
        </w:rPr>
      </w:pPr>
      <w:r w:rsidRPr="009856B9">
        <w:rPr>
          <w:rFonts w:ascii="Tahoma" w:hAnsi="Tahoma" w:cs="Tahoma"/>
        </w:rPr>
        <w:t>The request for funding approval form to access secondary healthcare (</w:t>
      </w:r>
      <w:proofErr w:type="spellStart"/>
      <w:r w:rsidRPr="009856B9">
        <w:rPr>
          <w:rFonts w:ascii="Tahoma" w:hAnsi="Tahoma" w:cs="Tahoma"/>
        </w:rPr>
        <w:t>eg</w:t>
      </w:r>
      <w:proofErr w:type="spellEnd"/>
      <w:r w:rsidRPr="009856B9">
        <w:rPr>
          <w:rFonts w:ascii="Tahoma" w:hAnsi="Tahoma" w:cs="Tahoma"/>
        </w:rPr>
        <w:t xml:space="preserve"> CAMHS) support for a child placed out of area is in </w:t>
      </w:r>
      <w:hyperlink r:id="rId8" w:history="1">
        <w:proofErr w:type="spellStart"/>
        <w:r w:rsidR="00935540" w:rsidRPr="00935540">
          <w:rPr>
            <w:rStyle w:val="Hyperlink"/>
            <w:rFonts w:ascii="Tahoma" w:hAnsi="Tahoma" w:cs="Tahoma"/>
          </w:rPr>
          <w:t>Tri.x</w:t>
        </w:r>
        <w:proofErr w:type="spellEnd"/>
        <w:r w:rsidR="00935540" w:rsidRPr="00935540">
          <w:rPr>
            <w:rStyle w:val="Hyperlink"/>
            <w:rFonts w:ascii="Tahoma" w:hAnsi="Tahoma" w:cs="Tahoma"/>
          </w:rPr>
          <w:t xml:space="preserve"> </w:t>
        </w:r>
        <w:r w:rsidRPr="00935540">
          <w:rPr>
            <w:rStyle w:val="Hyperlink"/>
            <w:rFonts w:ascii="Tahoma" w:hAnsi="Tahoma" w:cs="Tahoma"/>
          </w:rPr>
          <w:t>Practice Guidance</w:t>
        </w:r>
      </w:hyperlink>
      <w:r w:rsidRPr="009856B9">
        <w:rPr>
          <w:rFonts w:ascii="Tahoma" w:hAnsi="Tahoma" w:cs="Tahoma"/>
        </w:rPr>
        <w:t xml:space="preserve"> </w:t>
      </w:r>
    </w:p>
    <w:p w14:paraId="1D29254C" w14:textId="05B95555" w:rsidR="009856B9" w:rsidRPr="009856B9" w:rsidRDefault="009856B9" w:rsidP="009856B9">
      <w:pPr>
        <w:rPr>
          <w:rFonts w:ascii="Tahoma" w:hAnsi="Tahoma" w:cs="Tahoma"/>
        </w:rPr>
      </w:pPr>
      <w:r w:rsidRPr="009856B9">
        <w:rPr>
          <w:rFonts w:ascii="Tahoma" w:hAnsi="Tahoma" w:cs="Tahoma"/>
        </w:rPr>
        <w:t xml:space="preserve">Completed funding request forms should be sent to </w:t>
      </w:r>
      <w:hyperlink r:id="rId9" w:history="1">
        <w:r w:rsidR="00935540" w:rsidRPr="00396D47">
          <w:rPr>
            <w:rStyle w:val="Hyperlink"/>
            <w:rFonts w:ascii="Tahoma" w:hAnsi="Tahoma" w:cs="Tahoma"/>
          </w:rPr>
          <w:t>bham.ccp@nhs.net</w:t>
        </w:r>
      </w:hyperlink>
      <w:r w:rsidR="00935540">
        <w:rPr>
          <w:rFonts w:ascii="Tahoma" w:hAnsi="Tahoma" w:cs="Tahoma"/>
        </w:rPr>
        <w:t xml:space="preserve"> </w:t>
      </w:r>
      <w:r w:rsidRPr="009856B9">
        <w:rPr>
          <w:rFonts w:ascii="Tahoma" w:hAnsi="Tahoma" w:cs="Tahoma"/>
        </w:rPr>
        <w:t xml:space="preserve"> Please note the guidance on the form regarding the requirement to use a secure email route. </w:t>
      </w:r>
    </w:p>
    <w:p w14:paraId="01EFC075" w14:textId="6716921C" w:rsidR="00935540" w:rsidRPr="009856B9" w:rsidRDefault="009856B9" w:rsidP="009856B9">
      <w:pPr>
        <w:rPr>
          <w:rFonts w:ascii="Tahoma" w:hAnsi="Tahoma" w:cs="Tahoma"/>
        </w:rPr>
      </w:pPr>
      <w:r w:rsidRPr="009856B9">
        <w:rPr>
          <w:rFonts w:ascii="Tahoma" w:hAnsi="Tahoma" w:cs="Tahoma"/>
        </w:rPr>
        <w:t xml:space="preserve">If the local provider is unable or unwilling to provide a timely service, or there is any other difficulty in accessing a service the social worker should contact the </w:t>
      </w:r>
      <w:r w:rsidR="00935540">
        <w:rPr>
          <w:rFonts w:ascii="Tahoma" w:hAnsi="Tahoma" w:cs="Tahoma"/>
        </w:rPr>
        <w:t xml:space="preserve">Trust’s </w:t>
      </w:r>
      <w:r w:rsidRPr="009856B9">
        <w:rPr>
          <w:rFonts w:ascii="Tahoma" w:hAnsi="Tahoma" w:cs="Tahoma"/>
        </w:rPr>
        <w:t xml:space="preserve">in-house Therapeutic Emotional Support Service (TESS) </w:t>
      </w:r>
      <w:hyperlink r:id="rId10" w:history="1">
        <w:r w:rsidR="00935540" w:rsidRPr="00396D47">
          <w:rPr>
            <w:rStyle w:val="Hyperlink"/>
            <w:rFonts w:ascii="Tahoma" w:hAnsi="Tahoma" w:cs="Tahoma"/>
          </w:rPr>
          <w:t>TESS@birminghamchildrenstrust.co.uk</w:t>
        </w:r>
      </w:hyperlink>
    </w:p>
    <w:sectPr w:rsidR="00935540" w:rsidRPr="009856B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3B17" w14:textId="77777777" w:rsidR="00935540" w:rsidRDefault="00935540" w:rsidP="00935540">
      <w:pPr>
        <w:spacing w:after="0" w:line="240" w:lineRule="auto"/>
      </w:pPr>
      <w:r>
        <w:separator/>
      </w:r>
    </w:p>
  </w:endnote>
  <w:endnote w:type="continuationSeparator" w:id="0">
    <w:p w14:paraId="6BD96DBB" w14:textId="77777777" w:rsidR="00935540" w:rsidRDefault="00935540" w:rsidP="0093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999668"/>
      <w:docPartObj>
        <w:docPartGallery w:val="Page Numbers (Bottom of Page)"/>
        <w:docPartUnique/>
      </w:docPartObj>
    </w:sdtPr>
    <w:sdtEndPr>
      <w:rPr>
        <w:rFonts w:ascii="Tahoma" w:hAnsi="Tahoma" w:cs="Tahoma"/>
        <w:noProof/>
      </w:rPr>
    </w:sdtEndPr>
    <w:sdtContent>
      <w:p w14:paraId="2E3ACBE4" w14:textId="406C8FC5" w:rsidR="00935540" w:rsidRPr="00935540" w:rsidRDefault="00935540">
        <w:pPr>
          <w:pStyle w:val="Footer"/>
          <w:jc w:val="center"/>
          <w:rPr>
            <w:rFonts w:ascii="Tahoma" w:hAnsi="Tahoma" w:cs="Tahoma"/>
          </w:rPr>
        </w:pPr>
        <w:r w:rsidRPr="00935540">
          <w:rPr>
            <w:rFonts w:ascii="Tahoma" w:hAnsi="Tahoma" w:cs="Tahoma"/>
          </w:rPr>
          <w:fldChar w:fldCharType="begin"/>
        </w:r>
        <w:r w:rsidRPr="00935540">
          <w:rPr>
            <w:rFonts w:ascii="Tahoma" w:hAnsi="Tahoma" w:cs="Tahoma"/>
          </w:rPr>
          <w:instrText xml:space="preserve"> PAGE   \* MERGEFORMAT </w:instrText>
        </w:r>
        <w:r w:rsidRPr="00935540">
          <w:rPr>
            <w:rFonts w:ascii="Tahoma" w:hAnsi="Tahoma" w:cs="Tahoma"/>
          </w:rPr>
          <w:fldChar w:fldCharType="separate"/>
        </w:r>
        <w:r w:rsidRPr="00935540">
          <w:rPr>
            <w:rFonts w:ascii="Tahoma" w:hAnsi="Tahoma" w:cs="Tahoma"/>
            <w:noProof/>
          </w:rPr>
          <w:t>2</w:t>
        </w:r>
        <w:r w:rsidRPr="00935540">
          <w:rPr>
            <w:rFonts w:ascii="Tahoma" w:hAnsi="Tahoma" w:cs="Tahoma"/>
            <w:noProof/>
          </w:rPr>
          <w:fldChar w:fldCharType="end"/>
        </w:r>
      </w:p>
    </w:sdtContent>
  </w:sdt>
  <w:p w14:paraId="20D0111F" w14:textId="499A5115" w:rsidR="00935540" w:rsidRPr="00935540" w:rsidRDefault="00935540" w:rsidP="00935540">
    <w:pPr>
      <w:pStyle w:val="Footer"/>
      <w:jc w:val="right"/>
      <w:rPr>
        <w:rFonts w:ascii="Tahoma" w:hAnsi="Tahoma" w:cs="Tahoma"/>
      </w:rPr>
    </w:pPr>
    <w:r w:rsidRPr="00935540">
      <w:rPr>
        <w:rFonts w:ascii="Tahoma" w:hAnsi="Tahoma" w:cs="Tahoma"/>
      </w:rPr>
      <w:t xml:space="preserve">Access to secondary health services for </w:t>
    </w:r>
    <w:proofErr w:type="spellStart"/>
    <w:r w:rsidRPr="00935540">
      <w:rPr>
        <w:rFonts w:ascii="Tahoma" w:hAnsi="Tahoma" w:cs="Tahoma"/>
      </w:rPr>
      <w:t>CiC</w:t>
    </w:r>
    <w:proofErr w:type="spellEnd"/>
    <w:r w:rsidRPr="00935540">
      <w:rPr>
        <w:rFonts w:ascii="Tahoma" w:hAnsi="Tahoma" w:cs="Tahoma"/>
      </w:rPr>
      <w:t xml:space="preserve"> living out of area</w:t>
    </w:r>
  </w:p>
  <w:p w14:paraId="402579E1" w14:textId="24F6C831" w:rsidR="00935540" w:rsidRPr="00935540" w:rsidRDefault="00935540" w:rsidP="00935540">
    <w:pPr>
      <w:pStyle w:val="Footer"/>
      <w:jc w:val="right"/>
      <w:rPr>
        <w:rFonts w:ascii="Tahoma" w:hAnsi="Tahoma" w:cs="Tahoma"/>
      </w:rPr>
    </w:pPr>
    <w:r w:rsidRPr="00935540">
      <w:rPr>
        <w:rFonts w:ascii="Tahoma" w:hAnsi="Tahoma" w:cs="Tahoma"/>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695E" w14:textId="77777777" w:rsidR="00935540" w:rsidRDefault="00935540" w:rsidP="00935540">
      <w:pPr>
        <w:spacing w:after="0" w:line="240" w:lineRule="auto"/>
      </w:pPr>
      <w:r>
        <w:separator/>
      </w:r>
    </w:p>
  </w:footnote>
  <w:footnote w:type="continuationSeparator" w:id="0">
    <w:p w14:paraId="77EF6A6B" w14:textId="77777777" w:rsidR="00935540" w:rsidRDefault="00935540" w:rsidP="00935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343B"/>
    <w:multiLevelType w:val="hybridMultilevel"/>
    <w:tmpl w:val="21ECE74A"/>
    <w:lvl w:ilvl="0" w:tplc="80A608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3C11DD"/>
    <w:multiLevelType w:val="multilevel"/>
    <w:tmpl w:val="FA006908"/>
    <w:lvl w:ilvl="0">
      <w:start w:val="1"/>
      <w:numFmt w:val="decimal"/>
      <w:pStyle w:val="Policyheading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4BA0790"/>
    <w:multiLevelType w:val="hybridMultilevel"/>
    <w:tmpl w:val="A6B852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9106C4"/>
    <w:multiLevelType w:val="multilevel"/>
    <w:tmpl w:val="685612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56523768">
    <w:abstractNumId w:val="0"/>
  </w:num>
  <w:num w:numId="2" w16cid:durableId="1566069918">
    <w:abstractNumId w:val="1"/>
  </w:num>
  <w:num w:numId="3" w16cid:durableId="1524635700">
    <w:abstractNumId w:val="3"/>
  </w:num>
  <w:num w:numId="4" w16cid:durableId="695077319">
    <w:abstractNumId w:val="3"/>
  </w:num>
  <w:num w:numId="5" w16cid:durableId="1041369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B9"/>
    <w:rsid w:val="003A42AC"/>
    <w:rsid w:val="0046550B"/>
    <w:rsid w:val="004F2521"/>
    <w:rsid w:val="00872F39"/>
    <w:rsid w:val="00935540"/>
    <w:rsid w:val="009856B9"/>
    <w:rsid w:val="00B51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5010D1"/>
  <w15:chartTrackingRefBased/>
  <w15:docId w15:val="{9315A2E7-674B-41E2-B587-7C380CCF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ings">
    <w:name w:val="Policy headings"/>
    <w:basedOn w:val="ListParagraph"/>
    <w:link w:val="PolicyheadingsChar"/>
    <w:qFormat/>
    <w:rsid w:val="004F2521"/>
    <w:pPr>
      <w:numPr>
        <w:numId w:val="2"/>
      </w:numPr>
      <w:autoSpaceDE w:val="0"/>
      <w:autoSpaceDN w:val="0"/>
      <w:adjustRightInd w:val="0"/>
      <w:spacing w:after="200" w:line="276" w:lineRule="auto"/>
      <w:ind w:left="284" w:hanging="284"/>
      <w:jc w:val="both"/>
    </w:pPr>
    <w:rPr>
      <w:rFonts w:ascii="Tahoma" w:hAnsi="Tahoma" w:cs="Calibri"/>
      <w:b/>
      <w:color w:val="ED7C2F"/>
      <w:sz w:val="28"/>
      <w:szCs w:val="28"/>
    </w:rPr>
  </w:style>
  <w:style w:type="character" w:customStyle="1" w:styleId="PolicyheadingsChar">
    <w:name w:val="Policy headings Char"/>
    <w:basedOn w:val="DefaultParagraphFont"/>
    <w:link w:val="Policyheadings"/>
    <w:rsid w:val="004F2521"/>
    <w:rPr>
      <w:rFonts w:ascii="Tahoma" w:hAnsi="Tahoma" w:cs="Calibri"/>
      <w:b/>
      <w:color w:val="ED7C2F"/>
      <w:sz w:val="28"/>
      <w:szCs w:val="28"/>
    </w:rPr>
  </w:style>
  <w:style w:type="paragraph" w:styleId="ListParagraph">
    <w:name w:val="List Paragraph"/>
    <w:basedOn w:val="Normal"/>
    <w:uiPriority w:val="34"/>
    <w:qFormat/>
    <w:rsid w:val="00872F39"/>
    <w:pPr>
      <w:ind w:left="720"/>
      <w:contextualSpacing/>
    </w:pPr>
  </w:style>
  <w:style w:type="character" w:styleId="Hyperlink">
    <w:name w:val="Hyperlink"/>
    <w:basedOn w:val="DefaultParagraphFont"/>
    <w:uiPriority w:val="99"/>
    <w:unhideWhenUsed/>
    <w:rsid w:val="00935540"/>
    <w:rPr>
      <w:color w:val="0563C1" w:themeColor="hyperlink"/>
      <w:u w:val="single"/>
    </w:rPr>
  </w:style>
  <w:style w:type="character" w:styleId="UnresolvedMention">
    <w:name w:val="Unresolved Mention"/>
    <w:basedOn w:val="DefaultParagraphFont"/>
    <w:uiPriority w:val="99"/>
    <w:semiHidden/>
    <w:unhideWhenUsed/>
    <w:rsid w:val="00935540"/>
    <w:rPr>
      <w:color w:val="605E5C"/>
      <w:shd w:val="clear" w:color="auto" w:fill="E1DFDD"/>
    </w:rPr>
  </w:style>
  <w:style w:type="character" w:styleId="FollowedHyperlink">
    <w:name w:val="FollowedHyperlink"/>
    <w:basedOn w:val="DefaultParagraphFont"/>
    <w:uiPriority w:val="99"/>
    <w:semiHidden/>
    <w:unhideWhenUsed/>
    <w:rsid w:val="00935540"/>
    <w:rPr>
      <w:color w:val="954F72" w:themeColor="followedHyperlink"/>
      <w:u w:val="single"/>
    </w:rPr>
  </w:style>
  <w:style w:type="paragraph" w:styleId="Header">
    <w:name w:val="header"/>
    <w:basedOn w:val="Normal"/>
    <w:link w:val="HeaderChar"/>
    <w:uiPriority w:val="99"/>
    <w:unhideWhenUsed/>
    <w:rsid w:val="00935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540"/>
  </w:style>
  <w:style w:type="paragraph" w:styleId="Footer">
    <w:name w:val="footer"/>
    <w:basedOn w:val="Normal"/>
    <w:link w:val="FooterChar"/>
    <w:uiPriority w:val="99"/>
    <w:unhideWhenUsed/>
    <w:rsid w:val="00935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eduresonline.com/trixcms2/media/18029/cic-ooa-secondary-healthcare-funding-application-jan-23.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ESS@birminghamchildrenstrust.co.uk" TargetMode="External"/><Relationship Id="rId4" Type="http://schemas.openxmlformats.org/officeDocument/2006/relationships/webSettings" Target="webSettings.xml"/><Relationship Id="rId9" Type="http://schemas.openxmlformats.org/officeDocument/2006/relationships/hyperlink" Target="mailto:bham.cc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467</Words>
  <Characters>2668</Characters>
  <Application>Microsoft Office Word</Application>
  <DocSecurity>0</DocSecurity>
  <Lines>22</Lines>
  <Paragraphs>6</Paragraphs>
  <ScaleCrop>false</ScaleCrop>
  <Company>Birmingham City Council</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Heigh</dc:creator>
  <cp:keywords/>
  <dc:description/>
  <cp:lastModifiedBy>Tilly Heigh</cp:lastModifiedBy>
  <cp:revision>4</cp:revision>
  <dcterms:created xsi:type="dcterms:W3CDTF">2023-02-28T16:07:00Z</dcterms:created>
  <dcterms:modified xsi:type="dcterms:W3CDTF">2023-02-28T16:20:00Z</dcterms:modified>
</cp:coreProperties>
</file>