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A90B" w14:textId="77777777" w:rsidR="00352DD7" w:rsidRPr="002465E0" w:rsidRDefault="00352DD7" w:rsidP="002465E0">
      <w:pPr>
        <w:spacing w:after="160" w:line="259" w:lineRule="auto"/>
        <w:jc w:val="both"/>
        <w:rPr>
          <w:rFonts w:eastAsiaTheme="minorHAnsi" w:cs="Arial"/>
          <w:b/>
          <w:bCs/>
          <w:color w:val="2F5496" w:themeColor="accent1" w:themeShade="BF"/>
          <w:sz w:val="36"/>
          <w:szCs w:val="36"/>
          <w:lang w:eastAsia="en-US"/>
        </w:rPr>
      </w:pPr>
      <w:bookmarkStart w:id="0" w:name="_Hlk120006296"/>
      <w:r w:rsidRPr="002465E0">
        <w:rPr>
          <w:rFonts w:eastAsiaTheme="minorHAnsi" w:cs="Arial"/>
          <w:b/>
          <w:bCs/>
          <w:color w:val="2F5496" w:themeColor="accent1" w:themeShade="BF"/>
          <w:sz w:val="36"/>
          <w:szCs w:val="36"/>
          <w:lang w:eastAsia="en-US"/>
        </w:rPr>
        <w:t>Devon County Council</w:t>
      </w:r>
    </w:p>
    <w:p w14:paraId="4DFEC165" w14:textId="5AB15C0F" w:rsidR="00352DD7" w:rsidRPr="002465E0" w:rsidRDefault="00352DD7" w:rsidP="002465E0">
      <w:pPr>
        <w:spacing w:after="160" w:line="259" w:lineRule="auto"/>
        <w:jc w:val="both"/>
        <w:rPr>
          <w:rFonts w:eastAsiaTheme="minorHAnsi" w:cs="Arial"/>
          <w:b/>
          <w:bCs/>
          <w:sz w:val="22"/>
          <w:szCs w:val="22"/>
          <w:lang w:eastAsia="en-US"/>
        </w:rPr>
      </w:pPr>
      <w:r w:rsidRPr="002465E0">
        <w:rPr>
          <w:rFonts w:cs="Arial"/>
          <w:noProof/>
          <w:sz w:val="22"/>
          <w:szCs w:val="22"/>
        </w:rPr>
        <mc:AlternateContent>
          <mc:Choice Requires="wps">
            <w:drawing>
              <wp:anchor distT="4294967295" distB="4294967295" distL="114300" distR="114300" simplePos="0" relativeHeight="251660288" behindDoc="0" locked="0" layoutInCell="1" allowOverlap="1" wp14:anchorId="677B9CF7" wp14:editId="79CA2318">
                <wp:simplePos x="0" y="0"/>
                <wp:positionH relativeFrom="column">
                  <wp:posOffset>20955</wp:posOffset>
                </wp:positionH>
                <wp:positionV relativeFrom="paragraph">
                  <wp:posOffset>85724</wp:posOffset>
                </wp:positionV>
                <wp:extent cx="6608445" cy="0"/>
                <wp:effectExtent l="38100" t="38100" r="5905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57150" cap="sq"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76CCC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52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" strokecolor="#4472c4" strokeweight="4.5pt">
                <v:stroke joinstyle="miter" endcap="square"/>
                <o:lock v:ext="edit" shapetype="f"/>
              </v:line>
            </w:pict>
          </mc:Fallback>
        </mc:AlternateContent>
      </w:r>
    </w:p>
    <w:bookmarkEnd w:id="0"/>
    <w:p w14:paraId="636FC29D" w14:textId="3FDDE1F1" w:rsidR="00634037" w:rsidRPr="002465E0" w:rsidRDefault="00634037" w:rsidP="002465E0">
      <w:pPr>
        <w:jc w:val="both"/>
        <w:rPr>
          <w:rFonts w:cs="Arial"/>
          <w:sz w:val="22"/>
          <w:szCs w:val="22"/>
        </w:rPr>
      </w:pPr>
    </w:p>
    <w:p w14:paraId="18EACD70" w14:textId="3ACE3FC0" w:rsidR="002465E0" w:rsidRPr="002465E0" w:rsidRDefault="002465E0" w:rsidP="002465E0">
      <w:pPr>
        <w:jc w:val="center"/>
        <w:rPr>
          <w:rFonts w:cs="Arial"/>
          <w:sz w:val="28"/>
          <w:szCs w:val="28"/>
        </w:rPr>
      </w:pPr>
      <w:r w:rsidRPr="002465E0">
        <w:rPr>
          <w:rFonts w:cs="Arial"/>
          <w:b/>
          <w:bCs/>
          <w:sz w:val="28"/>
          <w:szCs w:val="28"/>
          <w:u w:val="single"/>
        </w:rPr>
        <w:t xml:space="preserve">Special Guardianship </w:t>
      </w:r>
      <w:r>
        <w:rPr>
          <w:rFonts w:cs="Arial"/>
          <w:b/>
          <w:bCs/>
          <w:sz w:val="28"/>
          <w:szCs w:val="28"/>
          <w:u w:val="single"/>
        </w:rPr>
        <w:t>S</w:t>
      </w:r>
      <w:r w:rsidRPr="002465E0">
        <w:rPr>
          <w:rFonts w:cs="Arial"/>
          <w:b/>
          <w:bCs/>
          <w:sz w:val="28"/>
          <w:szCs w:val="28"/>
          <w:u w:val="single"/>
        </w:rPr>
        <w:t xml:space="preserve">upport for </w:t>
      </w:r>
      <w:r>
        <w:rPr>
          <w:rFonts w:cs="Arial"/>
          <w:b/>
          <w:bCs/>
          <w:sz w:val="28"/>
          <w:szCs w:val="28"/>
          <w:u w:val="single"/>
        </w:rPr>
        <w:t>F</w:t>
      </w:r>
      <w:r w:rsidRPr="002465E0">
        <w:rPr>
          <w:rFonts w:cs="Arial"/>
          <w:b/>
          <w:bCs/>
          <w:sz w:val="28"/>
          <w:szCs w:val="28"/>
          <w:u w:val="single"/>
        </w:rPr>
        <w:t>ormer Foster Carers</w:t>
      </w:r>
    </w:p>
    <w:p w14:paraId="02D807AD" w14:textId="77777777" w:rsidR="002465E0" w:rsidRPr="002465E0" w:rsidRDefault="002465E0" w:rsidP="002465E0">
      <w:pPr>
        <w:jc w:val="both"/>
        <w:rPr>
          <w:rFonts w:cs="Arial"/>
          <w:sz w:val="22"/>
          <w:szCs w:val="22"/>
        </w:rPr>
      </w:pPr>
    </w:p>
    <w:p w14:paraId="34AB1DFD" w14:textId="77777777" w:rsidR="002465E0" w:rsidRPr="002465E0" w:rsidRDefault="002465E0" w:rsidP="002465E0">
      <w:pPr>
        <w:jc w:val="both"/>
        <w:rPr>
          <w:rFonts w:cs="Arial"/>
          <w:sz w:val="22"/>
          <w:szCs w:val="22"/>
        </w:rPr>
      </w:pPr>
      <w:r w:rsidRPr="002465E0">
        <w:rPr>
          <w:rFonts w:cs="Arial"/>
          <w:sz w:val="22"/>
          <w:szCs w:val="22"/>
        </w:rPr>
        <w:t xml:space="preserve">As a local authority, and as corporate parents, we have a moral and legal duty to always act in the best interests of the children and young people in our care and promote their long-term life chances in all that we do. </w:t>
      </w:r>
    </w:p>
    <w:p w14:paraId="23AA37D9" w14:textId="77777777" w:rsidR="002465E0" w:rsidRPr="002465E0" w:rsidRDefault="002465E0" w:rsidP="002465E0">
      <w:pPr>
        <w:jc w:val="both"/>
        <w:rPr>
          <w:rFonts w:cs="Arial"/>
          <w:sz w:val="22"/>
          <w:szCs w:val="22"/>
        </w:rPr>
      </w:pPr>
    </w:p>
    <w:p w14:paraId="542D4E81" w14:textId="77777777" w:rsidR="002465E0" w:rsidRPr="002465E0" w:rsidRDefault="002465E0" w:rsidP="002465E0">
      <w:pPr>
        <w:jc w:val="both"/>
        <w:rPr>
          <w:rFonts w:cs="Arial"/>
          <w:sz w:val="22"/>
          <w:szCs w:val="22"/>
        </w:rPr>
      </w:pPr>
      <w:r w:rsidRPr="002465E0">
        <w:rPr>
          <w:rFonts w:cs="Arial"/>
          <w:sz w:val="22"/>
          <w:szCs w:val="22"/>
        </w:rPr>
        <w:t xml:space="preserve">For some children who have previously had a permanence plan to remain as a child in care, and with the agreement and commitment of their foster carer(s), a special guardianship order (SGO) is the legal arrangement which will best provide them with long-term security, </w:t>
      </w:r>
      <w:proofErr w:type="gramStart"/>
      <w:r w:rsidRPr="002465E0">
        <w:rPr>
          <w:rFonts w:cs="Arial"/>
          <w:sz w:val="22"/>
          <w:szCs w:val="22"/>
        </w:rPr>
        <w:t>stability</w:t>
      </w:r>
      <w:proofErr w:type="gramEnd"/>
      <w:r w:rsidRPr="002465E0">
        <w:rPr>
          <w:rFonts w:cs="Arial"/>
          <w:sz w:val="22"/>
          <w:szCs w:val="22"/>
        </w:rPr>
        <w:t xml:space="preserve"> and support. Where this is the case, as a local authority, we will support foster carers and the child to make sure the new arrangement is suitable, viable and sustainable for all parties. </w:t>
      </w:r>
    </w:p>
    <w:p w14:paraId="6929A06C" w14:textId="77777777" w:rsidR="002465E0" w:rsidRPr="002465E0" w:rsidRDefault="002465E0" w:rsidP="002465E0">
      <w:pPr>
        <w:jc w:val="both"/>
        <w:rPr>
          <w:rFonts w:cs="Arial"/>
          <w:sz w:val="22"/>
          <w:szCs w:val="22"/>
        </w:rPr>
      </w:pPr>
    </w:p>
    <w:p w14:paraId="7CFC4F35" w14:textId="77777777" w:rsidR="002465E0" w:rsidRPr="002465E0" w:rsidRDefault="002465E0" w:rsidP="002465E0">
      <w:pPr>
        <w:jc w:val="both"/>
        <w:rPr>
          <w:rFonts w:cs="Arial"/>
          <w:b/>
          <w:bCs/>
          <w:sz w:val="22"/>
          <w:szCs w:val="22"/>
        </w:rPr>
      </w:pPr>
      <w:r w:rsidRPr="002465E0">
        <w:rPr>
          <w:rFonts w:cs="Arial"/>
          <w:b/>
          <w:bCs/>
          <w:sz w:val="22"/>
          <w:szCs w:val="22"/>
        </w:rPr>
        <w:t>Financial support</w:t>
      </w:r>
    </w:p>
    <w:p w14:paraId="7677ADBF" w14:textId="77777777" w:rsidR="002465E0" w:rsidRPr="002465E0" w:rsidRDefault="002465E0" w:rsidP="002465E0">
      <w:pPr>
        <w:jc w:val="both"/>
        <w:rPr>
          <w:rFonts w:cs="Arial"/>
          <w:sz w:val="22"/>
          <w:szCs w:val="22"/>
        </w:rPr>
      </w:pPr>
    </w:p>
    <w:p w14:paraId="68515E36" w14:textId="092FB314" w:rsidR="002465E0" w:rsidRPr="002465E0" w:rsidRDefault="002465E0" w:rsidP="002465E0">
      <w:pPr>
        <w:jc w:val="both"/>
        <w:rPr>
          <w:rFonts w:cs="Arial"/>
          <w:sz w:val="22"/>
          <w:szCs w:val="22"/>
        </w:rPr>
      </w:pPr>
      <w:r w:rsidRPr="002465E0">
        <w:rPr>
          <w:rFonts w:cs="Arial"/>
          <w:sz w:val="22"/>
          <w:szCs w:val="22"/>
        </w:rPr>
        <w:t xml:space="preserve">For two years following the granting of </w:t>
      </w:r>
      <w:proofErr w:type="gramStart"/>
      <w:r w:rsidRPr="002465E0">
        <w:rPr>
          <w:rFonts w:cs="Arial"/>
          <w:sz w:val="22"/>
          <w:szCs w:val="22"/>
        </w:rPr>
        <w:t>an</w:t>
      </w:r>
      <w:proofErr w:type="gramEnd"/>
      <w:r w:rsidRPr="002465E0">
        <w:rPr>
          <w:rFonts w:cs="Arial"/>
          <w:sz w:val="22"/>
          <w:szCs w:val="22"/>
        </w:rPr>
        <w:t xml:space="preserve"> </w:t>
      </w:r>
      <w:r>
        <w:rPr>
          <w:rFonts w:cs="Arial"/>
          <w:sz w:val="22"/>
          <w:szCs w:val="22"/>
        </w:rPr>
        <w:t>special guardianship order</w:t>
      </w:r>
      <w:r w:rsidRPr="002465E0">
        <w:rPr>
          <w:rFonts w:cs="Arial"/>
          <w:sz w:val="22"/>
          <w:szCs w:val="22"/>
        </w:rPr>
        <w:t>, the (now former) foster carer(s) will receive a continuation of their fostering allowance at the same rate. Following this two-year transition period, they will receive the basic fostering allowance until the child’s 18</w:t>
      </w:r>
      <w:r w:rsidRPr="002465E0">
        <w:rPr>
          <w:rFonts w:cs="Arial"/>
          <w:sz w:val="22"/>
          <w:szCs w:val="22"/>
          <w:vertAlign w:val="superscript"/>
        </w:rPr>
        <w:t>th</w:t>
      </w:r>
      <w:r w:rsidRPr="002465E0">
        <w:rPr>
          <w:rFonts w:cs="Arial"/>
          <w:sz w:val="22"/>
          <w:szCs w:val="22"/>
        </w:rPr>
        <w:t xml:space="preserve"> birthday provided the child continues to reside with them, enhanced rate if this was being received previously as well as birthday / </w:t>
      </w:r>
      <w:r w:rsidRPr="002465E0">
        <w:rPr>
          <w:rFonts w:cs="Arial"/>
          <w:sz w:val="22"/>
          <w:szCs w:val="22"/>
        </w:rPr>
        <w:t>Christmas</w:t>
      </w:r>
      <w:r w:rsidRPr="002465E0">
        <w:rPr>
          <w:rFonts w:cs="Arial"/>
          <w:sz w:val="22"/>
          <w:szCs w:val="22"/>
        </w:rPr>
        <w:t xml:space="preserve"> allowances. </w:t>
      </w:r>
    </w:p>
    <w:p w14:paraId="14983821" w14:textId="77777777" w:rsidR="002465E0" w:rsidRPr="002465E0" w:rsidRDefault="002465E0" w:rsidP="002465E0">
      <w:pPr>
        <w:jc w:val="both"/>
        <w:rPr>
          <w:rFonts w:cs="Arial"/>
          <w:sz w:val="22"/>
          <w:szCs w:val="22"/>
        </w:rPr>
      </w:pPr>
    </w:p>
    <w:p w14:paraId="2EADFCCB" w14:textId="3D11D4A6" w:rsidR="002465E0" w:rsidRPr="002465E0" w:rsidRDefault="002465E0" w:rsidP="002465E0">
      <w:pPr>
        <w:jc w:val="both"/>
        <w:rPr>
          <w:rFonts w:cs="Arial"/>
          <w:sz w:val="22"/>
          <w:szCs w:val="22"/>
        </w:rPr>
      </w:pPr>
      <w:r w:rsidRPr="002465E0">
        <w:rPr>
          <w:rFonts w:cs="Arial"/>
          <w:sz w:val="22"/>
          <w:szCs w:val="22"/>
        </w:rPr>
        <w:t xml:space="preserve">On top of this, financial support may also be payable where the child has additional health or care needs which incur a direct additional cost to the child’s special guardian(s). More detail can be found in Devon’s </w:t>
      </w:r>
      <w:hyperlink r:id="rId9">
        <w:r w:rsidRPr="002465E0">
          <w:rPr>
            <w:rStyle w:val="Hyperlink"/>
            <w:rFonts w:cs="Arial"/>
            <w:sz w:val="22"/>
            <w:szCs w:val="22"/>
          </w:rPr>
          <w:t>Special Guardianship Policy</w:t>
        </w:r>
      </w:hyperlink>
      <w:r>
        <w:rPr>
          <w:rFonts w:cs="Arial"/>
          <w:sz w:val="22"/>
          <w:szCs w:val="22"/>
        </w:rPr>
        <w:t>.</w:t>
      </w:r>
    </w:p>
    <w:p w14:paraId="63C7B110" w14:textId="77777777" w:rsidR="002465E0" w:rsidRPr="002465E0" w:rsidRDefault="002465E0" w:rsidP="002465E0">
      <w:pPr>
        <w:jc w:val="both"/>
        <w:rPr>
          <w:rFonts w:cs="Arial"/>
          <w:sz w:val="22"/>
          <w:szCs w:val="22"/>
        </w:rPr>
      </w:pPr>
    </w:p>
    <w:p w14:paraId="7EE0B14A" w14:textId="77777777" w:rsidR="002465E0" w:rsidRDefault="002465E0" w:rsidP="002465E0">
      <w:pPr>
        <w:jc w:val="both"/>
        <w:rPr>
          <w:rFonts w:cs="Arial"/>
          <w:sz w:val="22"/>
          <w:szCs w:val="22"/>
        </w:rPr>
      </w:pPr>
      <w:r w:rsidRPr="002465E0">
        <w:rPr>
          <w:rFonts w:cs="Arial"/>
          <w:sz w:val="22"/>
          <w:szCs w:val="22"/>
        </w:rPr>
        <w:t xml:space="preserve">When the young person turns 18, they may be eligible, as a </w:t>
      </w:r>
      <w:hyperlink r:id="rId10">
        <w:r w:rsidRPr="002465E0">
          <w:rPr>
            <w:rStyle w:val="Hyperlink"/>
            <w:rFonts w:cs="Arial"/>
            <w:sz w:val="22"/>
            <w:szCs w:val="22"/>
          </w:rPr>
          <w:t>qualifying care leaver</w:t>
        </w:r>
      </w:hyperlink>
      <w:r w:rsidRPr="002465E0">
        <w:rPr>
          <w:rFonts w:cs="Arial"/>
          <w:sz w:val="22"/>
          <w:szCs w:val="22"/>
        </w:rPr>
        <w:t xml:space="preserve">, to access practical and financial support, including grants and bursaries, to help them with the transition to adulthood and independence. More information can be found in the Care Leavers Local Offer on the </w:t>
      </w:r>
      <w:hyperlink r:id="rId11">
        <w:r w:rsidRPr="002465E0">
          <w:rPr>
            <w:rStyle w:val="Hyperlink"/>
            <w:rFonts w:cs="Arial"/>
            <w:color w:val="0070C0"/>
            <w:sz w:val="22"/>
            <w:szCs w:val="22"/>
          </w:rPr>
          <w:t>SUSU website</w:t>
        </w:r>
      </w:hyperlink>
      <w:r w:rsidRPr="002465E0">
        <w:rPr>
          <w:rFonts w:cs="Arial"/>
          <w:sz w:val="22"/>
          <w:szCs w:val="22"/>
        </w:rPr>
        <w:t xml:space="preserve">. Alternatively, contact the Permanence and Transition Team at 01392 383000. </w:t>
      </w:r>
    </w:p>
    <w:p w14:paraId="56658B76" w14:textId="77777777" w:rsidR="002465E0" w:rsidRPr="002465E0" w:rsidRDefault="002465E0" w:rsidP="002465E0">
      <w:pPr>
        <w:jc w:val="both"/>
        <w:rPr>
          <w:rFonts w:cs="Arial"/>
          <w:sz w:val="22"/>
          <w:szCs w:val="22"/>
        </w:rPr>
      </w:pPr>
    </w:p>
    <w:p w14:paraId="0CFE551A" w14:textId="77777777" w:rsidR="002465E0" w:rsidRPr="002465E0" w:rsidRDefault="002465E0" w:rsidP="002465E0">
      <w:pPr>
        <w:jc w:val="both"/>
        <w:rPr>
          <w:rFonts w:cs="Arial"/>
          <w:sz w:val="22"/>
          <w:szCs w:val="22"/>
        </w:rPr>
      </w:pPr>
    </w:p>
    <w:p w14:paraId="14138B9B" w14:textId="77777777" w:rsidR="002465E0" w:rsidRPr="002465E0" w:rsidRDefault="002465E0" w:rsidP="002465E0">
      <w:pPr>
        <w:jc w:val="both"/>
        <w:rPr>
          <w:rFonts w:cs="Arial"/>
          <w:b/>
          <w:bCs/>
          <w:sz w:val="22"/>
          <w:szCs w:val="22"/>
        </w:rPr>
      </w:pPr>
      <w:r w:rsidRPr="002465E0">
        <w:rPr>
          <w:rFonts w:cs="Arial"/>
          <w:b/>
          <w:bCs/>
          <w:sz w:val="22"/>
          <w:szCs w:val="22"/>
        </w:rPr>
        <w:t>Additional guidance and support</w:t>
      </w:r>
    </w:p>
    <w:p w14:paraId="4CDF85E3" w14:textId="77777777" w:rsidR="002465E0" w:rsidRPr="002465E0" w:rsidRDefault="002465E0" w:rsidP="002465E0">
      <w:pPr>
        <w:jc w:val="both"/>
        <w:rPr>
          <w:rFonts w:cs="Arial"/>
          <w:sz w:val="22"/>
          <w:szCs w:val="22"/>
        </w:rPr>
      </w:pPr>
    </w:p>
    <w:p w14:paraId="3620215E" w14:textId="3DA5DA63" w:rsidR="002465E0" w:rsidRPr="002465E0" w:rsidRDefault="002465E0" w:rsidP="002465E0">
      <w:pPr>
        <w:jc w:val="both"/>
        <w:rPr>
          <w:rFonts w:cs="Arial"/>
          <w:sz w:val="22"/>
          <w:szCs w:val="22"/>
        </w:rPr>
      </w:pPr>
      <w:r w:rsidRPr="002465E0">
        <w:rPr>
          <w:rFonts w:cs="Arial"/>
          <w:sz w:val="22"/>
          <w:szCs w:val="22"/>
        </w:rPr>
        <w:t xml:space="preserve">Special guardians also have access to advice, </w:t>
      </w:r>
      <w:proofErr w:type="gramStart"/>
      <w:r w:rsidRPr="002465E0">
        <w:rPr>
          <w:rFonts w:cs="Arial"/>
          <w:sz w:val="22"/>
          <w:szCs w:val="22"/>
        </w:rPr>
        <w:t>guidance</w:t>
      </w:r>
      <w:proofErr w:type="gramEnd"/>
      <w:r w:rsidRPr="002465E0">
        <w:rPr>
          <w:rFonts w:cs="Arial"/>
          <w:sz w:val="22"/>
          <w:szCs w:val="22"/>
        </w:rPr>
        <w:t xml:space="preserve"> and support from our in-house Special Guardianship team. Before any </w:t>
      </w:r>
      <w:r>
        <w:rPr>
          <w:rFonts w:cs="Arial"/>
          <w:sz w:val="22"/>
          <w:szCs w:val="22"/>
        </w:rPr>
        <w:t>special guardian order i</w:t>
      </w:r>
      <w:r w:rsidRPr="002465E0">
        <w:rPr>
          <w:rFonts w:cs="Arial"/>
          <w:sz w:val="22"/>
          <w:szCs w:val="22"/>
        </w:rPr>
        <w:t xml:space="preserve">s granted by the court, alongside financial assistance, a support package must be agreed. </w:t>
      </w:r>
    </w:p>
    <w:p w14:paraId="09ACED11" w14:textId="77777777" w:rsidR="002465E0" w:rsidRPr="002465E0" w:rsidRDefault="002465E0" w:rsidP="002465E0">
      <w:pPr>
        <w:jc w:val="both"/>
        <w:rPr>
          <w:rFonts w:cs="Arial"/>
          <w:sz w:val="22"/>
          <w:szCs w:val="22"/>
        </w:rPr>
      </w:pPr>
    </w:p>
    <w:p w14:paraId="4A0F5774" w14:textId="5C54232D" w:rsidR="002465E0" w:rsidRPr="002465E0" w:rsidRDefault="002465E0" w:rsidP="002465E0">
      <w:pPr>
        <w:jc w:val="both"/>
        <w:rPr>
          <w:rFonts w:cs="Arial"/>
          <w:sz w:val="22"/>
          <w:szCs w:val="22"/>
        </w:rPr>
      </w:pPr>
      <w:r w:rsidRPr="002465E0">
        <w:rPr>
          <w:rFonts w:cs="Arial"/>
          <w:sz w:val="22"/>
          <w:szCs w:val="22"/>
        </w:rPr>
        <w:t xml:space="preserve">This may include supporting </w:t>
      </w:r>
      <w:r>
        <w:rPr>
          <w:rFonts w:cs="Arial"/>
          <w:sz w:val="22"/>
          <w:szCs w:val="22"/>
        </w:rPr>
        <w:t>family time</w:t>
      </w:r>
      <w:r w:rsidRPr="002465E0">
        <w:rPr>
          <w:rFonts w:cs="Arial"/>
          <w:sz w:val="22"/>
          <w:szCs w:val="22"/>
        </w:rPr>
        <w:t xml:space="preserve"> arrangements with birth families, professional advice and support, access to support groups, therapy services via the Adoption Support Fund, and dedicated training to help meet the child’s individual needs. More information about special guardianship support can be found on </w:t>
      </w:r>
      <w:hyperlink r:id="rId12" w:anchor=":~:text=A%20special%20guardianship%20order%20gives,without%20having%20to%20consult%20them." w:history="1">
        <w:r w:rsidRPr="002465E0">
          <w:rPr>
            <w:rStyle w:val="Hyperlink"/>
            <w:rFonts w:cs="Arial"/>
            <w:sz w:val="22"/>
            <w:szCs w:val="22"/>
          </w:rPr>
          <w:t>our website</w:t>
        </w:r>
      </w:hyperlink>
      <w:r w:rsidRPr="002465E0">
        <w:rPr>
          <w:rFonts w:cs="Arial"/>
          <w:sz w:val="22"/>
          <w:szCs w:val="22"/>
        </w:rPr>
        <w:t xml:space="preserve">. </w:t>
      </w:r>
    </w:p>
    <w:p w14:paraId="499AD269" w14:textId="77777777" w:rsidR="002465E0" w:rsidRPr="002465E0" w:rsidRDefault="002465E0" w:rsidP="002465E0">
      <w:pPr>
        <w:jc w:val="both"/>
        <w:rPr>
          <w:rFonts w:cs="Arial"/>
          <w:sz w:val="22"/>
          <w:szCs w:val="22"/>
        </w:rPr>
      </w:pPr>
    </w:p>
    <w:p w14:paraId="5386D4BE" w14:textId="77777777" w:rsidR="002465E0" w:rsidRPr="002465E0" w:rsidRDefault="002465E0" w:rsidP="002465E0">
      <w:pPr>
        <w:jc w:val="both"/>
        <w:rPr>
          <w:rFonts w:cs="Arial"/>
          <w:sz w:val="22"/>
          <w:szCs w:val="22"/>
        </w:rPr>
      </w:pPr>
      <w:r w:rsidRPr="002465E0">
        <w:rPr>
          <w:rFonts w:cs="Arial"/>
          <w:sz w:val="22"/>
          <w:szCs w:val="22"/>
        </w:rPr>
        <w:t xml:space="preserve">We know that the initial transition to the new arrangements can often be the most challenging time for the child and their special guardian(s). As a result, each child will have a bespoke transition plan which will set out how we will support them to move out of our care. </w:t>
      </w:r>
    </w:p>
    <w:p w14:paraId="769C6B9D" w14:textId="77777777" w:rsidR="002465E0" w:rsidRPr="002465E0" w:rsidRDefault="002465E0" w:rsidP="002465E0">
      <w:pPr>
        <w:jc w:val="both"/>
        <w:rPr>
          <w:rFonts w:cs="Arial"/>
          <w:sz w:val="22"/>
          <w:szCs w:val="22"/>
        </w:rPr>
      </w:pPr>
    </w:p>
    <w:p w14:paraId="69D96A22" w14:textId="5F7DC145" w:rsidR="002465E0" w:rsidRPr="002465E0" w:rsidRDefault="002465E0" w:rsidP="002465E0">
      <w:pPr>
        <w:jc w:val="both"/>
        <w:rPr>
          <w:rFonts w:cs="Arial"/>
          <w:sz w:val="22"/>
          <w:szCs w:val="22"/>
        </w:rPr>
      </w:pPr>
      <w:r w:rsidRPr="002465E0">
        <w:rPr>
          <w:rFonts w:cs="Arial"/>
          <w:sz w:val="22"/>
          <w:szCs w:val="22"/>
        </w:rPr>
        <w:t>Each plan will consider whether any ongoing additional support is required, whether that is as a Child in Need or through Early Help</w:t>
      </w:r>
      <w:r>
        <w:rPr>
          <w:rFonts w:cs="Arial"/>
          <w:sz w:val="22"/>
          <w:szCs w:val="22"/>
        </w:rPr>
        <w:t xml:space="preserve"> services</w:t>
      </w:r>
      <w:r w:rsidRPr="002465E0">
        <w:rPr>
          <w:rFonts w:cs="Arial"/>
          <w:sz w:val="22"/>
          <w:szCs w:val="22"/>
        </w:rPr>
        <w:t xml:space="preserve">. Where there are any challenges relating to </w:t>
      </w:r>
      <w:r>
        <w:rPr>
          <w:rFonts w:cs="Arial"/>
          <w:sz w:val="22"/>
          <w:szCs w:val="22"/>
        </w:rPr>
        <w:t>family time</w:t>
      </w:r>
      <w:r w:rsidRPr="002465E0">
        <w:rPr>
          <w:rFonts w:cs="Arial"/>
          <w:sz w:val="22"/>
          <w:szCs w:val="22"/>
        </w:rPr>
        <w:t xml:space="preserve"> arrangements or safeguarding, which pose a barrier to the </w:t>
      </w:r>
      <w:r>
        <w:rPr>
          <w:rFonts w:cs="Arial"/>
          <w:sz w:val="22"/>
          <w:szCs w:val="22"/>
        </w:rPr>
        <w:t>special guardianship order</w:t>
      </w:r>
      <w:r w:rsidRPr="002465E0">
        <w:rPr>
          <w:rFonts w:cs="Arial"/>
          <w:sz w:val="22"/>
          <w:szCs w:val="22"/>
        </w:rPr>
        <w:t>, consideration of support required may be incorporated into the transition plan. Special guardian(s) will continue to receive Supervising Social Worker support during a 3-month transition phase after which time they will receive support from the Special Guardianship support team as outlined above.</w:t>
      </w:r>
    </w:p>
    <w:p w14:paraId="54C97D2E" w14:textId="77777777" w:rsidR="002465E0" w:rsidRDefault="002465E0" w:rsidP="002465E0">
      <w:pPr>
        <w:jc w:val="both"/>
        <w:rPr>
          <w:rFonts w:cs="Arial"/>
          <w:sz w:val="22"/>
          <w:szCs w:val="22"/>
        </w:rPr>
      </w:pPr>
    </w:p>
    <w:p w14:paraId="3753E828" w14:textId="77777777" w:rsidR="002465E0" w:rsidRDefault="002465E0" w:rsidP="002465E0">
      <w:pPr>
        <w:jc w:val="both"/>
        <w:rPr>
          <w:rFonts w:cs="Arial"/>
          <w:sz w:val="22"/>
          <w:szCs w:val="22"/>
        </w:rPr>
      </w:pPr>
    </w:p>
    <w:p w14:paraId="36D3BDB4" w14:textId="77777777" w:rsidR="002465E0" w:rsidRPr="002465E0" w:rsidRDefault="002465E0" w:rsidP="002465E0">
      <w:pPr>
        <w:jc w:val="both"/>
        <w:rPr>
          <w:rFonts w:cs="Arial"/>
          <w:sz w:val="22"/>
          <w:szCs w:val="22"/>
        </w:rPr>
      </w:pPr>
    </w:p>
    <w:p w14:paraId="50D43DF4" w14:textId="77777777" w:rsidR="002465E0" w:rsidRPr="002465E0" w:rsidRDefault="002465E0" w:rsidP="002465E0">
      <w:pPr>
        <w:jc w:val="both"/>
        <w:rPr>
          <w:rFonts w:cs="Arial"/>
          <w:b/>
          <w:bCs/>
          <w:sz w:val="22"/>
          <w:szCs w:val="22"/>
        </w:rPr>
      </w:pPr>
      <w:r w:rsidRPr="002465E0">
        <w:rPr>
          <w:rFonts w:cs="Arial"/>
          <w:b/>
          <w:bCs/>
          <w:sz w:val="22"/>
          <w:szCs w:val="22"/>
        </w:rPr>
        <w:lastRenderedPageBreak/>
        <w:t>Later life letters</w:t>
      </w:r>
    </w:p>
    <w:p w14:paraId="79599739" w14:textId="77777777" w:rsidR="002465E0" w:rsidRPr="002465E0" w:rsidRDefault="002465E0" w:rsidP="002465E0">
      <w:pPr>
        <w:jc w:val="both"/>
        <w:rPr>
          <w:rFonts w:cs="Arial"/>
          <w:sz w:val="22"/>
          <w:szCs w:val="22"/>
        </w:rPr>
      </w:pPr>
    </w:p>
    <w:p w14:paraId="7D0B60E3" w14:textId="42F57D20" w:rsidR="002465E0" w:rsidRPr="002465E0" w:rsidRDefault="002465E0" w:rsidP="002465E0">
      <w:pPr>
        <w:jc w:val="both"/>
        <w:rPr>
          <w:rFonts w:cs="Arial"/>
          <w:sz w:val="22"/>
          <w:szCs w:val="22"/>
        </w:rPr>
      </w:pPr>
      <w:r w:rsidRPr="002465E0">
        <w:rPr>
          <w:rFonts w:cs="Arial"/>
          <w:sz w:val="22"/>
          <w:szCs w:val="22"/>
        </w:rPr>
        <w:t xml:space="preserve">Given the additional permanence of special guardianship arrangements and the complexities of the care system, it can be especially important to support children, who are moving out of care and into special guardianship, to understand their life-story. That is why we commit to sending Later Life Letters to </w:t>
      </w:r>
      <w:r w:rsidRPr="002465E0">
        <w:rPr>
          <w:rFonts w:cs="Arial"/>
          <w:sz w:val="22"/>
          <w:szCs w:val="22"/>
        </w:rPr>
        <w:t>each</w:t>
      </w:r>
      <w:r w:rsidRPr="002465E0">
        <w:rPr>
          <w:rFonts w:cs="Arial"/>
          <w:sz w:val="22"/>
          <w:szCs w:val="22"/>
        </w:rPr>
        <w:t xml:space="preserve"> child in this situation. </w:t>
      </w:r>
    </w:p>
    <w:p w14:paraId="3890D5FB" w14:textId="77777777" w:rsidR="002465E0" w:rsidRPr="002465E0" w:rsidRDefault="002465E0" w:rsidP="002465E0">
      <w:pPr>
        <w:jc w:val="both"/>
        <w:rPr>
          <w:rFonts w:cs="Arial"/>
          <w:sz w:val="22"/>
          <w:szCs w:val="22"/>
        </w:rPr>
      </w:pPr>
    </w:p>
    <w:p w14:paraId="276DDF38" w14:textId="59ED176D" w:rsidR="002465E0" w:rsidRPr="002465E0" w:rsidRDefault="002465E0" w:rsidP="002465E0">
      <w:pPr>
        <w:jc w:val="both"/>
        <w:rPr>
          <w:rFonts w:cs="Arial"/>
          <w:sz w:val="22"/>
          <w:szCs w:val="22"/>
        </w:rPr>
      </w:pPr>
      <w:r w:rsidRPr="002465E0">
        <w:rPr>
          <w:rFonts w:cs="Arial"/>
          <w:sz w:val="22"/>
          <w:szCs w:val="22"/>
        </w:rPr>
        <w:t xml:space="preserve">Later Life Letters are personally written to the child by their social worker, and they describe information about the child’s life, why they </w:t>
      </w:r>
      <w:r w:rsidRPr="002465E0">
        <w:rPr>
          <w:rFonts w:cs="Arial"/>
          <w:sz w:val="22"/>
          <w:szCs w:val="22"/>
        </w:rPr>
        <w:t>can’t</w:t>
      </w:r>
      <w:r w:rsidRPr="002465E0">
        <w:rPr>
          <w:rFonts w:cs="Arial"/>
          <w:sz w:val="22"/>
          <w:szCs w:val="22"/>
        </w:rPr>
        <w:t xml:space="preserve"> live with their birth parents and what the new arrangements will mean for them. The timing of when the child </w:t>
      </w:r>
      <w:r w:rsidRPr="002465E0">
        <w:rPr>
          <w:rFonts w:cs="Arial"/>
          <w:sz w:val="22"/>
          <w:szCs w:val="22"/>
        </w:rPr>
        <w:t>can</w:t>
      </w:r>
      <w:r w:rsidRPr="002465E0">
        <w:rPr>
          <w:rFonts w:cs="Arial"/>
          <w:sz w:val="22"/>
          <w:szCs w:val="22"/>
        </w:rPr>
        <w:t xml:space="preserve"> see the letter is up to their special guardian(s), usually depending on age and circumstance. But we would expect children to receive letters before they enter their formative older teenage years. </w:t>
      </w:r>
    </w:p>
    <w:p w14:paraId="3D192370" w14:textId="77777777" w:rsidR="002465E0" w:rsidRPr="002465E0" w:rsidRDefault="002465E0" w:rsidP="002465E0">
      <w:pPr>
        <w:jc w:val="both"/>
        <w:rPr>
          <w:rFonts w:cs="Arial"/>
          <w:sz w:val="22"/>
          <w:szCs w:val="22"/>
        </w:rPr>
      </w:pPr>
    </w:p>
    <w:p w14:paraId="3E31C2DA" w14:textId="77777777" w:rsidR="00352DD7" w:rsidRPr="002465E0" w:rsidRDefault="00352DD7" w:rsidP="002465E0">
      <w:pPr>
        <w:jc w:val="both"/>
        <w:rPr>
          <w:rFonts w:cs="Arial"/>
          <w:sz w:val="22"/>
          <w:szCs w:val="22"/>
        </w:rPr>
      </w:pPr>
    </w:p>
    <w:p w14:paraId="53C6A1A3" w14:textId="77777777" w:rsidR="00FE5B47" w:rsidRPr="002465E0" w:rsidRDefault="00FE5B47" w:rsidP="002465E0">
      <w:pPr>
        <w:jc w:val="both"/>
        <w:rPr>
          <w:rFonts w:cs="Arial"/>
          <w:sz w:val="22"/>
          <w:szCs w:val="22"/>
        </w:rPr>
      </w:pPr>
    </w:p>
    <w:p w14:paraId="0D92E0A1" w14:textId="77777777" w:rsidR="00FE5B47" w:rsidRPr="002465E0" w:rsidRDefault="00FE5B47" w:rsidP="002465E0">
      <w:pPr>
        <w:jc w:val="both"/>
        <w:rPr>
          <w:rFonts w:cs="Arial"/>
          <w:sz w:val="22"/>
          <w:szCs w:val="22"/>
        </w:rPr>
      </w:pPr>
    </w:p>
    <w:p w14:paraId="2659FF1F" w14:textId="77777777" w:rsidR="00FE5B47" w:rsidRPr="002465E0" w:rsidRDefault="00FE5B47" w:rsidP="002465E0">
      <w:pPr>
        <w:jc w:val="both"/>
        <w:rPr>
          <w:rFonts w:cs="Arial"/>
          <w:sz w:val="22"/>
          <w:szCs w:val="22"/>
        </w:rPr>
      </w:pPr>
    </w:p>
    <w:p w14:paraId="53D9A32A" w14:textId="77777777" w:rsidR="00FE5B47" w:rsidRPr="002465E0" w:rsidRDefault="00FE5B47" w:rsidP="002465E0">
      <w:pPr>
        <w:jc w:val="both"/>
        <w:rPr>
          <w:rFonts w:cs="Arial"/>
          <w:sz w:val="22"/>
          <w:szCs w:val="22"/>
        </w:rPr>
      </w:pPr>
    </w:p>
    <w:p w14:paraId="6BF3F7A3" w14:textId="77777777" w:rsidR="00FE5B47" w:rsidRPr="002465E0" w:rsidRDefault="00FE5B47" w:rsidP="002465E0">
      <w:pPr>
        <w:jc w:val="both"/>
        <w:rPr>
          <w:rFonts w:cs="Arial"/>
          <w:sz w:val="22"/>
          <w:szCs w:val="22"/>
        </w:rPr>
      </w:pPr>
    </w:p>
    <w:p w14:paraId="29F47A49" w14:textId="77777777" w:rsidR="00FE5B47" w:rsidRPr="002465E0" w:rsidRDefault="00FE5B47" w:rsidP="002465E0">
      <w:pPr>
        <w:jc w:val="both"/>
        <w:rPr>
          <w:rFonts w:cs="Arial"/>
          <w:sz w:val="22"/>
          <w:szCs w:val="22"/>
        </w:rPr>
      </w:pPr>
    </w:p>
    <w:p w14:paraId="6BA7964C" w14:textId="77777777" w:rsidR="00FE5B47" w:rsidRPr="002465E0" w:rsidRDefault="00FE5B47" w:rsidP="002465E0">
      <w:pPr>
        <w:jc w:val="both"/>
        <w:rPr>
          <w:rFonts w:cs="Arial"/>
          <w:sz w:val="22"/>
          <w:szCs w:val="22"/>
        </w:rPr>
      </w:pPr>
    </w:p>
    <w:p w14:paraId="376F4F63" w14:textId="77777777" w:rsidR="00FE5B47" w:rsidRPr="002465E0" w:rsidRDefault="00FE5B47" w:rsidP="002465E0">
      <w:pPr>
        <w:jc w:val="both"/>
        <w:rPr>
          <w:rFonts w:cs="Arial"/>
          <w:sz w:val="22"/>
          <w:szCs w:val="22"/>
        </w:rPr>
      </w:pPr>
    </w:p>
    <w:p w14:paraId="35B86154" w14:textId="77777777" w:rsidR="00FE5B47" w:rsidRPr="002465E0" w:rsidRDefault="00FE5B47" w:rsidP="002465E0">
      <w:pPr>
        <w:jc w:val="both"/>
        <w:rPr>
          <w:rFonts w:cs="Arial"/>
          <w:sz w:val="22"/>
          <w:szCs w:val="22"/>
        </w:rPr>
      </w:pPr>
    </w:p>
    <w:p w14:paraId="62AD5805" w14:textId="77777777" w:rsidR="00FE5B47" w:rsidRPr="002465E0" w:rsidRDefault="00FE5B47" w:rsidP="002465E0">
      <w:pPr>
        <w:jc w:val="both"/>
        <w:rPr>
          <w:rFonts w:cs="Arial"/>
          <w:sz w:val="22"/>
          <w:szCs w:val="22"/>
        </w:rPr>
      </w:pPr>
    </w:p>
    <w:p w14:paraId="108B23F2" w14:textId="77777777" w:rsidR="00FE5B47" w:rsidRPr="002465E0" w:rsidRDefault="00FE5B47" w:rsidP="002465E0">
      <w:pPr>
        <w:jc w:val="both"/>
        <w:rPr>
          <w:rFonts w:cs="Arial"/>
          <w:sz w:val="22"/>
          <w:szCs w:val="22"/>
        </w:rPr>
      </w:pPr>
    </w:p>
    <w:p w14:paraId="16C4200D" w14:textId="77777777" w:rsidR="00FE5B47" w:rsidRPr="002465E0" w:rsidRDefault="00FE5B47" w:rsidP="002465E0">
      <w:pPr>
        <w:jc w:val="both"/>
        <w:rPr>
          <w:rFonts w:cs="Arial"/>
          <w:sz w:val="22"/>
          <w:szCs w:val="22"/>
        </w:rPr>
      </w:pPr>
    </w:p>
    <w:p w14:paraId="285FDBED" w14:textId="77777777" w:rsidR="00FE5B47" w:rsidRPr="002465E0" w:rsidRDefault="00FE5B47" w:rsidP="002465E0">
      <w:pPr>
        <w:jc w:val="both"/>
        <w:rPr>
          <w:rFonts w:cs="Arial"/>
          <w:sz w:val="22"/>
          <w:szCs w:val="22"/>
        </w:rPr>
      </w:pPr>
    </w:p>
    <w:p w14:paraId="016F3F52" w14:textId="77777777" w:rsidR="00FE5B47" w:rsidRPr="002465E0" w:rsidRDefault="00FE5B47" w:rsidP="002465E0">
      <w:pPr>
        <w:jc w:val="both"/>
        <w:rPr>
          <w:rFonts w:cs="Arial"/>
          <w:sz w:val="22"/>
          <w:szCs w:val="22"/>
        </w:rPr>
      </w:pPr>
    </w:p>
    <w:p w14:paraId="68F3CC22" w14:textId="77777777" w:rsidR="00FE5B47" w:rsidRPr="002465E0" w:rsidRDefault="00FE5B47" w:rsidP="002465E0">
      <w:pPr>
        <w:jc w:val="both"/>
        <w:rPr>
          <w:rFonts w:cs="Arial"/>
          <w:sz w:val="22"/>
          <w:szCs w:val="22"/>
        </w:rPr>
      </w:pPr>
    </w:p>
    <w:p w14:paraId="38C3735D" w14:textId="77777777" w:rsidR="00FE5B47" w:rsidRPr="002465E0" w:rsidRDefault="00FE5B47" w:rsidP="002465E0">
      <w:pPr>
        <w:jc w:val="both"/>
        <w:rPr>
          <w:rFonts w:cs="Arial"/>
          <w:sz w:val="22"/>
          <w:szCs w:val="22"/>
        </w:rPr>
      </w:pPr>
    </w:p>
    <w:p w14:paraId="18121BCD" w14:textId="77777777" w:rsidR="00FE5B47" w:rsidRPr="002465E0" w:rsidRDefault="00FE5B47" w:rsidP="002465E0">
      <w:pPr>
        <w:jc w:val="both"/>
        <w:rPr>
          <w:rFonts w:cs="Arial"/>
          <w:sz w:val="22"/>
          <w:szCs w:val="22"/>
        </w:rPr>
      </w:pPr>
    </w:p>
    <w:p w14:paraId="54EE0EB9" w14:textId="77777777" w:rsidR="00FE5B47" w:rsidRPr="002465E0" w:rsidRDefault="00FE5B47" w:rsidP="002465E0">
      <w:pPr>
        <w:jc w:val="both"/>
        <w:rPr>
          <w:rFonts w:cs="Arial"/>
          <w:sz w:val="22"/>
          <w:szCs w:val="22"/>
        </w:rPr>
      </w:pPr>
    </w:p>
    <w:p w14:paraId="63805921" w14:textId="77777777" w:rsidR="00FE5B47" w:rsidRPr="002465E0" w:rsidRDefault="00FE5B47" w:rsidP="002465E0">
      <w:pPr>
        <w:jc w:val="both"/>
        <w:rPr>
          <w:rFonts w:cs="Arial"/>
          <w:sz w:val="22"/>
          <w:szCs w:val="22"/>
        </w:rPr>
      </w:pPr>
    </w:p>
    <w:p w14:paraId="5E4E6A88" w14:textId="77777777" w:rsidR="00FE5B47" w:rsidRPr="002465E0" w:rsidRDefault="00FE5B47" w:rsidP="002465E0">
      <w:pPr>
        <w:jc w:val="both"/>
        <w:rPr>
          <w:rFonts w:cs="Arial"/>
          <w:sz w:val="22"/>
          <w:szCs w:val="22"/>
        </w:rPr>
      </w:pPr>
    </w:p>
    <w:p w14:paraId="6A1CF2CC" w14:textId="77777777" w:rsidR="00FE5B47" w:rsidRPr="002465E0" w:rsidRDefault="00FE5B47" w:rsidP="002465E0">
      <w:pPr>
        <w:jc w:val="both"/>
        <w:rPr>
          <w:rFonts w:cs="Arial"/>
          <w:sz w:val="22"/>
          <w:szCs w:val="22"/>
        </w:rPr>
      </w:pPr>
    </w:p>
    <w:p w14:paraId="2F02A5F1" w14:textId="77777777" w:rsidR="00FE5B47" w:rsidRPr="002465E0" w:rsidRDefault="00FE5B47" w:rsidP="002465E0">
      <w:pPr>
        <w:jc w:val="both"/>
        <w:rPr>
          <w:rFonts w:cs="Arial"/>
          <w:sz w:val="22"/>
          <w:szCs w:val="22"/>
        </w:rPr>
      </w:pPr>
    </w:p>
    <w:p w14:paraId="35F5F2B6" w14:textId="77777777" w:rsidR="00FE5B47" w:rsidRPr="002465E0" w:rsidRDefault="00FE5B47" w:rsidP="002465E0">
      <w:pPr>
        <w:jc w:val="both"/>
        <w:rPr>
          <w:rFonts w:cs="Arial"/>
          <w:sz w:val="22"/>
          <w:szCs w:val="22"/>
        </w:rPr>
      </w:pPr>
    </w:p>
    <w:p w14:paraId="6C325889" w14:textId="77777777" w:rsidR="00FE5B47" w:rsidRPr="002465E0" w:rsidRDefault="00FE5B47" w:rsidP="002465E0">
      <w:pPr>
        <w:jc w:val="both"/>
        <w:rPr>
          <w:rFonts w:cs="Arial"/>
          <w:sz w:val="22"/>
          <w:szCs w:val="22"/>
        </w:rPr>
      </w:pPr>
    </w:p>
    <w:p w14:paraId="36FA846E" w14:textId="77777777" w:rsidR="00FE5B47" w:rsidRPr="002465E0" w:rsidRDefault="00FE5B47" w:rsidP="002465E0">
      <w:pPr>
        <w:jc w:val="both"/>
        <w:rPr>
          <w:rFonts w:cs="Arial"/>
          <w:sz w:val="22"/>
          <w:szCs w:val="22"/>
        </w:rPr>
      </w:pPr>
    </w:p>
    <w:p w14:paraId="66DC8E92" w14:textId="77777777" w:rsidR="00FE5B47" w:rsidRPr="002465E0" w:rsidRDefault="00FE5B47" w:rsidP="002465E0">
      <w:pPr>
        <w:jc w:val="both"/>
        <w:rPr>
          <w:rFonts w:cs="Arial"/>
          <w:sz w:val="22"/>
          <w:szCs w:val="22"/>
        </w:rPr>
      </w:pPr>
    </w:p>
    <w:p w14:paraId="28F0B355" w14:textId="77777777" w:rsidR="00FE5B47" w:rsidRPr="002465E0" w:rsidRDefault="00FE5B47" w:rsidP="002465E0">
      <w:pPr>
        <w:jc w:val="both"/>
        <w:rPr>
          <w:rFonts w:cs="Arial"/>
          <w:sz w:val="22"/>
          <w:szCs w:val="22"/>
        </w:rPr>
      </w:pPr>
    </w:p>
    <w:p w14:paraId="25825187" w14:textId="77777777" w:rsidR="00FE5B47" w:rsidRPr="002465E0" w:rsidRDefault="00FE5B47" w:rsidP="002465E0">
      <w:pPr>
        <w:jc w:val="both"/>
        <w:rPr>
          <w:rFonts w:cs="Arial"/>
          <w:sz w:val="22"/>
          <w:szCs w:val="22"/>
        </w:rPr>
      </w:pPr>
    </w:p>
    <w:p w14:paraId="735E59E8" w14:textId="77777777" w:rsidR="00FE5B47" w:rsidRPr="002465E0" w:rsidRDefault="00FE5B47" w:rsidP="002465E0">
      <w:pPr>
        <w:jc w:val="both"/>
        <w:rPr>
          <w:rFonts w:cs="Arial"/>
          <w:sz w:val="22"/>
          <w:szCs w:val="22"/>
        </w:rPr>
      </w:pPr>
    </w:p>
    <w:p w14:paraId="137329EF" w14:textId="77777777" w:rsidR="00FE5B47" w:rsidRPr="002465E0" w:rsidRDefault="00FE5B47" w:rsidP="002465E0">
      <w:pPr>
        <w:jc w:val="both"/>
        <w:rPr>
          <w:rFonts w:cs="Arial"/>
          <w:sz w:val="22"/>
          <w:szCs w:val="22"/>
        </w:rPr>
      </w:pPr>
    </w:p>
    <w:p w14:paraId="136D64B7" w14:textId="77777777" w:rsidR="00FE5B47" w:rsidRPr="002465E0" w:rsidRDefault="00FE5B47" w:rsidP="002465E0">
      <w:pPr>
        <w:jc w:val="both"/>
        <w:rPr>
          <w:rFonts w:cs="Arial"/>
          <w:sz w:val="22"/>
          <w:szCs w:val="22"/>
        </w:rPr>
      </w:pPr>
    </w:p>
    <w:sectPr w:rsidR="00FE5B47" w:rsidRPr="002465E0" w:rsidSect="00352DD7">
      <w:head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802D" w14:textId="77777777" w:rsidR="00352DD7" w:rsidRDefault="00352DD7" w:rsidP="00352DD7">
      <w:r>
        <w:separator/>
      </w:r>
    </w:p>
  </w:endnote>
  <w:endnote w:type="continuationSeparator" w:id="0">
    <w:p w14:paraId="6572E722" w14:textId="77777777" w:rsidR="00352DD7" w:rsidRDefault="00352DD7" w:rsidP="0035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9226" w14:textId="77777777" w:rsidR="00352DD7" w:rsidRDefault="00352DD7" w:rsidP="00352DD7">
      <w:r>
        <w:separator/>
      </w:r>
    </w:p>
  </w:footnote>
  <w:footnote w:type="continuationSeparator" w:id="0">
    <w:p w14:paraId="3B7A117C" w14:textId="77777777" w:rsidR="00352DD7" w:rsidRDefault="00352DD7" w:rsidP="00352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0562" w14:textId="14EBFDA5" w:rsidR="00352DD7" w:rsidRPr="00CF4A0C" w:rsidRDefault="00352DD7" w:rsidP="00352DD7">
    <w:pPr>
      <w:rPr>
        <w:rFonts w:ascii="Gill Sans MT" w:eastAsiaTheme="minorHAnsi" w:hAnsi="Gill Sans MT" w:cstheme="minorBidi"/>
        <w:b/>
        <w:bCs/>
        <w:color w:val="2F5496" w:themeColor="accent1" w:themeShade="BF"/>
        <w:sz w:val="48"/>
        <w:szCs w:val="48"/>
        <w:lang w:eastAsia="en-US"/>
      </w:rPr>
    </w:pPr>
    <w:r w:rsidRPr="00CF4A0C">
      <w:rPr>
        <w:rFonts w:ascii="Gill Sans MT" w:eastAsiaTheme="minorHAnsi" w:hAnsi="Gill Sans MT" w:cstheme="minorBidi"/>
        <w:b/>
        <w:bCs/>
        <w:i/>
        <w:iCs/>
        <w:noProof/>
        <w:color w:val="555EB3"/>
        <w:sz w:val="46"/>
        <w:szCs w:val="46"/>
        <w:lang w:eastAsia="en-US"/>
      </w:rPr>
      <w:drawing>
        <wp:anchor distT="0" distB="0" distL="114300" distR="114300" simplePos="0" relativeHeight="251660288" behindDoc="0" locked="0" layoutInCell="1" allowOverlap="1" wp14:anchorId="4C5C30F5" wp14:editId="0F8FC1E2">
          <wp:simplePos x="0" y="0"/>
          <wp:positionH relativeFrom="column">
            <wp:posOffset>6076950</wp:posOffset>
          </wp:positionH>
          <wp:positionV relativeFrom="paragraph">
            <wp:posOffset>-184150</wp:posOffset>
          </wp:positionV>
          <wp:extent cx="494958" cy="552450"/>
          <wp:effectExtent l="0" t="0" r="635" b="0"/>
          <wp:wrapNone/>
          <wp:docPr id="306" name="Picture 3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4958" cy="552450"/>
                  </a:xfrm>
                  <a:prstGeom prst="rect">
                    <a:avLst/>
                  </a:prstGeom>
                </pic:spPr>
              </pic:pic>
            </a:graphicData>
          </a:graphic>
          <wp14:sizeRelH relativeFrom="margin">
            <wp14:pctWidth>0</wp14:pctWidth>
          </wp14:sizeRelH>
          <wp14:sizeRelV relativeFrom="margin">
            <wp14:pctHeight>0</wp14:pctHeight>
          </wp14:sizeRelV>
        </wp:anchor>
      </w:drawing>
    </w:r>
    <w:r w:rsidRPr="00CF4A0C">
      <w:rPr>
        <w:rFonts w:ascii="Gill Sans MT" w:eastAsiaTheme="minorHAnsi" w:hAnsi="Gill Sans MT" w:cstheme="minorBidi"/>
        <w:b/>
        <w:bCs/>
        <w:color w:val="2F5496" w:themeColor="accent1" w:themeShade="BF"/>
        <w:sz w:val="48"/>
        <w:szCs w:val="48"/>
        <w:lang w:eastAsia="en-US"/>
      </w:rPr>
      <w:t>Devon County Council</w:t>
    </w:r>
  </w:p>
  <w:p w14:paraId="33AC5B91" w14:textId="7058C57A" w:rsidR="00352DD7" w:rsidRPr="00CF4A0C" w:rsidRDefault="00352DD7" w:rsidP="00352DD7">
    <w:pPr>
      <w:spacing w:after="160" w:line="259" w:lineRule="auto"/>
      <w:rPr>
        <w:rFonts w:ascii="Gill Sans MT" w:eastAsiaTheme="minorHAnsi" w:hAnsi="Gill Sans MT" w:cstheme="minorBidi"/>
        <w:b/>
        <w:bCs/>
        <w:sz w:val="22"/>
        <w:szCs w:val="22"/>
        <w:lang w:eastAsia="en-US"/>
      </w:rPr>
    </w:pPr>
    <w:r>
      <w:rPr>
        <w:noProof/>
      </w:rPr>
      <mc:AlternateContent>
        <mc:Choice Requires="wps">
          <w:drawing>
            <wp:anchor distT="4294967295" distB="4294967295" distL="114300" distR="114300" simplePos="0" relativeHeight="251659264" behindDoc="0" locked="0" layoutInCell="1" allowOverlap="1" wp14:anchorId="55945EC8" wp14:editId="39759EC5">
              <wp:simplePos x="0" y="0"/>
              <wp:positionH relativeFrom="column">
                <wp:posOffset>20955</wp:posOffset>
              </wp:positionH>
              <wp:positionV relativeFrom="paragraph">
                <wp:posOffset>85724</wp:posOffset>
              </wp:positionV>
              <wp:extent cx="6608445" cy="0"/>
              <wp:effectExtent l="38100" t="38100" r="5905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57150" cap="sq"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2C480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52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" strokecolor="#4472c4" strokeweight="4.5pt">
              <v:stroke joinstyle="miter" endcap="square"/>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67DB" w14:textId="3C6E7178" w:rsidR="00FE5B47" w:rsidRDefault="00FE5B47">
    <w:pPr>
      <w:pStyle w:val="Header"/>
    </w:pPr>
    <w:r w:rsidRPr="00CF4A0C">
      <w:rPr>
        <w:rFonts w:ascii="Gill Sans MT" w:eastAsiaTheme="minorHAnsi" w:hAnsi="Gill Sans MT" w:cstheme="minorBidi"/>
        <w:b/>
        <w:bCs/>
        <w:i/>
        <w:iCs/>
        <w:noProof/>
        <w:color w:val="555EB3"/>
        <w:sz w:val="46"/>
        <w:szCs w:val="46"/>
        <w:lang w:eastAsia="en-US"/>
      </w:rPr>
      <w:drawing>
        <wp:anchor distT="0" distB="0" distL="114300" distR="114300" simplePos="0" relativeHeight="251662336" behindDoc="0" locked="0" layoutInCell="1" allowOverlap="1" wp14:anchorId="5CFC4941" wp14:editId="2DFB3C5A">
          <wp:simplePos x="0" y="0"/>
          <wp:positionH relativeFrom="column">
            <wp:posOffset>6115050</wp:posOffset>
          </wp:positionH>
          <wp:positionV relativeFrom="paragraph">
            <wp:posOffset>-86360</wp:posOffset>
          </wp:positionV>
          <wp:extent cx="494958" cy="552450"/>
          <wp:effectExtent l="0" t="0" r="63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4958"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D7"/>
    <w:rsid w:val="002465E0"/>
    <w:rsid w:val="00352DD7"/>
    <w:rsid w:val="00634037"/>
    <w:rsid w:val="00B93A9F"/>
    <w:rsid w:val="00CB186B"/>
    <w:rsid w:val="00D526BD"/>
    <w:rsid w:val="00FE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5A8D2"/>
  <w15:chartTrackingRefBased/>
  <w15:docId w15:val="{768EE5C8-59B8-405A-9A5A-BC5C31C1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D7"/>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DD7"/>
    <w:pPr>
      <w:tabs>
        <w:tab w:val="center" w:pos="4513"/>
        <w:tab w:val="right" w:pos="9026"/>
      </w:tabs>
    </w:pPr>
  </w:style>
  <w:style w:type="character" w:customStyle="1" w:styleId="HeaderChar">
    <w:name w:val="Header Char"/>
    <w:basedOn w:val="DefaultParagraphFont"/>
    <w:link w:val="Header"/>
    <w:uiPriority w:val="99"/>
    <w:rsid w:val="00352DD7"/>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352DD7"/>
    <w:pPr>
      <w:tabs>
        <w:tab w:val="center" w:pos="4513"/>
        <w:tab w:val="right" w:pos="9026"/>
      </w:tabs>
    </w:pPr>
  </w:style>
  <w:style w:type="character" w:customStyle="1" w:styleId="FooterChar">
    <w:name w:val="Footer Char"/>
    <w:basedOn w:val="DefaultParagraphFont"/>
    <w:link w:val="Footer"/>
    <w:uiPriority w:val="99"/>
    <w:rsid w:val="00352DD7"/>
    <w:rPr>
      <w:rFonts w:ascii="Arial" w:eastAsia="Times New Roman" w:hAnsi="Arial" w:cs="Times New Roman"/>
      <w:sz w:val="20"/>
      <w:szCs w:val="20"/>
      <w:lang w:eastAsia="en-GB"/>
    </w:rPr>
  </w:style>
  <w:style w:type="character" w:styleId="Hyperlink">
    <w:name w:val="Hyperlink"/>
    <w:basedOn w:val="DefaultParagraphFont"/>
    <w:uiPriority w:val="99"/>
    <w:unhideWhenUsed/>
    <w:rsid w:val="0024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devon.gov.uk/educationandfamilies/adoption-and-fostering/special-guardiansh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ndupspeakup.org.uk/info-for-care-leavers/localoff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tandupspeakup.org.uk/info-for-care-leavers/localoffer/who-is-a-care-leaver/" TargetMode="External"/><Relationship Id="rId4" Type="http://schemas.openxmlformats.org/officeDocument/2006/relationships/styles" Target="styles.xml"/><Relationship Id="rId9" Type="http://schemas.openxmlformats.org/officeDocument/2006/relationships/hyperlink" Target="https://devoncc.sharepoint.com/:w:/s/APlaceCalledHome2/ETKgbRI6-IpDmEQhP0egmI4BenHeDF_QoPeTn5i_i9hxRA?e=TympA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3854dc-9b2c-4522-bdd0-78d4f589fb3a">
      <Terms xmlns="http://schemas.microsoft.com/office/infopath/2007/PartnerControls"/>
    </lcf76f155ced4ddcb4097134ff3c332f>
    <TaxCatchAll xmlns="282e7b0d-04b0-4132-9590-b891820902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FFA3677F775409BC29FFDDA15F9DB" ma:contentTypeVersion="8" ma:contentTypeDescription="Create a new document." ma:contentTypeScope="" ma:versionID="4584f0e102cf73da3cdefd205dc4629d">
  <xsd:schema xmlns:xsd="http://www.w3.org/2001/XMLSchema" xmlns:xs="http://www.w3.org/2001/XMLSchema" xmlns:p="http://schemas.microsoft.com/office/2006/metadata/properties" xmlns:ns2="8a3854dc-9b2c-4522-bdd0-78d4f589fb3a" xmlns:ns3="282e7b0d-04b0-4132-9590-b8918209022e" targetNamespace="http://schemas.microsoft.com/office/2006/metadata/properties" ma:root="true" ma:fieldsID="c0a0d1ce81929877a723e609d29fb649" ns2:_="" ns3:_="">
    <xsd:import namespace="8a3854dc-9b2c-4522-bdd0-78d4f589fb3a"/>
    <xsd:import namespace="282e7b0d-04b0-4132-9590-b8918209022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854dc-9b2c-4522-bdd0-78d4f589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e7b0d-04b0-4132-9590-b8918209022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746b15-e351-4b47-bdb2-2836908650d6}" ma:internalName="TaxCatchAll" ma:showField="CatchAllData" ma:web="282e7b0d-04b0-4132-9590-b89182090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17563-E013-458E-9A01-08E157CCEFAF}">
  <ds:schemaRefs>
    <ds:schemaRef ds:uri="http://schemas.microsoft.com/sharepoint/v3/contenttype/forms"/>
  </ds:schemaRefs>
</ds:datastoreItem>
</file>

<file path=customXml/itemProps2.xml><?xml version="1.0" encoding="utf-8"?>
<ds:datastoreItem xmlns:ds="http://schemas.openxmlformats.org/officeDocument/2006/customXml" ds:itemID="{CFB05EB4-3EF1-400D-95D6-E08F67F33FDA}">
  <ds:schemaRefs>
    <ds:schemaRef ds:uri="http://schemas.microsoft.com/office/infopath/2007/PartnerControls"/>
    <ds:schemaRef ds:uri="http://purl.org/dc/elements/1.1/"/>
    <ds:schemaRef ds:uri="http://schemas.microsoft.com/office/2006/metadata/properties"/>
    <ds:schemaRef ds:uri="8a3854dc-9b2c-4522-bdd0-78d4f589fb3a"/>
    <ds:schemaRef ds:uri="http://purl.org/dc/terms/"/>
    <ds:schemaRef ds:uri="http://schemas.openxmlformats.org/package/2006/metadata/core-properties"/>
    <ds:schemaRef ds:uri="http://schemas.microsoft.com/office/2006/documentManagement/types"/>
    <ds:schemaRef ds:uri="282e7b0d-04b0-4132-9590-b8918209022e"/>
    <ds:schemaRef ds:uri="http://www.w3.org/XML/1998/namespace"/>
    <ds:schemaRef ds:uri="http://purl.org/dc/dcmitype/"/>
  </ds:schemaRefs>
</ds:datastoreItem>
</file>

<file path=customXml/itemProps3.xml><?xml version="1.0" encoding="utf-8"?>
<ds:datastoreItem xmlns:ds="http://schemas.openxmlformats.org/officeDocument/2006/customXml" ds:itemID="{FE44BA3D-8899-4521-B4EE-AA063317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854dc-9b2c-4522-bdd0-78d4f589fb3a"/>
    <ds:schemaRef ds:uri="282e7b0d-04b0-4132-9590-b89182090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Tomlinson</dc:creator>
  <cp:keywords/>
  <dc:description/>
  <cp:lastModifiedBy>Rachel Nall</cp:lastModifiedBy>
  <cp:revision>2</cp:revision>
  <dcterms:created xsi:type="dcterms:W3CDTF">2023-10-11T21:05:00Z</dcterms:created>
  <dcterms:modified xsi:type="dcterms:W3CDTF">2023-10-11T21:05:00Z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0x010100EF3FFA3677F775409BC29FFDDA15F9DB</vt:lpwstr>
  </property>
</Properties>
</file>